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3CD" w:rsidRPr="00BC3A61" w:rsidRDefault="00196B7D">
      <w:pPr>
        <w:jc w:val="center"/>
        <w:divId w:val="1922986418"/>
        <w:rPr>
          <w:rFonts w:ascii="Lato" w:eastAsia="Times New Roman" w:hAnsi="Lato"/>
          <w:sz w:val="20"/>
          <w:szCs w:val="20"/>
        </w:rPr>
      </w:pPr>
      <w:r w:rsidRPr="00BC3A61">
        <w:rPr>
          <w:rStyle w:val="Textoennegrita"/>
          <w:rFonts w:ascii="Lato" w:eastAsia="Times New Roman" w:hAnsi="Lato" w:cs="Calibri"/>
          <w:sz w:val="20"/>
          <w:szCs w:val="20"/>
        </w:rPr>
        <w:t>Ente Público: PODER EJECUTIVO</w:t>
      </w:r>
    </w:p>
    <w:p w:rsidR="00E873CD" w:rsidRPr="00BC3A61" w:rsidRDefault="001E0491">
      <w:pPr>
        <w:jc w:val="center"/>
        <w:divId w:val="1922986418"/>
        <w:rPr>
          <w:rFonts w:ascii="Lato" w:eastAsia="Times New Roman" w:hAnsi="Lato"/>
          <w:sz w:val="20"/>
          <w:szCs w:val="20"/>
        </w:rPr>
      </w:pPr>
      <w:r w:rsidRPr="00BC3A61">
        <w:rPr>
          <w:rStyle w:val="Textoennegrita"/>
          <w:rFonts w:ascii="Lato" w:eastAsia="Times New Roman" w:hAnsi="Lato" w:cs="Calibri"/>
          <w:sz w:val="20"/>
          <w:szCs w:val="20"/>
        </w:rPr>
        <w:t>Notas a los Estados F</w:t>
      </w:r>
      <w:r w:rsidR="00196B7D" w:rsidRPr="00BC3A61">
        <w:rPr>
          <w:rStyle w:val="Textoennegrita"/>
          <w:rFonts w:ascii="Lato" w:eastAsia="Times New Roman" w:hAnsi="Lato" w:cs="Calibri"/>
          <w:sz w:val="20"/>
          <w:szCs w:val="20"/>
        </w:rPr>
        <w:t>inancieros</w:t>
      </w:r>
    </w:p>
    <w:p w:rsidR="00E873CD" w:rsidRPr="00BC3A61" w:rsidRDefault="00196B7D">
      <w:pPr>
        <w:jc w:val="center"/>
        <w:divId w:val="1922986418"/>
        <w:rPr>
          <w:rFonts w:ascii="Lato" w:eastAsia="Times New Roman" w:hAnsi="Lato"/>
          <w:sz w:val="20"/>
          <w:szCs w:val="20"/>
        </w:rPr>
      </w:pPr>
      <w:r w:rsidRPr="00BC3A61">
        <w:rPr>
          <w:rStyle w:val="Textoennegrita"/>
          <w:rFonts w:ascii="Lato" w:eastAsia="Times New Roman" w:hAnsi="Lato" w:cs="Calibri"/>
          <w:sz w:val="20"/>
          <w:szCs w:val="20"/>
        </w:rPr>
        <w:t>Al 30 de septiembre de 2026.</w:t>
      </w:r>
    </w:p>
    <w:p w:rsidR="00E873CD" w:rsidRPr="00BC3A61" w:rsidRDefault="00196B7D">
      <w:pPr>
        <w:jc w:val="center"/>
        <w:divId w:val="1922986418"/>
        <w:rPr>
          <w:rFonts w:ascii="Lato" w:eastAsia="Times New Roman" w:hAnsi="Lato"/>
          <w:sz w:val="20"/>
          <w:szCs w:val="20"/>
        </w:rPr>
      </w:pPr>
      <w:r w:rsidRPr="00BC3A61">
        <w:rPr>
          <w:rStyle w:val="Textoennegrita"/>
          <w:rFonts w:ascii="Lato" w:eastAsia="Times New Roman" w:hAnsi="Lato" w:cs="Calibri"/>
          <w:sz w:val="20"/>
          <w:szCs w:val="20"/>
        </w:rPr>
        <w:t>(Pesos)</w:t>
      </w:r>
    </w:p>
    <w:p w:rsidR="00E873CD" w:rsidRPr="00BC3A61" w:rsidRDefault="001E0491">
      <w:pPr>
        <w:jc w:val="both"/>
        <w:divId w:val="1922986418"/>
        <w:rPr>
          <w:rFonts w:ascii="Lato" w:eastAsia="Times New Roman" w:hAnsi="Lato"/>
          <w:sz w:val="20"/>
          <w:szCs w:val="20"/>
        </w:rPr>
      </w:pPr>
      <w:r w:rsidRPr="00BC3A61">
        <w:rPr>
          <w:rStyle w:val="Textoennegrita"/>
          <w:rFonts w:ascii="Lato" w:eastAsia="Times New Roman" w:hAnsi="Lato"/>
          <w:sz w:val="20"/>
          <w:szCs w:val="20"/>
        </w:rPr>
        <w:t xml:space="preserve">Con el propósito de dar cumplimiento a los artículos 44, 45, 46, 47, 49, 52, y 53 de la Ley General de Contabilidad Gubernamental, artículo 31 fracciones XXVI y XXXII del Código de Administración Pública de Yucatán y al artículo 59 fracciones XXV y XXVII del Reglamento del Código de la Administración Pública de Yucatán, el Poder Ejecutivo del Estado de Yucatán, ha preparado los Estados Financieros incluyendo las operaciones efectuadas al </w:t>
      </w:r>
      <w:r w:rsidR="00196B7D" w:rsidRPr="00BC3A61">
        <w:rPr>
          <w:rStyle w:val="Textoennegrita"/>
          <w:rFonts w:ascii="Lato" w:eastAsia="Times New Roman" w:hAnsi="Lato"/>
          <w:sz w:val="20"/>
          <w:szCs w:val="20"/>
        </w:rPr>
        <w:t>al 30 de septiembre de 2026.</w:t>
      </w:r>
    </w:p>
    <w:p w:rsidR="001E0491" w:rsidRPr="00BC3A61" w:rsidRDefault="001E0491" w:rsidP="001E0491">
      <w:pPr>
        <w:divId w:val="1437674607"/>
        <w:rPr>
          <w:rFonts w:ascii="Lato" w:eastAsia="Times New Roman" w:hAnsi="Lato"/>
          <w:sz w:val="20"/>
          <w:szCs w:val="20"/>
        </w:rPr>
      </w:pPr>
      <w:r w:rsidRPr="00BC3A61">
        <w:rPr>
          <w:rStyle w:val="Textoennegrita"/>
          <w:rFonts w:ascii="Lato" w:eastAsia="Times New Roman" w:hAnsi="Lato"/>
          <w:sz w:val="20"/>
          <w:szCs w:val="20"/>
        </w:rPr>
        <w:t>A) NOTAS DE GESTIÓN ADMINISTRATIVA</w:t>
      </w:r>
    </w:p>
    <w:p w:rsidR="001E0491" w:rsidRPr="00BC3A61" w:rsidRDefault="001E0491" w:rsidP="001E0491">
      <w:pPr>
        <w:divId w:val="1437674607"/>
        <w:rPr>
          <w:rFonts w:ascii="Lato" w:eastAsia="Times New Roman" w:hAnsi="Lato"/>
          <w:sz w:val="20"/>
          <w:szCs w:val="20"/>
        </w:rPr>
      </w:pPr>
      <w:r w:rsidRPr="00BC3A61">
        <w:rPr>
          <w:rStyle w:val="Textoennegrita"/>
          <w:rFonts w:ascii="Lato" w:eastAsia="Times New Roman" w:hAnsi="Lato"/>
          <w:sz w:val="20"/>
          <w:szCs w:val="20"/>
        </w:rPr>
        <w:t>1.-Autorización e Historia</w:t>
      </w:r>
    </w:p>
    <w:p w:rsidR="001E0491" w:rsidRPr="00BC3A61" w:rsidRDefault="001E0491" w:rsidP="001E0491">
      <w:pPr>
        <w:divId w:val="1437674607"/>
        <w:rPr>
          <w:rFonts w:ascii="Lato" w:eastAsia="Times New Roman" w:hAnsi="Lato"/>
          <w:sz w:val="20"/>
          <w:szCs w:val="20"/>
        </w:rPr>
      </w:pPr>
      <w:r w:rsidRPr="00BC3A61">
        <w:rPr>
          <w:rStyle w:val="Textoennegrita"/>
          <w:rFonts w:ascii="Lato" w:eastAsia="Times New Roman" w:hAnsi="Lato"/>
          <w:sz w:val="20"/>
          <w:szCs w:val="20"/>
        </w:rPr>
        <w:t xml:space="preserve">a) Fecha de creación del ente. </w:t>
      </w:r>
    </w:p>
    <w:p w:rsidR="001E0491" w:rsidRPr="00BC3A61" w:rsidRDefault="001E0491" w:rsidP="001E0491">
      <w:pPr>
        <w:ind w:firstLine="360"/>
        <w:jc w:val="both"/>
        <w:divId w:val="1437674607"/>
        <w:rPr>
          <w:rFonts w:ascii="Lato" w:eastAsia="Times New Roman" w:hAnsi="Lato"/>
          <w:sz w:val="20"/>
          <w:szCs w:val="20"/>
        </w:rPr>
      </w:pPr>
      <w:r w:rsidRPr="00BC3A61">
        <w:rPr>
          <w:rFonts w:ascii="Lato" w:eastAsia="Times New Roman" w:hAnsi="Lato"/>
          <w:sz w:val="20"/>
          <w:szCs w:val="20"/>
        </w:rPr>
        <w:t>La fecha del Registro Federal de Contribuyentes de la Secretaría, corresponde al 12 de mayo de 1984, con base en la Ley Orgánica del Poder Ejecutivo del Estado de Yucatán de fecha 10 de mayo de 1984.</w:t>
      </w:r>
    </w:p>
    <w:p w:rsidR="001E0491" w:rsidRPr="00BC3A61" w:rsidRDefault="001E0491" w:rsidP="001E0491">
      <w:pPr>
        <w:divId w:val="1437674607"/>
        <w:rPr>
          <w:rStyle w:val="Textoennegrita"/>
          <w:rFonts w:ascii="Lato" w:eastAsia="Times New Roman" w:hAnsi="Lato"/>
          <w:sz w:val="20"/>
          <w:szCs w:val="20"/>
        </w:rPr>
      </w:pPr>
      <w:r w:rsidRPr="00BC3A61">
        <w:rPr>
          <w:rStyle w:val="Textoennegrita"/>
          <w:rFonts w:ascii="Lato" w:eastAsia="Times New Roman" w:hAnsi="Lato"/>
          <w:sz w:val="20"/>
          <w:szCs w:val="20"/>
        </w:rPr>
        <w:t>b) Principales cambios en su estructura.</w:t>
      </w:r>
    </w:p>
    <w:p w:rsidR="001E0491" w:rsidRPr="00BC3A61" w:rsidRDefault="001E0491" w:rsidP="001E0491">
      <w:pPr>
        <w:ind w:firstLine="360"/>
        <w:jc w:val="both"/>
        <w:divId w:val="1437674607"/>
        <w:rPr>
          <w:rFonts w:ascii="Lato" w:eastAsia="Times New Roman" w:hAnsi="Lato"/>
          <w:sz w:val="20"/>
          <w:szCs w:val="20"/>
        </w:rPr>
      </w:pPr>
      <w:r w:rsidRPr="00BC3A61">
        <w:rPr>
          <w:rFonts w:ascii="Lato" w:eastAsia="Times New Roman" w:hAnsi="Lato"/>
          <w:sz w:val="20"/>
          <w:szCs w:val="20"/>
        </w:rPr>
        <w:t>Las modificaciones a la estructura de la administración Pública centralizada del Gobierno del Estado de Yucatán, surgen por nuevas disposiciones legales, la Ley Orgánica del Poder Ejecutivo del Estado se abroga, dando lugar a la “Ley Orgánica de la Administración Pública del Estado de Yucatán” a los 8 días del mes de Marzo del año de mil novecientos ochenta y ocho, esta última se abroga al entrar en vigor “ El Código de la Administración Pública de Yucatán” (CAPY) el 1º de Enero del 2008, la última actualización se publicó el 31 de diciembre de 2025.</w:t>
      </w:r>
    </w:p>
    <w:p w:rsidR="001E0491" w:rsidRPr="00BC3A61" w:rsidRDefault="001E0491" w:rsidP="001E0491">
      <w:pPr>
        <w:ind w:firstLine="360"/>
        <w:jc w:val="both"/>
        <w:divId w:val="1437674607"/>
        <w:rPr>
          <w:rFonts w:ascii="Lato" w:eastAsia="Times New Roman" w:hAnsi="Lato"/>
          <w:sz w:val="20"/>
          <w:szCs w:val="20"/>
        </w:rPr>
      </w:pPr>
      <w:r w:rsidRPr="00BC3A61">
        <w:rPr>
          <w:rFonts w:ascii="Lato" w:eastAsia="Times New Roman" w:hAnsi="Lato"/>
          <w:sz w:val="20"/>
          <w:szCs w:val="20"/>
        </w:rPr>
        <w:t>En el decreto número 28 de fecha 1 de enero del 2013 se reforman, derogan y adicionan diversas disposiciones del Reglamento del Código de la Administración Pública de Yucatán, la última actualización se publicó el 24 de noviembre de 2025.</w:t>
      </w:r>
    </w:p>
    <w:p w:rsidR="00E873CD" w:rsidRPr="00BC3A61" w:rsidRDefault="00196B7D">
      <w:pPr>
        <w:divId w:val="778335994"/>
        <w:rPr>
          <w:rStyle w:val="Textoennegrita"/>
          <w:rFonts w:ascii="Lato" w:eastAsia="Times New Roman" w:hAnsi="Lato"/>
          <w:sz w:val="20"/>
          <w:szCs w:val="20"/>
        </w:rPr>
      </w:pPr>
      <w:r w:rsidRPr="00BC3A61">
        <w:rPr>
          <w:rStyle w:val="Textoennegrita"/>
          <w:rFonts w:ascii="Lato" w:eastAsia="Times New Roman" w:hAnsi="Lato"/>
          <w:sz w:val="20"/>
          <w:szCs w:val="20"/>
        </w:rPr>
        <w:t>2.-Panorama Económico y Financiero</w:t>
      </w:r>
    </w:p>
    <w:p w:rsidR="001E0491" w:rsidRPr="00BC3A61" w:rsidRDefault="001E0491" w:rsidP="001E0491">
      <w:pPr>
        <w:divId w:val="778335994"/>
        <w:rPr>
          <w:rStyle w:val="Textoennegrita"/>
          <w:rFonts w:ascii="Lato" w:eastAsia="Times New Roman" w:hAnsi="Lato"/>
          <w:sz w:val="20"/>
          <w:szCs w:val="20"/>
        </w:rPr>
      </w:pPr>
      <w:r w:rsidRPr="00BC3A61">
        <w:rPr>
          <w:rStyle w:val="Textoennegrita"/>
          <w:rFonts w:ascii="Lato" w:eastAsia="Times New Roman" w:hAnsi="Lato"/>
          <w:sz w:val="20"/>
          <w:szCs w:val="20"/>
        </w:rPr>
        <w:t>2.1 Panorama económico nacional</w:t>
      </w:r>
    </w:p>
    <w:p w:rsidR="001E0491" w:rsidRPr="00BC3A61" w:rsidRDefault="001E0491" w:rsidP="001E0491">
      <w:pPr>
        <w:ind w:firstLine="708"/>
        <w:divId w:val="778335994"/>
        <w:rPr>
          <w:rFonts w:ascii="Lato" w:hAnsi="Lato" w:cs="Times New Roman"/>
          <w:sz w:val="20"/>
          <w:szCs w:val="20"/>
        </w:rPr>
      </w:pPr>
      <w:r w:rsidRPr="00BC3A61">
        <w:rPr>
          <w:rStyle w:val="Textoennegrita"/>
          <w:rFonts w:ascii="Lato" w:eastAsia="Times New Roman" w:hAnsi="Lato"/>
          <w:b w:val="0"/>
          <w:sz w:val="20"/>
          <w:szCs w:val="20"/>
        </w:rPr>
        <w:t>Se</w:t>
      </w:r>
      <w:r w:rsidRPr="00BC3A61">
        <w:rPr>
          <w:rStyle w:val="Textoennegrita"/>
          <w:rFonts w:ascii="Lato" w:eastAsia="Times New Roman" w:hAnsi="Lato"/>
          <w:sz w:val="20"/>
          <w:szCs w:val="20"/>
        </w:rPr>
        <w:t xml:space="preserve"> </w:t>
      </w:r>
      <w:r w:rsidRPr="00BC3A61">
        <w:rPr>
          <w:rFonts w:ascii="Lato" w:eastAsia="Times New Roman" w:hAnsi="Lato" w:cs="Times New Roman"/>
          <w:sz w:val="20"/>
          <w:szCs w:val="20"/>
        </w:rPr>
        <w:t>describe el panorama económico nacional con base en el Informe Trimestral del Banco d</w:t>
      </w:r>
      <w:r w:rsidR="00BC3A61">
        <w:rPr>
          <w:rFonts w:ascii="Lato" w:eastAsia="Times New Roman" w:hAnsi="Lato" w:cs="Times New Roman"/>
          <w:sz w:val="20"/>
          <w:szCs w:val="20"/>
        </w:rPr>
        <w:t>e México correspondiente al perí</w:t>
      </w:r>
      <w:r w:rsidRPr="00BC3A61">
        <w:rPr>
          <w:rFonts w:ascii="Lato" w:eastAsia="Times New Roman" w:hAnsi="Lato" w:cs="Times New Roman"/>
          <w:sz w:val="20"/>
          <w:szCs w:val="20"/>
        </w:rPr>
        <w:t xml:space="preserve">odo enero a junio del 2026, que es el último publicado y disponible a la fecha en que se elaboran las presentes notas. </w:t>
      </w:r>
    </w:p>
    <w:p w:rsidR="001E0491" w:rsidRPr="00BC3A61" w:rsidRDefault="001E0491" w:rsidP="001E0491">
      <w:pPr>
        <w:spacing w:after="0" w:line="240" w:lineRule="auto"/>
        <w:jc w:val="both"/>
        <w:divId w:val="778335994"/>
        <w:rPr>
          <w:rFonts w:ascii="Lato" w:eastAsia="Times New Roman" w:hAnsi="Lato" w:cs="Times New Roman"/>
          <w:b/>
          <w:sz w:val="20"/>
          <w:szCs w:val="20"/>
        </w:rPr>
      </w:pPr>
      <w:r w:rsidRPr="00BC3A61">
        <w:rPr>
          <w:rFonts w:ascii="Lato" w:eastAsia="Times New Roman" w:hAnsi="Lato" w:cs="Times New Roman"/>
          <w:b/>
          <w:sz w:val="20"/>
          <w:szCs w:val="20"/>
        </w:rPr>
        <w:t>1. Actividad Económica y Crecimiento del PIB</w:t>
      </w:r>
    </w:p>
    <w:p w:rsidR="001E0491" w:rsidRPr="00BC3A61" w:rsidRDefault="001E0491" w:rsidP="001E0491">
      <w:pPr>
        <w:spacing w:after="0" w:line="240" w:lineRule="auto"/>
        <w:jc w:val="both"/>
        <w:divId w:val="778335994"/>
        <w:rPr>
          <w:rFonts w:ascii="Lato" w:eastAsia="Times New Roman" w:hAnsi="Lato" w:cs="Times New Roman"/>
          <w:sz w:val="20"/>
          <w:szCs w:val="20"/>
        </w:rPr>
      </w:pPr>
    </w:p>
    <w:p w:rsidR="001E0491" w:rsidRPr="00BC3A61" w:rsidRDefault="001E0491" w:rsidP="001E0491">
      <w:pPr>
        <w:spacing w:after="0" w:line="240" w:lineRule="auto"/>
        <w:ind w:firstLine="708"/>
        <w:jc w:val="both"/>
        <w:divId w:val="778335994"/>
        <w:rPr>
          <w:rFonts w:ascii="Lato" w:eastAsia="Times New Roman" w:hAnsi="Lato" w:cs="Times New Roman"/>
          <w:sz w:val="20"/>
          <w:szCs w:val="20"/>
        </w:rPr>
      </w:pPr>
      <w:r w:rsidRPr="00BC3A61">
        <w:rPr>
          <w:rFonts w:ascii="Lato" w:eastAsia="Times New Roman" w:hAnsi="Lato" w:cs="Times New Roman"/>
          <w:sz w:val="20"/>
          <w:szCs w:val="20"/>
        </w:rPr>
        <w:lastRenderedPageBreak/>
        <w:t>Durante el segundo trimestre de 2026, la actividad económica de México se reactivó con el registro de un aumento trimestral de 1.42% con datos ajustados por estacionalidad. Este avance se presentó luego de variaciones de -0.10%, 0.95% y -0.34% en los tres trimestres previos. Así, la actividad económica mostró una reactivación, luego de la contracción observada en el periodo enero-marzo de 2026.</w:t>
      </w:r>
    </w:p>
    <w:p w:rsidR="001E0491" w:rsidRPr="00BC3A61" w:rsidRDefault="001E0491" w:rsidP="001E0491">
      <w:pPr>
        <w:spacing w:after="0" w:line="240" w:lineRule="auto"/>
        <w:jc w:val="both"/>
        <w:divId w:val="778335994"/>
        <w:rPr>
          <w:rFonts w:ascii="Lato" w:eastAsia="Times New Roman" w:hAnsi="Lato" w:cs="Times New Roman"/>
          <w:sz w:val="20"/>
          <w:szCs w:val="20"/>
        </w:rPr>
      </w:pPr>
    </w:p>
    <w:p w:rsidR="001E0491" w:rsidRPr="00BC3A61" w:rsidRDefault="001E0491" w:rsidP="001E0491">
      <w:pPr>
        <w:spacing w:after="0" w:line="240" w:lineRule="auto"/>
        <w:ind w:firstLine="708"/>
        <w:jc w:val="both"/>
        <w:divId w:val="778335994"/>
        <w:rPr>
          <w:rFonts w:ascii="Lato" w:eastAsia="Times New Roman" w:hAnsi="Lato" w:cs="Times New Roman"/>
          <w:sz w:val="20"/>
          <w:szCs w:val="20"/>
        </w:rPr>
      </w:pPr>
      <w:r w:rsidRPr="00BC3A61">
        <w:rPr>
          <w:rFonts w:ascii="Lato" w:eastAsia="Times New Roman" w:hAnsi="Lato" w:cs="Times New Roman"/>
          <w:sz w:val="20"/>
          <w:szCs w:val="20"/>
        </w:rPr>
        <w:t>Desde una perspectiva sectorial, el incremento del PIB en el segundo trimestre de 2026 fue resultado de contribuciones positivas de los tres grandes agregados de actividad económica.</w:t>
      </w:r>
    </w:p>
    <w:p w:rsidR="001E0491" w:rsidRPr="00BC3A61" w:rsidRDefault="001E0491" w:rsidP="001E0491">
      <w:pPr>
        <w:spacing w:after="0" w:line="240" w:lineRule="auto"/>
        <w:jc w:val="both"/>
        <w:divId w:val="778335994"/>
        <w:rPr>
          <w:rFonts w:ascii="Lato" w:eastAsia="Times New Roman" w:hAnsi="Lato" w:cs="Times New Roman"/>
          <w:sz w:val="20"/>
          <w:szCs w:val="20"/>
        </w:rPr>
      </w:pPr>
    </w:p>
    <w:p w:rsidR="001E0491" w:rsidRPr="00BC3A61" w:rsidRDefault="001E0491" w:rsidP="001E0491">
      <w:pPr>
        <w:spacing w:after="0" w:line="240" w:lineRule="auto"/>
        <w:ind w:firstLine="708"/>
        <w:jc w:val="both"/>
        <w:divId w:val="778335994"/>
        <w:rPr>
          <w:rFonts w:ascii="Lato" w:eastAsia="Times New Roman" w:hAnsi="Lato" w:cs="Times New Roman"/>
          <w:sz w:val="20"/>
          <w:szCs w:val="20"/>
        </w:rPr>
      </w:pPr>
      <w:r w:rsidRPr="00BC3A61">
        <w:rPr>
          <w:rFonts w:ascii="Lato" w:eastAsia="Times New Roman" w:hAnsi="Lato" w:cs="Times New Roman"/>
          <w:sz w:val="20"/>
          <w:szCs w:val="20"/>
        </w:rPr>
        <w:t>En particular, la actividad industrial repuntó después de la prolongada debilidad exhibida desde el último trimestre de 2024. A su vez, los servicios retomaron su senda de crecimiento, al tiempo que las actividades primarias más que revirtieron la disminución del primer trimestre. En específico, se reportaron incrementos trimestrales en términos desestacionalizados de 2.44%, 1.64% y 1.36% en las actividades primarias, secundarias y terciarias, respectivamente.</w:t>
      </w:r>
    </w:p>
    <w:p w:rsidR="001E0491" w:rsidRPr="00BC3A61" w:rsidRDefault="001E0491" w:rsidP="001E0491">
      <w:pPr>
        <w:spacing w:after="0" w:line="240" w:lineRule="auto"/>
        <w:jc w:val="both"/>
        <w:divId w:val="778335994"/>
        <w:rPr>
          <w:rFonts w:ascii="Lato" w:eastAsia="Times New Roman" w:hAnsi="Lato" w:cs="Times New Roman"/>
          <w:sz w:val="20"/>
          <w:szCs w:val="20"/>
        </w:rPr>
      </w:pPr>
    </w:p>
    <w:p w:rsidR="001E0491" w:rsidRPr="00BC3A61" w:rsidRDefault="001E0491" w:rsidP="001E0491">
      <w:pPr>
        <w:spacing w:after="0" w:line="240" w:lineRule="auto"/>
        <w:jc w:val="both"/>
        <w:divId w:val="778335994"/>
        <w:rPr>
          <w:rFonts w:ascii="Lato" w:eastAsia="Times New Roman" w:hAnsi="Lato" w:cs="Times New Roman"/>
          <w:b/>
          <w:sz w:val="20"/>
          <w:szCs w:val="20"/>
        </w:rPr>
      </w:pPr>
      <w:r w:rsidRPr="00BC3A61">
        <w:rPr>
          <w:rFonts w:ascii="Lato" w:eastAsia="Times New Roman" w:hAnsi="Lato" w:cs="Times New Roman"/>
          <w:b/>
          <w:sz w:val="20"/>
          <w:szCs w:val="20"/>
        </w:rPr>
        <w:t>2. Inflación y Precios</w:t>
      </w:r>
    </w:p>
    <w:p w:rsidR="001E0491" w:rsidRPr="00BC3A61" w:rsidRDefault="001E0491" w:rsidP="001E0491">
      <w:pPr>
        <w:spacing w:after="0" w:line="240" w:lineRule="auto"/>
        <w:jc w:val="both"/>
        <w:divId w:val="778335994"/>
        <w:rPr>
          <w:rFonts w:ascii="Lato" w:eastAsia="Times New Roman" w:hAnsi="Lato" w:cs="Times New Roman"/>
          <w:sz w:val="20"/>
          <w:szCs w:val="20"/>
        </w:rPr>
      </w:pPr>
    </w:p>
    <w:p w:rsidR="001E0491" w:rsidRPr="00BC3A61" w:rsidRDefault="001E0491" w:rsidP="001E0491">
      <w:pPr>
        <w:spacing w:after="0" w:line="240" w:lineRule="auto"/>
        <w:ind w:firstLine="708"/>
        <w:jc w:val="both"/>
        <w:divId w:val="778335994"/>
        <w:rPr>
          <w:rFonts w:ascii="Lato" w:eastAsia="Times New Roman" w:hAnsi="Lato" w:cs="Times New Roman"/>
          <w:sz w:val="20"/>
          <w:szCs w:val="20"/>
        </w:rPr>
      </w:pPr>
      <w:r w:rsidRPr="00BC3A61">
        <w:rPr>
          <w:rFonts w:ascii="Lato" w:eastAsia="Times New Roman" w:hAnsi="Lato" w:cs="Times New Roman"/>
          <w:sz w:val="20"/>
          <w:szCs w:val="20"/>
        </w:rPr>
        <w:t>La inflación general anual descendió a lo largo del segundo trimestre de 2026, influida por la tendencia a la baja que siguió exhibiendo la inflación subyacente y por la reducción que presentó la no subyacente después de abril En efecto, entre el primer y el segundo trimestre de 2026 la inflación general anual se redujo de 4.13% a 3.92%. A su vez, entre los trimestres referidos la inflación subyacente anual disminuyó de 4.49% a 4.16% en respuesta a la menor variación anual de los precios del subíndice de las mercancías, que continuó reduciéndose luego del incremento que registró en enero. En contraste, la variación anual de los precios del componente de los servicios se incrementó ligeramente. Por su parte, si bien en la misma comparación trimestral la inflación no subyacente anual pasó de 2.96% a 3.10%, esta se fue moderando después de registrar en abril un máximo en lo que va del año. Su desempeño posterior estuvo influido por la reducción en la variación anual de los precios del subíndice de los agropecuarios que más que compensó el aumento, desde niveles bajos, en la de los energéticos. A principios del tercer trimestre, la inflación general anual continuó descendiendo como reflejo de menores niveles tanto de la inflación subyacente como de la no subyacente. En la primera quincena de agosto, la inflación general se situó en 3.26%, en tanto que la subyacente siguió a la baja y se ubicó en 3.93%.</w:t>
      </w:r>
    </w:p>
    <w:p w:rsidR="001E0491" w:rsidRPr="00BC3A61" w:rsidRDefault="001E0491" w:rsidP="001E0491">
      <w:pPr>
        <w:spacing w:after="0" w:line="240" w:lineRule="auto"/>
        <w:jc w:val="both"/>
        <w:divId w:val="778335994"/>
        <w:rPr>
          <w:rFonts w:ascii="Lato" w:eastAsia="Times New Roman" w:hAnsi="Lato" w:cs="Times New Roman"/>
          <w:sz w:val="20"/>
          <w:szCs w:val="20"/>
        </w:rPr>
      </w:pPr>
    </w:p>
    <w:p w:rsidR="001E0491" w:rsidRPr="00BC3A61" w:rsidRDefault="001E0491" w:rsidP="001E0491">
      <w:pPr>
        <w:spacing w:after="0" w:line="240" w:lineRule="auto"/>
        <w:ind w:firstLine="708"/>
        <w:jc w:val="both"/>
        <w:divId w:val="778335994"/>
        <w:rPr>
          <w:rFonts w:ascii="Lato" w:eastAsia="Times New Roman" w:hAnsi="Lato" w:cs="Times New Roman"/>
          <w:sz w:val="20"/>
          <w:szCs w:val="20"/>
        </w:rPr>
      </w:pPr>
      <w:r w:rsidRPr="00BC3A61">
        <w:rPr>
          <w:rFonts w:ascii="Lato" w:eastAsia="Times New Roman" w:hAnsi="Lato" w:cs="Times New Roman"/>
          <w:sz w:val="20"/>
          <w:szCs w:val="20"/>
        </w:rPr>
        <w:t>En el segundo trimestre de 2026, la inflación subyacente anual continuó con la trayectoria a la baja que inició en febrero luego de los ajustes al IEPS de principios de año. Entre el primer y el segundo trimestre, este indicador disminuyó de 4.49% a 4.16% y se situó en 3.93% en la primera quincena de agosto. Este desempeño respondió a la reducción que también desde febrero mantuvo la variación anual de los precios de las mercancías. Por su parte, en el trimestre de referencia, la variación anual de los precios de los servicios continuó exhibiendo persistencia alrededor de 4.50%, aunque en lo que va del tercer trimestre presentó cierta reducción.</w:t>
      </w:r>
    </w:p>
    <w:p w:rsidR="001E0491" w:rsidRPr="00BC3A61" w:rsidRDefault="001E0491" w:rsidP="001E0491">
      <w:pPr>
        <w:spacing w:after="0" w:line="240" w:lineRule="auto"/>
        <w:jc w:val="both"/>
        <w:divId w:val="778335994"/>
        <w:rPr>
          <w:rFonts w:ascii="Lato" w:eastAsia="Times New Roman" w:hAnsi="Lato" w:cs="Times New Roman"/>
          <w:sz w:val="20"/>
          <w:szCs w:val="20"/>
        </w:rPr>
      </w:pPr>
    </w:p>
    <w:p w:rsidR="001E0491" w:rsidRPr="00BC3A61" w:rsidRDefault="001E0491" w:rsidP="001E0491">
      <w:pPr>
        <w:spacing w:after="0" w:line="240" w:lineRule="auto"/>
        <w:ind w:firstLine="708"/>
        <w:jc w:val="both"/>
        <w:divId w:val="778335994"/>
        <w:rPr>
          <w:rFonts w:ascii="Lato" w:eastAsia="Times New Roman" w:hAnsi="Lato" w:cs="Times New Roman"/>
          <w:sz w:val="20"/>
          <w:szCs w:val="20"/>
        </w:rPr>
      </w:pPr>
      <w:r w:rsidRPr="00BC3A61">
        <w:rPr>
          <w:rFonts w:ascii="Lato" w:eastAsia="Times New Roman" w:hAnsi="Lato" w:cs="Times New Roman"/>
          <w:sz w:val="20"/>
          <w:szCs w:val="20"/>
        </w:rPr>
        <w:t>Entre el primer y el segundo trimestre de 2026, la inflación no subyacente anual aumentó de 2.96% a 3.10%, presionada, en particular, por los precios de las frutas y verduras. También influyó el incremento, si bien desde niveles bajos, que desde marzo ha registrado la de energéticos como la gasolina y el gas doméstico. No obstante, luego de alcanzar 5.08% en abril, la inflación no subyacente se ha moderado. Ello en respuesta a la menor variación anual de los precios de las frutas y verduras que se ha observado desde abril, así como a los bajos niveles que ha mantenido la de los pecuarios.</w:t>
      </w:r>
    </w:p>
    <w:p w:rsidR="001E0491" w:rsidRPr="00BC3A61" w:rsidRDefault="001E0491" w:rsidP="001E0491">
      <w:pPr>
        <w:spacing w:after="0" w:line="240" w:lineRule="auto"/>
        <w:jc w:val="both"/>
        <w:divId w:val="778335994"/>
        <w:rPr>
          <w:rFonts w:ascii="Lato" w:eastAsia="Times New Roman" w:hAnsi="Lato" w:cs="Times New Roman"/>
          <w:sz w:val="20"/>
          <w:szCs w:val="20"/>
        </w:rPr>
      </w:pPr>
    </w:p>
    <w:p w:rsidR="001E0491" w:rsidRPr="00BC3A61" w:rsidRDefault="001E0491" w:rsidP="001E0491">
      <w:pPr>
        <w:spacing w:after="0" w:line="240" w:lineRule="auto"/>
        <w:ind w:firstLine="708"/>
        <w:jc w:val="both"/>
        <w:divId w:val="778335994"/>
        <w:rPr>
          <w:rFonts w:ascii="Lato" w:eastAsia="Times New Roman" w:hAnsi="Lato" w:cs="Times New Roman"/>
          <w:sz w:val="20"/>
          <w:szCs w:val="20"/>
        </w:rPr>
      </w:pPr>
      <w:r w:rsidRPr="00BC3A61">
        <w:rPr>
          <w:rFonts w:ascii="Lato" w:eastAsia="Times New Roman" w:hAnsi="Lato" w:cs="Times New Roman"/>
          <w:sz w:val="20"/>
          <w:szCs w:val="20"/>
        </w:rPr>
        <w:lastRenderedPageBreak/>
        <w:t>En lo que concierne al Índice Nacional de Precios Productor (INPP) de producción total, excluyendo petróleo, su variación anual disminuyó de 2.08% en el primer trimestre de 2026 a 1.97% en el segundo trimestre del mismo año, y se ubicó en 2.46% en julio de 2026. En el interior de este indicador, la variación anual del componente de mercancías y servicios finales aumentó entre los trimestres mencionados, al pasar de 2.29% a 2.48%, y se situó en 2.83% en julio. En lo que se refiere al subíndice de mercancías y servicios de exportación, su variación anual creció de -1.66 % a -0.72% en los trimestres referidos, y registró una variación anual de 0.51% en julio. Por su parte, el subíndice de precios de bienes y servicios intermedios mostró una baja en su tasa de variación anual, de 1.56% a 0.67% durante el mismo periodo trimestral, para posteriormente ubicarse en 1.55% en julio.</w:t>
      </w:r>
    </w:p>
    <w:p w:rsidR="001E0491" w:rsidRPr="00BC3A61" w:rsidRDefault="001E0491" w:rsidP="001E0491">
      <w:pPr>
        <w:spacing w:after="0" w:line="240" w:lineRule="auto"/>
        <w:ind w:firstLine="708"/>
        <w:jc w:val="both"/>
        <w:divId w:val="778335994"/>
        <w:rPr>
          <w:rFonts w:ascii="Lato" w:eastAsia="Times New Roman" w:hAnsi="Lato" w:cs="Times New Roman"/>
          <w:sz w:val="20"/>
          <w:szCs w:val="20"/>
        </w:rPr>
      </w:pPr>
      <w:r w:rsidRPr="00BC3A61">
        <w:rPr>
          <w:rFonts w:ascii="Lato" w:eastAsia="Times New Roman" w:hAnsi="Lato" w:cs="Times New Roman"/>
          <w:sz w:val="20"/>
          <w:szCs w:val="20"/>
        </w:rPr>
        <w:t>La variación anual del subíndice de precios al productor de bienes finales para consumo interno aumentó entre los trimestres mencionados, al pasar de 2.61 a 2.70%, al tiempo que en julio de 2026 se ubicó en 3.10%. Este subíndice es de particular relevancia pues tiene un mayor poder predictivo sobre la evolución de los precios de las mercancías al consumidor incluidas en el subíndice subyacente.</w:t>
      </w:r>
    </w:p>
    <w:p w:rsidR="001E0491" w:rsidRPr="00BC3A61" w:rsidRDefault="001E0491" w:rsidP="001E0491">
      <w:pPr>
        <w:spacing w:after="0" w:line="240" w:lineRule="auto"/>
        <w:jc w:val="both"/>
        <w:divId w:val="778335994"/>
        <w:rPr>
          <w:rFonts w:ascii="Lato" w:eastAsia="Times New Roman" w:hAnsi="Lato" w:cs="Times New Roman"/>
          <w:sz w:val="20"/>
          <w:szCs w:val="20"/>
        </w:rPr>
      </w:pPr>
    </w:p>
    <w:p w:rsidR="001E0491" w:rsidRPr="00BC3A61" w:rsidRDefault="001E0491" w:rsidP="001E0491">
      <w:pPr>
        <w:spacing w:after="0" w:line="240" w:lineRule="auto"/>
        <w:jc w:val="both"/>
        <w:divId w:val="778335994"/>
        <w:rPr>
          <w:rFonts w:ascii="Lato" w:eastAsia="Times New Roman" w:hAnsi="Lato" w:cs="Times New Roman"/>
          <w:b/>
          <w:sz w:val="20"/>
          <w:szCs w:val="20"/>
        </w:rPr>
      </w:pPr>
      <w:r w:rsidRPr="00BC3A61">
        <w:rPr>
          <w:rFonts w:ascii="Lato" w:eastAsia="Times New Roman" w:hAnsi="Lato" w:cs="Times New Roman"/>
          <w:b/>
          <w:sz w:val="20"/>
          <w:szCs w:val="20"/>
        </w:rPr>
        <w:t>3. Mercado Laboral y Salarios</w:t>
      </w:r>
    </w:p>
    <w:p w:rsidR="001E0491" w:rsidRPr="00BC3A61" w:rsidRDefault="001E0491" w:rsidP="001E0491">
      <w:pPr>
        <w:spacing w:after="0" w:line="240" w:lineRule="auto"/>
        <w:jc w:val="both"/>
        <w:divId w:val="778335994"/>
        <w:rPr>
          <w:rFonts w:ascii="Lato" w:eastAsia="Times New Roman" w:hAnsi="Lato" w:cs="Times New Roman"/>
          <w:sz w:val="20"/>
          <w:szCs w:val="20"/>
        </w:rPr>
      </w:pPr>
    </w:p>
    <w:p w:rsidR="001E0491" w:rsidRPr="00BC3A61" w:rsidRDefault="001E0491" w:rsidP="00BC3A61">
      <w:pPr>
        <w:spacing w:after="0" w:line="240" w:lineRule="auto"/>
        <w:ind w:firstLine="708"/>
        <w:jc w:val="both"/>
        <w:divId w:val="778335994"/>
        <w:rPr>
          <w:rFonts w:ascii="Lato" w:eastAsia="Times New Roman" w:hAnsi="Lato" w:cs="Times New Roman"/>
          <w:sz w:val="20"/>
          <w:szCs w:val="20"/>
        </w:rPr>
      </w:pPr>
      <w:r w:rsidRPr="00BC3A61">
        <w:rPr>
          <w:rFonts w:ascii="Lato" w:eastAsia="Times New Roman" w:hAnsi="Lato" w:cs="Times New Roman"/>
          <w:sz w:val="20"/>
          <w:szCs w:val="20"/>
        </w:rPr>
        <w:t>Durante el segundo trimestre de 2026 la tasa de participación laboral y la razón de ocupación a población en edad de trabajar se ubicaron en</w:t>
      </w:r>
      <w:r w:rsidR="00BC3A61">
        <w:rPr>
          <w:rFonts w:ascii="Lato" w:eastAsia="Times New Roman" w:hAnsi="Lato" w:cs="Times New Roman"/>
          <w:sz w:val="20"/>
          <w:szCs w:val="20"/>
        </w:rPr>
        <w:t xml:space="preserve"> </w:t>
      </w:r>
      <w:r w:rsidRPr="00BC3A61">
        <w:rPr>
          <w:rFonts w:ascii="Lato" w:eastAsia="Times New Roman" w:hAnsi="Lato" w:cs="Times New Roman"/>
          <w:sz w:val="20"/>
          <w:szCs w:val="20"/>
        </w:rPr>
        <w:t>59.0 y 57.4% con cifras ajustadas por estacionalidad, mismos niveles que los del periodo enero-marzo.</w:t>
      </w:r>
    </w:p>
    <w:p w:rsidR="001E0491" w:rsidRPr="00BC3A61" w:rsidRDefault="001E0491" w:rsidP="001E0491">
      <w:pPr>
        <w:spacing w:after="0" w:line="240" w:lineRule="auto"/>
        <w:jc w:val="both"/>
        <w:divId w:val="778335994"/>
        <w:rPr>
          <w:rFonts w:ascii="Lato" w:eastAsia="Times New Roman" w:hAnsi="Lato" w:cs="Times New Roman"/>
          <w:sz w:val="20"/>
          <w:szCs w:val="20"/>
        </w:rPr>
      </w:pPr>
      <w:r w:rsidRPr="00BC3A61">
        <w:rPr>
          <w:rFonts w:ascii="Lato" w:eastAsia="Times New Roman" w:hAnsi="Lato" w:cs="Times New Roman"/>
          <w:sz w:val="20"/>
          <w:szCs w:val="20"/>
        </w:rPr>
        <w:t>La evolución conjunta mostrada por dichos indicadores durante varios trimestres siguió contribuyendo a que tanto la tasa de desocupación nacional como la urbana permanecieran en niveles bajos e iguales a los del trimestre previo de 2.7 y 3.2%, respectivamente. Por su parte, la tasa de subocupación disminuyó de 7.0% de la población ocupada en el lapso enero-marzo a 6.8% en el segundo trimestre, mientras que la tasa de desocupación extendida pasó de 9.9 a 10.0%.</w:t>
      </w:r>
    </w:p>
    <w:p w:rsidR="001E0491" w:rsidRPr="00BC3A61" w:rsidRDefault="001E0491" w:rsidP="001E0491">
      <w:pPr>
        <w:spacing w:after="0" w:line="240" w:lineRule="auto"/>
        <w:jc w:val="both"/>
        <w:divId w:val="778335994"/>
        <w:rPr>
          <w:rFonts w:ascii="Lato" w:eastAsia="Times New Roman" w:hAnsi="Lato" w:cs="Times New Roman"/>
          <w:sz w:val="20"/>
          <w:szCs w:val="20"/>
        </w:rPr>
      </w:pPr>
    </w:p>
    <w:p w:rsidR="001E0491" w:rsidRPr="00BC3A61" w:rsidRDefault="001E0491" w:rsidP="001E0491">
      <w:pPr>
        <w:spacing w:after="0" w:line="240" w:lineRule="auto"/>
        <w:ind w:firstLine="708"/>
        <w:jc w:val="both"/>
        <w:divId w:val="778335994"/>
        <w:rPr>
          <w:rFonts w:ascii="Lato" w:eastAsia="Times New Roman" w:hAnsi="Lato" w:cs="Times New Roman"/>
          <w:sz w:val="20"/>
          <w:szCs w:val="20"/>
        </w:rPr>
      </w:pPr>
      <w:r w:rsidRPr="00BC3A61">
        <w:rPr>
          <w:rFonts w:ascii="Lato" w:eastAsia="Times New Roman" w:hAnsi="Lato" w:cs="Times New Roman"/>
          <w:sz w:val="20"/>
          <w:szCs w:val="20"/>
        </w:rPr>
        <w:t>En el lapso abril-junio de 2026, la tasa de informalidad laboral se situó en 55.1%, nivel similar al del trimestre previo de 55.0%. Por su parte, la tasa de ocupación en el sector informal aumentó y se situó en un nivel históricamente alto de 30.1%.</w:t>
      </w:r>
    </w:p>
    <w:p w:rsidR="001E0491" w:rsidRPr="00BC3A61" w:rsidRDefault="001E0491" w:rsidP="001E0491">
      <w:pPr>
        <w:spacing w:after="0" w:line="240" w:lineRule="auto"/>
        <w:ind w:firstLine="708"/>
        <w:jc w:val="both"/>
        <w:divId w:val="778335994"/>
        <w:rPr>
          <w:rFonts w:ascii="Lato" w:eastAsia="Times New Roman" w:hAnsi="Lato" w:cs="Times New Roman"/>
          <w:sz w:val="20"/>
          <w:szCs w:val="20"/>
        </w:rPr>
      </w:pPr>
    </w:p>
    <w:p w:rsidR="001E0491" w:rsidRPr="00BC3A61" w:rsidRDefault="001E0491" w:rsidP="001E0491">
      <w:pPr>
        <w:spacing w:after="0" w:line="240" w:lineRule="auto"/>
        <w:ind w:firstLine="708"/>
        <w:jc w:val="both"/>
        <w:divId w:val="778335994"/>
        <w:rPr>
          <w:rFonts w:ascii="Lato" w:eastAsia="Times New Roman" w:hAnsi="Lato" w:cs="Times New Roman"/>
          <w:sz w:val="20"/>
          <w:szCs w:val="20"/>
        </w:rPr>
      </w:pPr>
      <w:r w:rsidRPr="00BC3A61">
        <w:rPr>
          <w:rFonts w:ascii="Lato" w:eastAsia="Times New Roman" w:hAnsi="Lato" w:cs="Times New Roman"/>
          <w:sz w:val="20"/>
          <w:szCs w:val="20"/>
        </w:rPr>
        <w:t>En relación con los indicadores del mercado laboral por género, en el segundo trimestre de 2026 la tasa de desocupación de los hombres de 2.7% fue similar a la del trimestre anterior. Su tasa de participación laboral y su razón de ocupación a población en edad de trabajar disminuyeron 0.1 puntos porcentuales cada una, acumulando ambos indicadores cuatro trimestres consecutivos con reducciones. En lo que corresponde a las mujeres, su tasa de desocupación permaneció en 2.8% entre trimestres. En este contexto, su tasa de participación laboral y su razón de ocupación a población en edad de trabajar presentaron aumentos trimestrales acotados de la misma magnitud (0.1 puntos porcentuales).</w:t>
      </w:r>
    </w:p>
    <w:p w:rsidR="001E0491" w:rsidRPr="00BC3A61" w:rsidRDefault="001E0491" w:rsidP="001E0491">
      <w:pPr>
        <w:spacing w:after="0" w:line="240" w:lineRule="auto"/>
        <w:jc w:val="both"/>
        <w:divId w:val="778335994"/>
        <w:rPr>
          <w:rFonts w:ascii="Lato" w:eastAsia="Times New Roman" w:hAnsi="Lato" w:cs="Times New Roman"/>
          <w:sz w:val="20"/>
          <w:szCs w:val="20"/>
        </w:rPr>
      </w:pPr>
    </w:p>
    <w:p w:rsidR="001E0491" w:rsidRPr="00BC3A61" w:rsidRDefault="001E0491" w:rsidP="001E0491">
      <w:pPr>
        <w:spacing w:after="0" w:line="300" w:lineRule="atLeast"/>
        <w:jc w:val="both"/>
        <w:divId w:val="778335994"/>
        <w:rPr>
          <w:rFonts w:ascii="Lato" w:eastAsia="Times New Roman" w:hAnsi="Lato" w:cs="Times New Roman"/>
          <w:sz w:val="20"/>
          <w:szCs w:val="20"/>
        </w:rPr>
      </w:pPr>
      <w:r w:rsidRPr="00BC3A61">
        <w:rPr>
          <w:rFonts w:ascii="Lato" w:eastAsia="Times New Roman" w:hAnsi="Lato" w:cs="Times New Roman"/>
          <w:sz w:val="20"/>
          <w:szCs w:val="20"/>
        </w:rPr>
        <w:t xml:space="preserve">Fuente: Información tomada del informe trimestral publicado por el Banco de México: </w:t>
      </w:r>
      <w:hyperlink r:id="rId7" w:history="1">
        <w:r w:rsidRPr="00BC3A61">
          <w:rPr>
            <w:rStyle w:val="Hipervnculo"/>
            <w:rFonts w:ascii="Lato" w:eastAsia="Times New Roman" w:hAnsi="Lato" w:cs="Times New Roman"/>
            <w:color w:val="auto"/>
            <w:sz w:val="20"/>
            <w:szCs w:val="20"/>
          </w:rPr>
          <w:t>https://www.banxico.org.mx/publicaciones-y-prensa/informes-trimestrales/informes-trimestrales-precios.html</w:t>
        </w:r>
      </w:hyperlink>
    </w:p>
    <w:p w:rsidR="001E0491" w:rsidRPr="00BC3A61" w:rsidRDefault="001E0491" w:rsidP="001E0491">
      <w:pPr>
        <w:spacing w:after="0" w:line="300" w:lineRule="atLeast"/>
        <w:jc w:val="both"/>
        <w:divId w:val="778335994"/>
        <w:rPr>
          <w:rFonts w:ascii="Lato" w:hAnsi="Lato"/>
          <w:sz w:val="20"/>
          <w:szCs w:val="20"/>
        </w:rPr>
      </w:pPr>
    </w:p>
    <w:p w:rsidR="001E0491" w:rsidRPr="00BC3A61" w:rsidRDefault="001E0491" w:rsidP="001E0491">
      <w:pPr>
        <w:divId w:val="778335994"/>
        <w:rPr>
          <w:rFonts w:ascii="Lato" w:eastAsia="Times New Roman" w:hAnsi="Lato"/>
          <w:sz w:val="20"/>
          <w:szCs w:val="20"/>
        </w:rPr>
      </w:pPr>
      <w:r w:rsidRPr="00BC3A61">
        <w:rPr>
          <w:rStyle w:val="Textoennegrita"/>
          <w:rFonts w:ascii="Lato" w:eastAsia="Times New Roman" w:hAnsi="Lato"/>
          <w:sz w:val="20"/>
          <w:szCs w:val="20"/>
        </w:rPr>
        <w:t>2.2 Panorama económico local</w:t>
      </w:r>
    </w:p>
    <w:p w:rsidR="001E0491" w:rsidRPr="00BC3A61" w:rsidRDefault="001E0491" w:rsidP="001E0491">
      <w:pPr>
        <w:shd w:val="clear" w:color="auto" w:fill="FFFFFF"/>
        <w:spacing w:after="0" w:line="240" w:lineRule="auto"/>
        <w:ind w:firstLine="709"/>
        <w:jc w:val="both"/>
        <w:divId w:val="778335994"/>
        <w:rPr>
          <w:rFonts w:ascii="Lato" w:eastAsia="Times New Roman" w:hAnsi="Lato" w:cs="Times New Roman"/>
          <w:sz w:val="20"/>
          <w:szCs w:val="20"/>
        </w:rPr>
      </w:pPr>
      <w:r w:rsidRPr="00BC3A61">
        <w:rPr>
          <w:rFonts w:ascii="Lato" w:eastAsia="Times New Roman" w:hAnsi="Lato" w:cs="Times New Roman"/>
          <w:sz w:val="20"/>
          <w:szCs w:val="20"/>
        </w:rPr>
        <w:t>Tomando cifras del último Informe de Indicadores Económicos, con cifras al mes de agosto del 2026, de la Universidad Autónoma de Yucatán, se describe el desempeño económico de Yucatán.</w:t>
      </w:r>
    </w:p>
    <w:p w:rsidR="001E0491" w:rsidRPr="00BC3A61" w:rsidRDefault="001E0491" w:rsidP="001E0491">
      <w:pPr>
        <w:shd w:val="clear" w:color="auto" w:fill="FFFFFF"/>
        <w:spacing w:after="0" w:line="240" w:lineRule="auto"/>
        <w:ind w:firstLine="709"/>
        <w:jc w:val="both"/>
        <w:divId w:val="778335994"/>
        <w:rPr>
          <w:rFonts w:ascii="Lato" w:eastAsia="Times New Roman" w:hAnsi="Lato" w:cs="Times New Roman"/>
          <w:sz w:val="20"/>
          <w:szCs w:val="20"/>
        </w:rPr>
      </w:pPr>
      <w:r w:rsidRPr="00BC3A61">
        <w:rPr>
          <w:rFonts w:ascii="Lato" w:eastAsia="Times New Roman" w:hAnsi="Lato" w:cs="Times New Roman"/>
          <w:sz w:val="20"/>
          <w:szCs w:val="20"/>
        </w:rPr>
        <w:lastRenderedPageBreak/>
        <w:t xml:space="preserve"> Los indicadores de crecimiento y actividad se basan en cifras preliminares, pero marcan tendencias claras en la composición económica del estado.</w:t>
      </w: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r w:rsidRPr="00BC3A61">
        <w:rPr>
          <w:rFonts w:ascii="Lato" w:eastAsia="Times New Roman" w:hAnsi="Lato" w:cs="Times New Roman"/>
          <w:sz w:val="20"/>
          <w:szCs w:val="20"/>
        </w:rPr>
        <w:t>1. Actividad Económica y Crecimiento Sectorial</w:t>
      </w: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r w:rsidRPr="00BC3A61">
        <w:rPr>
          <w:rFonts w:ascii="Lato" w:eastAsia="Times New Roman" w:hAnsi="Lato" w:cs="Times New Roman"/>
          <w:sz w:val="20"/>
          <w:szCs w:val="20"/>
        </w:rPr>
        <w:t>Durante el primer trimestre del 2026, la economía de Yucatán registró el 2.1% (Variación Porcentual Anual) del Indicador Estatal de la Actividad Económica (ITAE). El desempeño fue sumamente heterogéneo entre sectores:</w:t>
      </w: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p>
    <w:p w:rsidR="001E0491" w:rsidRPr="00BC3A61" w:rsidRDefault="001E0491" w:rsidP="001E0491">
      <w:pPr>
        <w:pStyle w:val="Prrafodelista"/>
        <w:numPr>
          <w:ilvl w:val="0"/>
          <w:numId w:val="2"/>
        </w:numPr>
        <w:shd w:val="clear" w:color="auto" w:fill="FFFFFF"/>
        <w:jc w:val="both"/>
        <w:divId w:val="778335994"/>
        <w:rPr>
          <w:rFonts w:ascii="Lato" w:eastAsia="Times New Roman" w:hAnsi="Lato"/>
          <w:sz w:val="20"/>
          <w:szCs w:val="20"/>
        </w:rPr>
      </w:pPr>
      <w:r w:rsidRPr="00BC3A61">
        <w:rPr>
          <w:rFonts w:ascii="Lato" w:eastAsia="Times New Roman" w:hAnsi="Lato"/>
          <w:sz w:val="20"/>
          <w:szCs w:val="20"/>
        </w:rPr>
        <w:t>Sector Primario: Fue el motor de crecimiento con un avance anual del 14.0%.</w:t>
      </w:r>
    </w:p>
    <w:p w:rsidR="001E0491" w:rsidRPr="00BC3A61" w:rsidRDefault="001E0491" w:rsidP="001E0491">
      <w:pPr>
        <w:pStyle w:val="Prrafodelista"/>
        <w:numPr>
          <w:ilvl w:val="0"/>
          <w:numId w:val="2"/>
        </w:numPr>
        <w:shd w:val="clear" w:color="auto" w:fill="FFFFFF"/>
        <w:jc w:val="both"/>
        <w:divId w:val="778335994"/>
        <w:rPr>
          <w:rFonts w:ascii="Lato" w:eastAsia="Times New Roman" w:hAnsi="Lato"/>
          <w:sz w:val="20"/>
          <w:szCs w:val="20"/>
        </w:rPr>
      </w:pPr>
      <w:r w:rsidRPr="00BC3A61">
        <w:rPr>
          <w:rFonts w:ascii="Lato" w:eastAsia="Times New Roman" w:hAnsi="Lato"/>
          <w:sz w:val="20"/>
          <w:szCs w:val="20"/>
        </w:rPr>
        <w:t>Sector Secundario (Industria): Presentó un crecimiento del 1.8%.</w:t>
      </w:r>
    </w:p>
    <w:p w:rsidR="001E0491" w:rsidRPr="00BC3A61" w:rsidRDefault="001E0491" w:rsidP="001E0491">
      <w:pPr>
        <w:pStyle w:val="Prrafodelista"/>
        <w:numPr>
          <w:ilvl w:val="0"/>
          <w:numId w:val="2"/>
        </w:numPr>
        <w:shd w:val="clear" w:color="auto" w:fill="FFFFFF"/>
        <w:jc w:val="both"/>
        <w:divId w:val="778335994"/>
        <w:rPr>
          <w:rFonts w:ascii="Lato" w:eastAsia="Times New Roman" w:hAnsi="Lato"/>
          <w:sz w:val="20"/>
          <w:szCs w:val="20"/>
        </w:rPr>
      </w:pPr>
      <w:r w:rsidRPr="00BC3A61">
        <w:rPr>
          <w:rFonts w:ascii="Lato" w:eastAsia="Times New Roman" w:hAnsi="Lato"/>
          <w:sz w:val="20"/>
          <w:szCs w:val="20"/>
        </w:rPr>
        <w:t>Sector Terciario (Comercio y Servicios): Mostró una expansión discreta del 1.6%.</w:t>
      </w: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r w:rsidRPr="00BC3A61">
        <w:rPr>
          <w:rFonts w:ascii="Lato" w:eastAsia="Times New Roman" w:hAnsi="Lato" w:cs="Times New Roman"/>
          <w:sz w:val="20"/>
          <w:szCs w:val="20"/>
        </w:rPr>
        <w:t>2. Inflación y Poder Adquisitivo</w:t>
      </w: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p>
    <w:p w:rsidR="001E0491" w:rsidRPr="00BC3A61" w:rsidRDefault="001E0491" w:rsidP="001E0491">
      <w:pPr>
        <w:pStyle w:val="Prrafodelista"/>
        <w:numPr>
          <w:ilvl w:val="0"/>
          <w:numId w:val="1"/>
        </w:numPr>
        <w:shd w:val="clear" w:color="auto" w:fill="FFFFFF"/>
        <w:jc w:val="both"/>
        <w:divId w:val="778335994"/>
        <w:rPr>
          <w:rFonts w:ascii="Lato" w:eastAsia="Times New Roman" w:hAnsi="Lato"/>
          <w:sz w:val="20"/>
          <w:szCs w:val="20"/>
        </w:rPr>
      </w:pPr>
      <w:r w:rsidRPr="00BC3A61">
        <w:rPr>
          <w:rFonts w:ascii="Lato" w:eastAsia="Times New Roman" w:hAnsi="Lato"/>
          <w:sz w:val="20"/>
          <w:szCs w:val="20"/>
        </w:rPr>
        <w:t xml:space="preserve">La inflación mensual en Mérida fue de 0.61% en agosto de 2026, observándose un </w:t>
      </w:r>
      <w:r w:rsidR="00BC3A61">
        <w:rPr>
          <w:rFonts w:ascii="Lato" w:eastAsia="Times New Roman" w:hAnsi="Lato"/>
          <w:sz w:val="20"/>
          <w:szCs w:val="20"/>
        </w:rPr>
        <w:t>aumento respecto con el mes de j</w:t>
      </w:r>
      <w:r w:rsidRPr="00BC3A61">
        <w:rPr>
          <w:rFonts w:ascii="Lato" w:eastAsia="Times New Roman" w:hAnsi="Lato"/>
          <w:sz w:val="20"/>
          <w:szCs w:val="20"/>
        </w:rPr>
        <w:t>ulio. La inflación mensual Nacional para el mes de agosto fue de 0.20%.</w:t>
      </w:r>
    </w:p>
    <w:p w:rsidR="001E0491" w:rsidRPr="00BC3A61" w:rsidRDefault="001E0491" w:rsidP="001E0491">
      <w:pPr>
        <w:pStyle w:val="Prrafodelista"/>
        <w:numPr>
          <w:ilvl w:val="0"/>
          <w:numId w:val="1"/>
        </w:numPr>
        <w:shd w:val="clear" w:color="auto" w:fill="FFFFFF"/>
        <w:jc w:val="both"/>
        <w:divId w:val="778335994"/>
        <w:rPr>
          <w:rFonts w:ascii="Lato" w:eastAsia="Times New Roman" w:hAnsi="Lato"/>
          <w:sz w:val="20"/>
          <w:szCs w:val="20"/>
        </w:rPr>
      </w:pPr>
      <w:r w:rsidRPr="00BC3A61">
        <w:rPr>
          <w:rFonts w:ascii="Lato" w:eastAsia="Times New Roman" w:hAnsi="Lato"/>
          <w:sz w:val="20"/>
          <w:szCs w:val="20"/>
        </w:rPr>
        <w:t>Los precios en Mérida han acumulado al mes de agosto 2026, 2.31 puntos porcentuales, mientras que a nivel nacional se ha acumulado 1.69%.</w:t>
      </w:r>
    </w:p>
    <w:p w:rsidR="001E0491" w:rsidRPr="00BC3A61" w:rsidRDefault="001E0491" w:rsidP="001E0491">
      <w:pPr>
        <w:pStyle w:val="Prrafodelista"/>
        <w:numPr>
          <w:ilvl w:val="0"/>
          <w:numId w:val="1"/>
        </w:numPr>
        <w:shd w:val="clear" w:color="auto" w:fill="FFFFFF"/>
        <w:jc w:val="both"/>
        <w:divId w:val="778335994"/>
        <w:rPr>
          <w:rFonts w:ascii="Lato" w:eastAsia="Times New Roman" w:hAnsi="Lato"/>
          <w:sz w:val="20"/>
          <w:szCs w:val="20"/>
        </w:rPr>
      </w:pPr>
      <w:r w:rsidRPr="00BC3A61">
        <w:rPr>
          <w:rFonts w:ascii="Lato" w:eastAsia="Times New Roman" w:hAnsi="Lato"/>
          <w:sz w:val="20"/>
          <w:szCs w:val="20"/>
        </w:rPr>
        <w:t>La inflación anualizada de Mérida, al mes de agosto 2026, fue de 4.28%,</w:t>
      </w:r>
      <w:r w:rsidRPr="00BC3A61">
        <w:rPr>
          <w:rFonts w:ascii="Lato" w:hAnsi="Lato"/>
          <w:sz w:val="20"/>
          <w:szCs w:val="20"/>
        </w:rPr>
        <w:t xml:space="preserve"> </w:t>
      </w:r>
      <w:r w:rsidRPr="00BC3A61">
        <w:rPr>
          <w:rFonts w:ascii="Lato" w:eastAsia="Times New Roman" w:hAnsi="Lato"/>
          <w:sz w:val="20"/>
          <w:szCs w:val="20"/>
        </w:rPr>
        <w:t>mayor a la variación anual de la región (3.53%) y mayor a la inflación anualizada nacional (3.26%).</w:t>
      </w: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r w:rsidRPr="00BC3A61">
        <w:rPr>
          <w:rFonts w:ascii="Lato" w:eastAsia="Times New Roman" w:hAnsi="Lato" w:cs="Times New Roman"/>
          <w:sz w:val="20"/>
          <w:szCs w:val="20"/>
        </w:rPr>
        <w:t>3. Mercado Laboral y Ocupación</w:t>
      </w: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p>
    <w:p w:rsidR="001E0491" w:rsidRDefault="001E0491" w:rsidP="001E0491">
      <w:pPr>
        <w:pStyle w:val="Prrafodelista"/>
        <w:numPr>
          <w:ilvl w:val="0"/>
          <w:numId w:val="3"/>
        </w:numPr>
        <w:shd w:val="clear" w:color="auto" w:fill="FFFFFF"/>
        <w:jc w:val="both"/>
        <w:divId w:val="778335994"/>
        <w:rPr>
          <w:rFonts w:ascii="Lato" w:eastAsia="Times New Roman" w:hAnsi="Lato"/>
          <w:sz w:val="20"/>
          <w:szCs w:val="20"/>
        </w:rPr>
      </w:pPr>
      <w:r w:rsidRPr="00BC3A61">
        <w:rPr>
          <w:rFonts w:ascii="Lato" w:eastAsia="Times New Roman" w:hAnsi="Lato"/>
          <w:sz w:val="20"/>
          <w:szCs w:val="20"/>
        </w:rPr>
        <w:t>Empleo Formal: al mes de agosto del 2026 fue de 430,404 trabajadores asegurados en el IMSS; lo anterior indica un aumento de 0.29% puntos porcentuales en el número de trabajadores asegurados. Así mismo los trabajadores asegurados permanentes registraron un aumento con respecto al mes previo en un 0.18%.</w:t>
      </w:r>
    </w:p>
    <w:p w:rsidR="00CF1479" w:rsidRPr="00BC3A61" w:rsidRDefault="00CF1479" w:rsidP="00CF1479">
      <w:pPr>
        <w:pStyle w:val="Prrafodelista"/>
        <w:shd w:val="clear" w:color="auto" w:fill="FFFFFF"/>
        <w:jc w:val="both"/>
        <w:divId w:val="778335994"/>
        <w:rPr>
          <w:rFonts w:ascii="Lato" w:eastAsia="Times New Roman" w:hAnsi="Lato"/>
          <w:sz w:val="20"/>
          <w:szCs w:val="20"/>
        </w:rPr>
      </w:pPr>
    </w:p>
    <w:p w:rsidR="001E0491" w:rsidRPr="00BC3A61" w:rsidRDefault="001E0491" w:rsidP="001E0491">
      <w:pPr>
        <w:pStyle w:val="Prrafodelista"/>
        <w:numPr>
          <w:ilvl w:val="0"/>
          <w:numId w:val="3"/>
        </w:numPr>
        <w:shd w:val="clear" w:color="auto" w:fill="FFFFFF"/>
        <w:jc w:val="both"/>
        <w:divId w:val="778335994"/>
        <w:rPr>
          <w:rFonts w:ascii="Lato" w:eastAsia="Times New Roman" w:hAnsi="Lato"/>
          <w:sz w:val="20"/>
          <w:szCs w:val="20"/>
        </w:rPr>
      </w:pPr>
      <w:r w:rsidRPr="00BC3A61">
        <w:rPr>
          <w:rFonts w:ascii="Lato" w:eastAsia="Times New Roman" w:hAnsi="Lato"/>
          <w:sz w:val="20"/>
          <w:szCs w:val="20"/>
        </w:rPr>
        <w:t>El salario mínimo real tuvo una disminución de poder adquisitivo de 44 centavos, lo cual representa una</w:t>
      </w:r>
    </w:p>
    <w:p w:rsidR="001E0491" w:rsidRPr="00BC3A61" w:rsidRDefault="001E0491" w:rsidP="001E0491">
      <w:pPr>
        <w:shd w:val="clear" w:color="auto" w:fill="FFFFFF"/>
        <w:spacing w:after="0" w:line="240" w:lineRule="auto"/>
        <w:ind w:left="705"/>
        <w:jc w:val="both"/>
        <w:divId w:val="778335994"/>
        <w:rPr>
          <w:rFonts w:ascii="Lato" w:eastAsia="Times New Roman" w:hAnsi="Lato" w:cs="Times New Roman"/>
          <w:sz w:val="20"/>
          <w:szCs w:val="20"/>
        </w:rPr>
      </w:pPr>
      <w:r w:rsidRPr="00BC3A61">
        <w:rPr>
          <w:rFonts w:ascii="Lato" w:eastAsia="Times New Roman" w:hAnsi="Lato" w:cs="Times New Roman"/>
          <w:sz w:val="20"/>
          <w:szCs w:val="20"/>
        </w:rPr>
        <w:t>disminución de 0.20% respecto al mes anterior.</w:t>
      </w: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p>
    <w:p w:rsidR="001E0491" w:rsidRPr="00BC3A61" w:rsidRDefault="001E0491" w:rsidP="001E0491">
      <w:pPr>
        <w:pStyle w:val="Prrafodelista"/>
        <w:numPr>
          <w:ilvl w:val="0"/>
          <w:numId w:val="4"/>
        </w:numPr>
        <w:shd w:val="clear" w:color="auto" w:fill="FFFFFF"/>
        <w:jc w:val="both"/>
        <w:divId w:val="778335994"/>
        <w:rPr>
          <w:rFonts w:ascii="Lato" w:eastAsia="Times New Roman" w:hAnsi="Lato"/>
          <w:sz w:val="20"/>
          <w:szCs w:val="20"/>
        </w:rPr>
      </w:pPr>
      <w:r w:rsidRPr="00BC3A61">
        <w:rPr>
          <w:rFonts w:ascii="Lato" w:eastAsia="Times New Roman" w:hAnsi="Lato"/>
          <w:sz w:val="20"/>
          <w:szCs w:val="20"/>
        </w:rPr>
        <w:t>Desocupación: La tasa de desocupación al mes de julio 2026 fue de apenas del 1.5%, notablemente inferior al 2.9% nacional.</w:t>
      </w: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p>
    <w:p w:rsidR="001E0491" w:rsidRPr="00BC3A61" w:rsidRDefault="001E0491" w:rsidP="001E0491">
      <w:pPr>
        <w:pStyle w:val="Prrafodelista"/>
        <w:numPr>
          <w:ilvl w:val="0"/>
          <w:numId w:val="4"/>
        </w:numPr>
        <w:shd w:val="clear" w:color="auto" w:fill="FFFFFF"/>
        <w:jc w:val="both"/>
        <w:divId w:val="778335994"/>
        <w:rPr>
          <w:rFonts w:ascii="Lato" w:eastAsia="Times New Roman" w:hAnsi="Lato"/>
          <w:sz w:val="20"/>
          <w:szCs w:val="20"/>
        </w:rPr>
      </w:pPr>
      <w:r w:rsidRPr="00BC3A61">
        <w:rPr>
          <w:rFonts w:ascii="Lato" w:eastAsia="Times New Roman" w:hAnsi="Lato"/>
          <w:sz w:val="20"/>
          <w:szCs w:val="20"/>
        </w:rPr>
        <w:t>Informalidad: Persiste como un reto estructural, con una tasa de informalidad laboral del 59.1 % al segundo trimestre del 2026.</w:t>
      </w: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p>
    <w:p w:rsidR="001E0491" w:rsidRDefault="001E0491" w:rsidP="001E0491">
      <w:pPr>
        <w:pStyle w:val="Prrafodelista"/>
        <w:numPr>
          <w:ilvl w:val="0"/>
          <w:numId w:val="4"/>
        </w:numPr>
        <w:shd w:val="clear" w:color="auto" w:fill="FFFFFF"/>
        <w:jc w:val="both"/>
        <w:divId w:val="778335994"/>
        <w:rPr>
          <w:rFonts w:ascii="Lato" w:eastAsia="Times New Roman" w:hAnsi="Lato"/>
          <w:sz w:val="20"/>
          <w:szCs w:val="20"/>
        </w:rPr>
      </w:pPr>
      <w:r w:rsidRPr="00BC3A61">
        <w:rPr>
          <w:rFonts w:ascii="Lato" w:eastAsia="Times New Roman" w:hAnsi="Lato"/>
          <w:sz w:val="20"/>
          <w:szCs w:val="20"/>
        </w:rPr>
        <w:t>Distribución por Rama, al segundo trimestre 2026: Los sectores con mayor volumen de ocupados son:</w:t>
      </w:r>
    </w:p>
    <w:p w:rsidR="001520CE" w:rsidRPr="001520CE" w:rsidRDefault="001520CE" w:rsidP="001520CE">
      <w:pPr>
        <w:pStyle w:val="Prrafodelista"/>
        <w:divId w:val="778335994"/>
        <w:rPr>
          <w:rFonts w:ascii="Lato" w:eastAsia="Times New Roman" w:hAnsi="Lato"/>
          <w:sz w:val="20"/>
          <w:szCs w:val="20"/>
        </w:rPr>
      </w:pPr>
    </w:p>
    <w:p w:rsidR="001E0491" w:rsidRPr="00BC3A61" w:rsidRDefault="001E0491" w:rsidP="001E0491">
      <w:pPr>
        <w:pStyle w:val="Prrafodelista"/>
        <w:numPr>
          <w:ilvl w:val="0"/>
          <w:numId w:val="4"/>
        </w:numPr>
        <w:shd w:val="clear" w:color="auto" w:fill="FFFFFF"/>
        <w:jc w:val="both"/>
        <w:divId w:val="778335994"/>
        <w:rPr>
          <w:rFonts w:ascii="Lato" w:eastAsia="Times New Roman" w:hAnsi="Lato"/>
          <w:sz w:val="20"/>
          <w:szCs w:val="20"/>
        </w:rPr>
      </w:pPr>
      <w:r w:rsidRPr="00BC3A61">
        <w:rPr>
          <w:rFonts w:ascii="Lato" w:eastAsia="Times New Roman" w:hAnsi="Lato"/>
          <w:sz w:val="20"/>
          <w:szCs w:val="20"/>
        </w:rPr>
        <w:t>Otros servicios: 486,790 personas.</w:t>
      </w:r>
    </w:p>
    <w:p w:rsidR="001E0491" w:rsidRPr="00BC3A61" w:rsidRDefault="001E0491" w:rsidP="001E0491">
      <w:pPr>
        <w:pStyle w:val="Prrafodelista"/>
        <w:divId w:val="778335994"/>
        <w:rPr>
          <w:rFonts w:ascii="Lato" w:eastAsia="Times New Roman" w:hAnsi="Lato"/>
          <w:sz w:val="20"/>
          <w:szCs w:val="20"/>
        </w:rPr>
      </w:pPr>
    </w:p>
    <w:p w:rsidR="001E0491" w:rsidRDefault="001E0491" w:rsidP="001E0491">
      <w:pPr>
        <w:pStyle w:val="Prrafodelista"/>
        <w:numPr>
          <w:ilvl w:val="0"/>
          <w:numId w:val="4"/>
        </w:numPr>
        <w:shd w:val="clear" w:color="auto" w:fill="FFFFFF"/>
        <w:jc w:val="both"/>
        <w:divId w:val="778335994"/>
        <w:rPr>
          <w:rFonts w:ascii="Lato" w:eastAsia="Times New Roman" w:hAnsi="Lato"/>
          <w:sz w:val="20"/>
          <w:szCs w:val="20"/>
        </w:rPr>
      </w:pPr>
      <w:r w:rsidRPr="00BC3A61">
        <w:rPr>
          <w:rFonts w:ascii="Lato" w:eastAsia="Times New Roman" w:hAnsi="Lato"/>
          <w:sz w:val="20"/>
          <w:szCs w:val="20"/>
        </w:rPr>
        <w:lastRenderedPageBreak/>
        <w:t>Comercio: 229, 717 personas</w:t>
      </w:r>
    </w:p>
    <w:p w:rsidR="001520CE" w:rsidRPr="001520CE" w:rsidRDefault="001520CE" w:rsidP="001520CE">
      <w:pPr>
        <w:pStyle w:val="Prrafodelista"/>
        <w:divId w:val="778335994"/>
        <w:rPr>
          <w:rFonts w:ascii="Lato" w:eastAsia="Times New Roman" w:hAnsi="Lato"/>
          <w:sz w:val="20"/>
          <w:szCs w:val="20"/>
        </w:rPr>
      </w:pPr>
    </w:p>
    <w:p w:rsidR="001E0491" w:rsidRPr="00BC3A61" w:rsidRDefault="001E0491" w:rsidP="001E0491">
      <w:pPr>
        <w:pStyle w:val="Prrafodelista"/>
        <w:numPr>
          <w:ilvl w:val="0"/>
          <w:numId w:val="4"/>
        </w:numPr>
        <w:shd w:val="clear" w:color="auto" w:fill="FFFFFF"/>
        <w:jc w:val="both"/>
        <w:divId w:val="778335994"/>
        <w:rPr>
          <w:rFonts w:ascii="Lato" w:eastAsia="Times New Roman" w:hAnsi="Lato"/>
          <w:sz w:val="20"/>
          <w:szCs w:val="20"/>
        </w:rPr>
      </w:pPr>
      <w:r w:rsidRPr="00BC3A61">
        <w:rPr>
          <w:rFonts w:ascii="Lato" w:eastAsia="Times New Roman" w:hAnsi="Lato"/>
          <w:sz w:val="20"/>
          <w:szCs w:val="20"/>
        </w:rPr>
        <w:t>Industria manufacturera: 189,382 personas.</w:t>
      </w: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r w:rsidRPr="00BC3A61">
        <w:rPr>
          <w:rFonts w:ascii="Lato" w:eastAsia="Times New Roman" w:hAnsi="Lato" w:cs="Times New Roman"/>
          <w:sz w:val="20"/>
          <w:szCs w:val="20"/>
        </w:rPr>
        <w:t>4. Productividad Laboral</w:t>
      </w: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r w:rsidRPr="00BC3A61">
        <w:rPr>
          <w:rFonts w:ascii="Lato" w:eastAsia="Times New Roman" w:hAnsi="Lato" w:cs="Times New Roman"/>
          <w:sz w:val="20"/>
          <w:szCs w:val="20"/>
        </w:rPr>
        <w:t>Los indicadores de productividad (basados en horas trabajadas) al segundo trimestre de 2026 en valoración porcentual anual respecto al mismo trimestre año anterior:</w:t>
      </w: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r w:rsidRPr="00BC3A61">
        <w:rPr>
          <w:rFonts w:ascii="Lato" w:eastAsia="Times New Roman" w:hAnsi="Lato" w:cs="Times New Roman"/>
          <w:sz w:val="20"/>
          <w:szCs w:val="20"/>
        </w:rPr>
        <w:t>•</w:t>
      </w:r>
      <w:r w:rsidRPr="00BC3A61">
        <w:rPr>
          <w:rFonts w:ascii="Lato" w:eastAsia="Times New Roman" w:hAnsi="Lato" w:cs="Times New Roman"/>
          <w:sz w:val="20"/>
          <w:szCs w:val="20"/>
        </w:rPr>
        <w:tab/>
        <w:t>Comercio al por menor: Creció un 3%.</w:t>
      </w: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r w:rsidRPr="00BC3A61">
        <w:rPr>
          <w:rFonts w:ascii="Lato" w:eastAsia="Times New Roman" w:hAnsi="Lato" w:cs="Times New Roman"/>
          <w:sz w:val="20"/>
          <w:szCs w:val="20"/>
        </w:rPr>
        <w:t>•</w:t>
      </w:r>
      <w:r w:rsidRPr="00BC3A61">
        <w:rPr>
          <w:rFonts w:ascii="Lato" w:eastAsia="Times New Roman" w:hAnsi="Lato" w:cs="Times New Roman"/>
          <w:sz w:val="20"/>
          <w:szCs w:val="20"/>
        </w:rPr>
        <w:tab/>
        <w:t>Manufacturas: Variación de un 7.7%.</w:t>
      </w: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r w:rsidRPr="00BC3A61">
        <w:rPr>
          <w:rFonts w:ascii="Lato" w:eastAsia="Times New Roman" w:hAnsi="Lato" w:cs="Times New Roman"/>
          <w:sz w:val="20"/>
          <w:szCs w:val="20"/>
        </w:rPr>
        <w:t>•</w:t>
      </w:r>
      <w:r w:rsidRPr="00BC3A61">
        <w:rPr>
          <w:rFonts w:ascii="Lato" w:eastAsia="Times New Roman" w:hAnsi="Lato" w:cs="Times New Roman"/>
          <w:sz w:val="20"/>
          <w:szCs w:val="20"/>
        </w:rPr>
        <w:tab/>
        <w:t>Comercio al por mayor: 14.6%.</w:t>
      </w:r>
    </w:p>
    <w:p w:rsidR="001E0491" w:rsidRPr="00BC3A61" w:rsidRDefault="001E0491" w:rsidP="001E0491">
      <w:pPr>
        <w:shd w:val="clear" w:color="auto" w:fill="FFFFFF"/>
        <w:spacing w:after="0" w:line="240" w:lineRule="auto"/>
        <w:jc w:val="both"/>
        <w:divId w:val="778335994"/>
        <w:rPr>
          <w:rFonts w:ascii="Lato" w:eastAsia="Times New Roman" w:hAnsi="Lato" w:cs="Times New Roman"/>
          <w:sz w:val="20"/>
          <w:szCs w:val="20"/>
        </w:rPr>
      </w:pPr>
    </w:p>
    <w:p w:rsidR="001E0491" w:rsidRPr="00BC3A61" w:rsidRDefault="001E0491" w:rsidP="001E0491">
      <w:pPr>
        <w:divId w:val="778335994"/>
        <w:rPr>
          <w:rFonts w:ascii="Lato" w:eastAsia="Times New Roman" w:hAnsi="Lato"/>
          <w:sz w:val="20"/>
          <w:szCs w:val="20"/>
        </w:rPr>
      </w:pPr>
      <w:r w:rsidRPr="00BC3A61">
        <w:rPr>
          <w:rFonts w:ascii="Lato" w:eastAsia="Times New Roman" w:hAnsi="Lato"/>
          <w:sz w:val="20"/>
          <w:szCs w:val="20"/>
        </w:rPr>
        <w:t xml:space="preserve">Fuente: información tomada de  </w:t>
      </w:r>
      <w:hyperlink r:id="rId8" w:history="1">
        <w:r w:rsidRPr="00BC3A61">
          <w:rPr>
            <w:rStyle w:val="Hipervnculo"/>
            <w:rFonts w:ascii="Lato" w:eastAsia="Times New Roman" w:hAnsi="Lato"/>
            <w:color w:val="auto"/>
            <w:sz w:val="20"/>
            <w:szCs w:val="20"/>
          </w:rPr>
          <w:t>https://contaduria.uady.mx/fca-investigacion/ieey</w:t>
        </w:r>
      </w:hyperlink>
    </w:p>
    <w:p w:rsidR="001E0491" w:rsidRPr="00BC3A61" w:rsidRDefault="001E0491" w:rsidP="001E0491">
      <w:pPr>
        <w:ind w:left="567"/>
        <w:jc w:val="both"/>
        <w:divId w:val="1279487507"/>
        <w:rPr>
          <w:rFonts w:ascii="Lato" w:hAnsi="Lato"/>
          <w:sz w:val="20"/>
          <w:szCs w:val="20"/>
        </w:rPr>
      </w:pPr>
      <w:r w:rsidRPr="00BC3A61">
        <w:rPr>
          <w:rFonts w:ascii="Lato" w:hAnsi="Lato"/>
          <w:sz w:val="20"/>
          <w:szCs w:val="20"/>
        </w:rPr>
        <w:t>Con información del segundo trimestre 2026 Yucatán se ha catalogado con un endeudamiento sostenible, como resultado de la evaluación realizada por el Sistema de Alertas, a través de los indicadores establecidos para tal fin, en los que se puede observar que la Deuda Pública y Obligaciones representa el 37.0% sobre Ingresos de Libre Disposición, así como el  Servicio de la Deuda y de Obligaciones sobre los Ingresos de Libre Disposición representa el 4.5% y las Obligaciones a Corto Plazo y Proveedores y Contratistas sobre Ingresos Totales es de -6.0%.</w:t>
      </w:r>
    </w:p>
    <w:p w:rsidR="001E0491" w:rsidRPr="00BC3A61" w:rsidRDefault="001E0491" w:rsidP="001E0491">
      <w:pPr>
        <w:ind w:left="567"/>
        <w:divId w:val="1279487507"/>
        <w:rPr>
          <w:rFonts w:ascii="Lato" w:hAnsi="Lato"/>
          <w:sz w:val="20"/>
          <w:szCs w:val="20"/>
        </w:rPr>
      </w:pPr>
      <w:r w:rsidRPr="00BC3A61">
        <w:rPr>
          <w:rFonts w:ascii="Lato" w:hAnsi="Lato"/>
          <w:sz w:val="20"/>
          <w:szCs w:val="20"/>
        </w:rPr>
        <w:t>La fuente de la información se encuentra en la siguiente dirección electrónica:</w:t>
      </w:r>
    </w:p>
    <w:p w:rsidR="00E873CD" w:rsidRPr="00BC3A61" w:rsidRDefault="008D384B" w:rsidP="001E0491">
      <w:pPr>
        <w:ind w:left="567"/>
        <w:divId w:val="1279487507"/>
        <w:rPr>
          <w:rFonts w:ascii="Lato" w:eastAsia="Times New Roman" w:hAnsi="Lato"/>
          <w:sz w:val="20"/>
          <w:szCs w:val="20"/>
        </w:rPr>
      </w:pPr>
      <w:hyperlink r:id="rId9" w:history="1">
        <w:r w:rsidR="001E0491" w:rsidRPr="00BC3A61">
          <w:rPr>
            <w:rStyle w:val="Hipervnculo"/>
            <w:rFonts w:ascii="Lato" w:hAnsi="Lato"/>
            <w:color w:val="auto"/>
            <w:sz w:val="20"/>
            <w:szCs w:val="20"/>
          </w:rPr>
          <w:t>https://www.disciplinafinanciera.hacienda.gob.mx/es/DISCIPLINA_FINANCIERA/Entidades_Federativas_2026</w:t>
        </w:r>
      </w:hyperlink>
    </w:p>
    <w:p w:rsidR="00E873CD" w:rsidRPr="00BC3A61" w:rsidRDefault="00196B7D">
      <w:pPr>
        <w:divId w:val="97720093"/>
        <w:rPr>
          <w:rFonts w:ascii="Lato" w:eastAsia="Times New Roman" w:hAnsi="Lato"/>
          <w:sz w:val="20"/>
          <w:szCs w:val="20"/>
        </w:rPr>
      </w:pPr>
      <w:r w:rsidRPr="00BC3A61">
        <w:rPr>
          <w:rStyle w:val="Textoennegrita"/>
          <w:rFonts w:ascii="Lato" w:eastAsia="Times New Roman" w:hAnsi="Lato"/>
          <w:sz w:val="20"/>
          <w:szCs w:val="20"/>
        </w:rPr>
        <w:t>3.- Organización y Objeto Social</w:t>
      </w:r>
    </w:p>
    <w:p w:rsidR="00E873CD" w:rsidRPr="00BC3A61" w:rsidRDefault="00196B7D">
      <w:pPr>
        <w:divId w:val="1207907961"/>
        <w:rPr>
          <w:rFonts w:ascii="Lato" w:eastAsia="Times New Roman" w:hAnsi="Lato"/>
          <w:sz w:val="20"/>
          <w:szCs w:val="20"/>
        </w:rPr>
      </w:pPr>
      <w:r w:rsidRPr="00BC3A61">
        <w:rPr>
          <w:rStyle w:val="Textoennegrita"/>
          <w:rFonts w:ascii="Lato" w:eastAsia="Times New Roman" w:hAnsi="Lato"/>
          <w:sz w:val="20"/>
          <w:szCs w:val="20"/>
        </w:rPr>
        <w:t>a) Objeto social.</w:t>
      </w:r>
    </w:p>
    <w:p w:rsidR="00E873CD" w:rsidRPr="00BC3A61" w:rsidRDefault="006F21C9">
      <w:pPr>
        <w:ind w:firstLine="600"/>
        <w:jc w:val="both"/>
        <w:divId w:val="1922986418"/>
        <w:rPr>
          <w:rFonts w:ascii="Lato" w:eastAsia="Times New Roman" w:hAnsi="Lato"/>
          <w:sz w:val="20"/>
          <w:szCs w:val="20"/>
        </w:rPr>
      </w:pPr>
      <w:r w:rsidRPr="00BC3A61">
        <w:rPr>
          <w:rFonts w:ascii="Lato" w:eastAsia="Times New Roman" w:hAnsi="Lato"/>
          <w:sz w:val="20"/>
          <w:szCs w:val="20"/>
        </w:rPr>
        <w:t>La Administración Pública del Estado conducirá sus actividades en forma programada, con base en las políticas de planeación que establezca el Titular del Ejecutivo del Estado para el logro de los objetivos y prioridades de desarrollo y en los términos que fijen los convenios de coordinación respectivos, El Plan Estatal de Desarrollo 2024-2030 es la ruta que guiará las acciones y políticas del gobierno en los próximos años, asegurando que cada esfuerzo se traduzca en beneficios reales donde las y los yucatecos tengamos mejores oportunidades y una mejor calidad de vida.</w:t>
      </w:r>
    </w:p>
    <w:p w:rsidR="00E873CD" w:rsidRPr="00BC3A61" w:rsidRDefault="00196B7D">
      <w:pPr>
        <w:divId w:val="1579514272"/>
        <w:rPr>
          <w:rFonts w:ascii="Lato" w:eastAsia="Times New Roman" w:hAnsi="Lato"/>
          <w:sz w:val="20"/>
          <w:szCs w:val="20"/>
        </w:rPr>
      </w:pPr>
      <w:r w:rsidRPr="00BC3A61">
        <w:rPr>
          <w:rStyle w:val="Textoennegrita"/>
          <w:rFonts w:ascii="Lato" w:eastAsia="Times New Roman" w:hAnsi="Lato"/>
          <w:sz w:val="20"/>
          <w:szCs w:val="20"/>
        </w:rPr>
        <w:t>b) Principal actividad</w:t>
      </w:r>
    </w:p>
    <w:p w:rsidR="00E873CD" w:rsidRPr="00BC3A61" w:rsidRDefault="00196B7D">
      <w:pPr>
        <w:ind w:firstLine="600"/>
        <w:jc w:val="both"/>
        <w:divId w:val="1922986418"/>
        <w:rPr>
          <w:rFonts w:ascii="Lato" w:eastAsia="Times New Roman" w:hAnsi="Lato"/>
          <w:sz w:val="20"/>
          <w:szCs w:val="20"/>
        </w:rPr>
      </w:pPr>
      <w:r w:rsidRPr="00BC3A61">
        <w:rPr>
          <w:rFonts w:ascii="Lato" w:eastAsia="Times New Roman" w:hAnsi="Lato"/>
          <w:sz w:val="20"/>
          <w:szCs w:val="20"/>
        </w:rPr>
        <w:t>La administración Pública centralizada del Estado, es la parte del Poder Ejecutivo cuya responsabilidad es la realización de actos administrativos, jurídicos y materiales, para la prestación de los servicios públicos, para satisfacer las necesidades colectivas.</w:t>
      </w:r>
    </w:p>
    <w:p w:rsidR="00E873CD" w:rsidRPr="00BC3A61" w:rsidRDefault="00196B7D">
      <w:pPr>
        <w:divId w:val="320698800"/>
        <w:rPr>
          <w:rFonts w:ascii="Lato" w:eastAsia="Times New Roman" w:hAnsi="Lato"/>
          <w:sz w:val="20"/>
          <w:szCs w:val="20"/>
        </w:rPr>
      </w:pPr>
      <w:r w:rsidRPr="00BC3A61">
        <w:rPr>
          <w:rStyle w:val="Textoennegrita"/>
          <w:rFonts w:ascii="Lato" w:eastAsia="Times New Roman" w:hAnsi="Lato"/>
          <w:sz w:val="20"/>
          <w:szCs w:val="20"/>
        </w:rPr>
        <w:t>c) Ejercicio Fiscal 2026.</w:t>
      </w:r>
    </w:p>
    <w:p w:rsidR="00E873CD" w:rsidRPr="00BC3A61" w:rsidRDefault="00196B7D">
      <w:pPr>
        <w:ind w:firstLine="600"/>
        <w:jc w:val="both"/>
        <w:divId w:val="1922986418"/>
        <w:rPr>
          <w:rFonts w:ascii="Lato" w:eastAsia="Times New Roman" w:hAnsi="Lato"/>
          <w:sz w:val="20"/>
          <w:szCs w:val="20"/>
        </w:rPr>
      </w:pPr>
      <w:r w:rsidRPr="00BC3A61">
        <w:rPr>
          <w:rFonts w:ascii="Lato" w:eastAsia="Times New Roman" w:hAnsi="Lato"/>
          <w:sz w:val="20"/>
          <w:szCs w:val="20"/>
        </w:rPr>
        <w:t>Las cifras contenidas en los Estados Financieros y que se mencionan en estas notas se presentan al 30 de septiembre del Ejercicio Fiscal 2026.</w:t>
      </w:r>
    </w:p>
    <w:p w:rsidR="00E873CD" w:rsidRPr="00BC3A61" w:rsidRDefault="00196B7D">
      <w:pPr>
        <w:divId w:val="60375159"/>
        <w:rPr>
          <w:rFonts w:ascii="Lato" w:eastAsia="Times New Roman" w:hAnsi="Lato"/>
          <w:sz w:val="20"/>
          <w:szCs w:val="20"/>
        </w:rPr>
      </w:pPr>
      <w:r w:rsidRPr="00BC3A61">
        <w:rPr>
          <w:rStyle w:val="Textoennegrita"/>
          <w:rFonts w:ascii="Lato" w:eastAsia="Times New Roman" w:hAnsi="Lato"/>
          <w:sz w:val="20"/>
          <w:szCs w:val="20"/>
        </w:rPr>
        <w:lastRenderedPageBreak/>
        <w:t>d) Régimen Jurídico</w:t>
      </w:r>
    </w:p>
    <w:p w:rsidR="00E873CD" w:rsidRPr="00BC3A61" w:rsidRDefault="00196B7D">
      <w:pPr>
        <w:divId w:val="658657655"/>
        <w:rPr>
          <w:rFonts w:ascii="Lato" w:eastAsia="Times New Roman" w:hAnsi="Lato"/>
          <w:sz w:val="20"/>
          <w:szCs w:val="20"/>
        </w:rPr>
      </w:pPr>
      <w:r w:rsidRPr="00BC3A61">
        <w:rPr>
          <w:rFonts w:ascii="Lato" w:eastAsia="Times New Roman" w:hAnsi="Lato"/>
          <w:sz w:val="20"/>
          <w:szCs w:val="20"/>
        </w:rPr>
        <w:t>El Poder Ejecutivo está regulado por lo siguiente:</w:t>
      </w:r>
    </w:p>
    <w:p w:rsidR="00E873CD" w:rsidRPr="00BC3A61" w:rsidRDefault="00196B7D">
      <w:pPr>
        <w:divId w:val="1894854344"/>
        <w:rPr>
          <w:rFonts w:ascii="Lato" w:eastAsia="Times New Roman" w:hAnsi="Lato"/>
          <w:sz w:val="20"/>
          <w:szCs w:val="20"/>
        </w:rPr>
      </w:pPr>
      <w:r w:rsidRPr="00BC3A61">
        <w:rPr>
          <w:rFonts w:ascii="Lato" w:eastAsia="Times New Roman" w:hAnsi="Lato" w:cs="Times New Roman"/>
          <w:sz w:val="20"/>
          <w:szCs w:val="20"/>
        </w:rPr>
        <w:t>●</w:t>
      </w:r>
      <w:r w:rsidRPr="00BC3A61">
        <w:rPr>
          <w:rFonts w:ascii="Lato" w:eastAsia="Times New Roman" w:hAnsi="Lato"/>
          <w:sz w:val="20"/>
          <w:szCs w:val="20"/>
        </w:rPr>
        <w:t xml:space="preserve"> La Constituci</w:t>
      </w:r>
      <w:r w:rsidRPr="00BC3A61">
        <w:rPr>
          <w:rFonts w:ascii="Lato" w:eastAsia="Times New Roman" w:hAnsi="Lato" w:cs="Barlow"/>
          <w:sz w:val="20"/>
          <w:szCs w:val="20"/>
        </w:rPr>
        <w:t>ó</w:t>
      </w:r>
      <w:r w:rsidRPr="00BC3A61">
        <w:rPr>
          <w:rFonts w:ascii="Lato" w:eastAsia="Times New Roman" w:hAnsi="Lato"/>
          <w:sz w:val="20"/>
          <w:szCs w:val="20"/>
        </w:rPr>
        <w:t>n de los Estados Unidos Mexicanos.</w:t>
      </w:r>
    </w:p>
    <w:p w:rsidR="00E873CD" w:rsidRPr="00BC3A61" w:rsidRDefault="00196B7D">
      <w:pPr>
        <w:divId w:val="1169637690"/>
        <w:rPr>
          <w:rFonts w:ascii="Lato" w:eastAsia="Times New Roman" w:hAnsi="Lato"/>
          <w:sz w:val="20"/>
          <w:szCs w:val="20"/>
        </w:rPr>
      </w:pPr>
      <w:r w:rsidRPr="00BC3A61">
        <w:rPr>
          <w:rFonts w:ascii="Lato" w:eastAsia="Times New Roman" w:hAnsi="Lato" w:cs="Times New Roman"/>
          <w:sz w:val="20"/>
          <w:szCs w:val="20"/>
        </w:rPr>
        <w:t>●</w:t>
      </w:r>
      <w:r w:rsidRPr="00BC3A61">
        <w:rPr>
          <w:rFonts w:ascii="Lato" w:eastAsia="Times New Roman" w:hAnsi="Lato"/>
          <w:sz w:val="20"/>
          <w:szCs w:val="20"/>
        </w:rPr>
        <w:t xml:space="preserve"> La Constituci</w:t>
      </w:r>
      <w:r w:rsidRPr="00BC3A61">
        <w:rPr>
          <w:rFonts w:ascii="Lato" w:eastAsia="Times New Roman" w:hAnsi="Lato" w:cs="Barlow"/>
          <w:sz w:val="20"/>
          <w:szCs w:val="20"/>
        </w:rPr>
        <w:t>ó</w:t>
      </w:r>
      <w:r w:rsidRPr="00BC3A61">
        <w:rPr>
          <w:rFonts w:ascii="Lato" w:eastAsia="Times New Roman" w:hAnsi="Lato"/>
          <w:sz w:val="20"/>
          <w:szCs w:val="20"/>
        </w:rPr>
        <w:t>n Pol</w:t>
      </w:r>
      <w:r w:rsidRPr="00BC3A61">
        <w:rPr>
          <w:rFonts w:ascii="Lato" w:eastAsia="Times New Roman" w:hAnsi="Lato" w:cs="Barlow"/>
          <w:sz w:val="20"/>
          <w:szCs w:val="20"/>
        </w:rPr>
        <w:t>í</w:t>
      </w:r>
      <w:r w:rsidRPr="00BC3A61">
        <w:rPr>
          <w:rFonts w:ascii="Lato" w:eastAsia="Times New Roman" w:hAnsi="Lato"/>
          <w:sz w:val="20"/>
          <w:szCs w:val="20"/>
        </w:rPr>
        <w:t>tica del Estado de Yucat</w:t>
      </w:r>
      <w:r w:rsidRPr="00BC3A61">
        <w:rPr>
          <w:rFonts w:ascii="Lato" w:eastAsia="Times New Roman" w:hAnsi="Lato" w:cs="Barlow"/>
          <w:sz w:val="20"/>
          <w:szCs w:val="20"/>
        </w:rPr>
        <w:t>á</w:t>
      </w:r>
      <w:r w:rsidRPr="00BC3A61">
        <w:rPr>
          <w:rFonts w:ascii="Lato" w:eastAsia="Times New Roman" w:hAnsi="Lato"/>
          <w:sz w:val="20"/>
          <w:szCs w:val="20"/>
        </w:rPr>
        <w:t>n.</w:t>
      </w:r>
    </w:p>
    <w:p w:rsidR="00E873CD" w:rsidRPr="00BC3A61" w:rsidRDefault="00196B7D">
      <w:pPr>
        <w:divId w:val="1602180659"/>
        <w:rPr>
          <w:rFonts w:ascii="Lato" w:eastAsia="Times New Roman" w:hAnsi="Lato"/>
          <w:sz w:val="20"/>
          <w:szCs w:val="20"/>
        </w:rPr>
      </w:pPr>
      <w:r w:rsidRPr="00BC3A61">
        <w:rPr>
          <w:rFonts w:ascii="Lato" w:eastAsia="Times New Roman" w:hAnsi="Lato" w:cs="Times New Roman"/>
          <w:sz w:val="20"/>
          <w:szCs w:val="20"/>
        </w:rPr>
        <w:t>●</w:t>
      </w:r>
      <w:r w:rsidRPr="00BC3A61">
        <w:rPr>
          <w:rFonts w:ascii="Lato" w:eastAsia="Times New Roman" w:hAnsi="Lato"/>
          <w:sz w:val="20"/>
          <w:szCs w:val="20"/>
        </w:rPr>
        <w:t xml:space="preserve"> La Ley General de Contabilidad Gubernamental.</w:t>
      </w:r>
    </w:p>
    <w:p w:rsidR="00E873CD" w:rsidRPr="00BC3A61" w:rsidRDefault="00196B7D">
      <w:pPr>
        <w:divId w:val="2142307574"/>
        <w:rPr>
          <w:rFonts w:ascii="Lato" w:eastAsia="Times New Roman" w:hAnsi="Lato"/>
          <w:sz w:val="20"/>
          <w:szCs w:val="20"/>
        </w:rPr>
      </w:pPr>
      <w:r w:rsidRPr="00BC3A61">
        <w:rPr>
          <w:rFonts w:ascii="Lato" w:eastAsia="Times New Roman" w:hAnsi="Lato" w:cs="Times New Roman"/>
          <w:sz w:val="20"/>
          <w:szCs w:val="20"/>
        </w:rPr>
        <w:t>●</w:t>
      </w:r>
      <w:r w:rsidRPr="00BC3A61">
        <w:rPr>
          <w:rFonts w:ascii="Lato" w:eastAsia="Times New Roman" w:hAnsi="Lato"/>
          <w:sz w:val="20"/>
          <w:szCs w:val="20"/>
        </w:rPr>
        <w:t xml:space="preserve"> El C</w:t>
      </w:r>
      <w:r w:rsidRPr="00BC3A61">
        <w:rPr>
          <w:rFonts w:ascii="Lato" w:eastAsia="Times New Roman" w:hAnsi="Lato" w:cs="Barlow"/>
          <w:sz w:val="20"/>
          <w:szCs w:val="20"/>
        </w:rPr>
        <w:t>ó</w:t>
      </w:r>
      <w:r w:rsidRPr="00BC3A61">
        <w:rPr>
          <w:rFonts w:ascii="Lato" w:eastAsia="Times New Roman" w:hAnsi="Lato"/>
          <w:sz w:val="20"/>
          <w:szCs w:val="20"/>
        </w:rPr>
        <w:t>digo de la Administraci</w:t>
      </w:r>
      <w:r w:rsidRPr="00BC3A61">
        <w:rPr>
          <w:rFonts w:ascii="Lato" w:eastAsia="Times New Roman" w:hAnsi="Lato" w:cs="Barlow"/>
          <w:sz w:val="20"/>
          <w:szCs w:val="20"/>
        </w:rPr>
        <w:t>ó</w:t>
      </w:r>
      <w:r w:rsidRPr="00BC3A61">
        <w:rPr>
          <w:rFonts w:ascii="Lato" w:eastAsia="Times New Roman" w:hAnsi="Lato"/>
          <w:sz w:val="20"/>
          <w:szCs w:val="20"/>
        </w:rPr>
        <w:t>n P</w:t>
      </w:r>
      <w:r w:rsidRPr="00BC3A61">
        <w:rPr>
          <w:rFonts w:ascii="Lato" w:eastAsia="Times New Roman" w:hAnsi="Lato" w:cs="Barlow"/>
          <w:sz w:val="20"/>
          <w:szCs w:val="20"/>
        </w:rPr>
        <w:t>ú</w:t>
      </w:r>
      <w:r w:rsidR="006F21C9" w:rsidRPr="00BC3A61">
        <w:rPr>
          <w:rFonts w:ascii="Lato" w:eastAsia="Times New Roman" w:hAnsi="Lato"/>
          <w:sz w:val="20"/>
          <w:szCs w:val="20"/>
        </w:rPr>
        <w:t xml:space="preserve">blica </w:t>
      </w:r>
      <w:r w:rsidRPr="00BC3A61">
        <w:rPr>
          <w:rFonts w:ascii="Lato" w:eastAsia="Times New Roman" w:hAnsi="Lato"/>
          <w:sz w:val="20"/>
          <w:szCs w:val="20"/>
        </w:rPr>
        <w:t>de Yucat</w:t>
      </w:r>
      <w:r w:rsidRPr="00BC3A61">
        <w:rPr>
          <w:rFonts w:ascii="Lato" w:eastAsia="Times New Roman" w:hAnsi="Lato" w:cs="Barlow"/>
          <w:sz w:val="20"/>
          <w:szCs w:val="20"/>
        </w:rPr>
        <w:t>á</w:t>
      </w:r>
      <w:r w:rsidRPr="00BC3A61">
        <w:rPr>
          <w:rFonts w:ascii="Lato" w:eastAsia="Times New Roman" w:hAnsi="Lato"/>
          <w:sz w:val="20"/>
          <w:szCs w:val="20"/>
        </w:rPr>
        <w:t>n.</w:t>
      </w:r>
    </w:p>
    <w:p w:rsidR="00E873CD" w:rsidRPr="00BC3A61" w:rsidRDefault="00196B7D">
      <w:pPr>
        <w:divId w:val="1460218785"/>
        <w:rPr>
          <w:rFonts w:ascii="Lato" w:eastAsia="Times New Roman" w:hAnsi="Lato"/>
          <w:sz w:val="20"/>
          <w:szCs w:val="20"/>
        </w:rPr>
      </w:pPr>
      <w:r w:rsidRPr="00BC3A61">
        <w:rPr>
          <w:rFonts w:ascii="Lato" w:eastAsia="Times New Roman" w:hAnsi="Lato" w:cs="Times New Roman"/>
          <w:sz w:val="20"/>
          <w:szCs w:val="20"/>
        </w:rPr>
        <w:t>●</w:t>
      </w:r>
      <w:r w:rsidRPr="00BC3A61">
        <w:rPr>
          <w:rFonts w:ascii="Lato" w:eastAsia="Times New Roman" w:hAnsi="Lato"/>
          <w:sz w:val="20"/>
          <w:szCs w:val="20"/>
        </w:rPr>
        <w:t xml:space="preserve"> El Reglamento </w:t>
      </w:r>
      <w:r w:rsidR="006F21C9" w:rsidRPr="00BC3A61">
        <w:rPr>
          <w:rFonts w:ascii="Lato" w:eastAsia="Times New Roman" w:hAnsi="Lato"/>
          <w:sz w:val="20"/>
          <w:szCs w:val="20"/>
        </w:rPr>
        <w:t xml:space="preserve">del Código </w:t>
      </w:r>
      <w:r w:rsidRPr="00BC3A61">
        <w:rPr>
          <w:rFonts w:ascii="Lato" w:eastAsia="Times New Roman" w:hAnsi="Lato"/>
          <w:sz w:val="20"/>
          <w:szCs w:val="20"/>
        </w:rPr>
        <w:t>de la Administraci</w:t>
      </w:r>
      <w:r w:rsidRPr="00BC3A61">
        <w:rPr>
          <w:rFonts w:ascii="Lato" w:eastAsia="Times New Roman" w:hAnsi="Lato" w:cs="Barlow"/>
          <w:sz w:val="20"/>
          <w:szCs w:val="20"/>
        </w:rPr>
        <w:t>ó</w:t>
      </w:r>
      <w:r w:rsidRPr="00BC3A61">
        <w:rPr>
          <w:rFonts w:ascii="Lato" w:eastAsia="Times New Roman" w:hAnsi="Lato"/>
          <w:sz w:val="20"/>
          <w:szCs w:val="20"/>
        </w:rPr>
        <w:t>n P</w:t>
      </w:r>
      <w:r w:rsidRPr="00BC3A61">
        <w:rPr>
          <w:rFonts w:ascii="Lato" w:eastAsia="Times New Roman" w:hAnsi="Lato" w:cs="Barlow"/>
          <w:sz w:val="20"/>
          <w:szCs w:val="20"/>
        </w:rPr>
        <w:t>ú</w:t>
      </w:r>
      <w:r w:rsidR="006F21C9" w:rsidRPr="00BC3A61">
        <w:rPr>
          <w:rFonts w:ascii="Lato" w:eastAsia="Times New Roman" w:hAnsi="Lato"/>
          <w:sz w:val="20"/>
          <w:szCs w:val="20"/>
        </w:rPr>
        <w:t>blica</w:t>
      </w:r>
      <w:r w:rsidRPr="00BC3A61">
        <w:rPr>
          <w:rFonts w:ascii="Lato" w:eastAsia="Times New Roman" w:hAnsi="Lato"/>
          <w:sz w:val="20"/>
          <w:szCs w:val="20"/>
        </w:rPr>
        <w:t xml:space="preserve"> de Yucat</w:t>
      </w:r>
      <w:r w:rsidRPr="00BC3A61">
        <w:rPr>
          <w:rFonts w:ascii="Lato" w:eastAsia="Times New Roman" w:hAnsi="Lato" w:cs="Barlow"/>
          <w:sz w:val="20"/>
          <w:szCs w:val="20"/>
        </w:rPr>
        <w:t>á</w:t>
      </w:r>
      <w:r w:rsidRPr="00BC3A61">
        <w:rPr>
          <w:rFonts w:ascii="Lato" w:eastAsia="Times New Roman" w:hAnsi="Lato"/>
          <w:sz w:val="20"/>
          <w:szCs w:val="20"/>
        </w:rPr>
        <w:t>n.</w:t>
      </w:r>
    </w:p>
    <w:p w:rsidR="00E873CD" w:rsidRPr="00BC3A61" w:rsidRDefault="00196B7D">
      <w:pPr>
        <w:divId w:val="1157068310"/>
        <w:rPr>
          <w:rFonts w:ascii="Lato" w:eastAsia="Times New Roman" w:hAnsi="Lato"/>
          <w:sz w:val="20"/>
          <w:szCs w:val="20"/>
        </w:rPr>
      </w:pPr>
      <w:r w:rsidRPr="00BC3A61">
        <w:rPr>
          <w:rFonts w:ascii="Lato" w:eastAsia="Times New Roman" w:hAnsi="Lato" w:cs="Times New Roman"/>
          <w:sz w:val="20"/>
          <w:szCs w:val="20"/>
        </w:rPr>
        <w:t>●</w:t>
      </w:r>
      <w:r w:rsidRPr="00BC3A61">
        <w:rPr>
          <w:rFonts w:ascii="Lato" w:eastAsia="Times New Roman" w:hAnsi="Lato"/>
          <w:sz w:val="20"/>
          <w:szCs w:val="20"/>
        </w:rPr>
        <w:t xml:space="preserve"> La Ley del Presupuesto y Contabilidad Gubernamental del Estado de Yucatán y su reglamento.</w:t>
      </w:r>
    </w:p>
    <w:p w:rsidR="00E873CD" w:rsidRPr="00BC3A61" w:rsidRDefault="00196B7D">
      <w:pPr>
        <w:divId w:val="1445661388"/>
        <w:rPr>
          <w:rFonts w:ascii="Lato" w:eastAsia="Times New Roman" w:hAnsi="Lato"/>
          <w:sz w:val="20"/>
          <w:szCs w:val="20"/>
        </w:rPr>
      </w:pPr>
      <w:r w:rsidRPr="00BC3A61">
        <w:rPr>
          <w:rFonts w:ascii="Lato" w:eastAsia="Times New Roman" w:hAnsi="Lato" w:cs="Times New Roman"/>
          <w:sz w:val="20"/>
          <w:szCs w:val="20"/>
        </w:rPr>
        <w:t>●</w:t>
      </w:r>
      <w:r w:rsidRPr="00BC3A61">
        <w:rPr>
          <w:rFonts w:ascii="Lato" w:eastAsia="Times New Roman" w:hAnsi="Lato"/>
          <w:sz w:val="20"/>
          <w:szCs w:val="20"/>
        </w:rPr>
        <w:t xml:space="preserve"> La Ley de Responsabilidades de los Servidores P</w:t>
      </w:r>
      <w:r w:rsidRPr="00BC3A61">
        <w:rPr>
          <w:rFonts w:ascii="Lato" w:eastAsia="Times New Roman" w:hAnsi="Lato" w:cs="Barlow"/>
          <w:sz w:val="20"/>
          <w:szCs w:val="20"/>
        </w:rPr>
        <w:t>ú</w:t>
      </w:r>
      <w:r w:rsidRPr="00BC3A61">
        <w:rPr>
          <w:rFonts w:ascii="Lato" w:eastAsia="Times New Roman" w:hAnsi="Lato"/>
          <w:sz w:val="20"/>
          <w:szCs w:val="20"/>
        </w:rPr>
        <w:t>blicos del Estado de Yucat</w:t>
      </w:r>
      <w:r w:rsidRPr="00BC3A61">
        <w:rPr>
          <w:rFonts w:ascii="Lato" w:eastAsia="Times New Roman" w:hAnsi="Lato" w:cs="Barlow"/>
          <w:sz w:val="20"/>
          <w:szCs w:val="20"/>
        </w:rPr>
        <w:t>á</w:t>
      </w:r>
      <w:r w:rsidRPr="00BC3A61">
        <w:rPr>
          <w:rFonts w:ascii="Lato" w:eastAsia="Times New Roman" w:hAnsi="Lato"/>
          <w:sz w:val="20"/>
          <w:szCs w:val="20"/>
        </w:rPr>
        <w:t>n.</w:t>
      </w:r>
    </w:p>
    <w:p w:rsidR="00E873CD" w:rsidRPr="00BC3A61" w:rsidRDefault="00196B7D">
      <w:pPr>
        <w:divId w:val="983580186"/>
        <w:rPr>
          <w:rFonts w:ascii="Lato" w:eastAsia="Times New Roman" w:hAnsi="Lato"/>
          <w:sz w:val="20"/>
          <w:szCs w:val="20"/>
        </w:rPr>
      </w:pPr>
      <w:r w:rsidRPr="00BC3A61">
        <w:rPr>
          <w:rFonts w:ascii="Lato" w:eastAsia="Times New Roman" w:hAnsi="Lato" w:cs="Times New Roman"/>
          <w:sz w:val="20"/>
          <w:szCs w:val="20"/>
        </w:rPr>
        <w:t>●</w:t>
      </w:r>
      <w:r w:rsidRPr="00BC3A61">
        <w:rPr>
          <w:rFonts w:ascii="Lato" w:eastAsia="Times New Roman" w:hAnsi="Lato"/>
          <w:sz w:val="20"/>
          <w:szCs w:val="20"/>
        </w:rPr>
        <w:t xml:space="preserve"> La Ley Federal de Responsabilidades de los Servidores P</w:t>
      </w:r>
      <w:r w:rsidRPr="00BC3A61">
        <w:rPr>
          <w:rFonts w:ascii="Lato" w:eastAsia="Times New Roman" w:hAnsi="Lato" w:cs="Barlow"/>
          <w:sz w:val="20"/>
          <w:szCs w:val="20"/>
        </w:rPr>
        <w:t>ú</w:t>
      </w:r>
      <w:r w:rsidRPr="00BC3A61">
        <w:rPr>
          <w:rFonts w:ascii="Lato" w:eastAsia="Times New Roman" w:hAnsi="Lato"/>
          <w:sz w:val="20"/>
          <w:szCs w:val="20"/>
        </w:rPr>
        <w:t>blicos.</w:t>
      </w:r>
    </w:p>
    <w:p w:rsidR="00E873CD" w:rsidRPr="00BC3A61" w:rsidRDefault="00196B7D">
      <w:pPr>
        <w:divId w:val="2104379662"/>
        <w:rPr>
          <w:rFonts w:ascii="Lato" w:eastAsia="Times New Roman" w:hAnsi="Lato"/>
          <w:sz w:val="20"/>
          <w:szCs w:val="20"/>
        </w:rPr>
      </w:pPr>
      <w:r w:rsidRPr="00BC3A61">
        <w:rPr>
          <w:rFonts w:ascii="Lato" w:eastAsia="Times New Roman" w:hAnsi="Lato" w:cs="Times New Roman"/>
          <w:sz w:val="20"/>
          <w:szCs w:val="20"/>
        </w:rPr>
        <w:t>●</w:t>
      </w:r>
      <w:r w:rsidRPr="00BC3A61">
        <w:rPr>
          <w:rFonts w:ascii="Lato" w:eastAsia="Times New Roman" w:hAnsi="Lato"/>
          <w:sz w:val="20"/>
          <w:szCs w:val="20"/>
        </w:rPr>
        <w:t xml:space="preserve"> La Ley de Adquisiciones, Arrendamientos y Prestación de Servicios relacionados con Bienes Muebles.</w:t>
      </w:r>
    </w:p>
    <w:p w:rsidR="00E873CD" w:rsidRPr="00BC3A61" w:rsidRDefault="00196B7D">
      <w:pPr>
        <w:divId w:val="789132449"/>
        <w:rPr>
          <w:rFonts w:ascii="Lato" w:eastAsia="Times New Roman" w:hAnsi="Lato"/>
          <w:sz w:val="20"/>
          <w:szCs w:val="20"/>
        </w:rPr>
      </w:pPr>
      <w:r w:rsidRPr="00BC3A61">
        <w:rPr>
          <w:rFonts w:ascii="Lato" w:eastAsia="Times New Roman" w:hAnsi="Lato" w:cs="Times New Roman"/>
          <w:sz w:val="20"/>
          <w:szCs w:val="20"/>
        </w:rPr>
        <w:t>●</w:t>
      </w:r>
      <w:r w:rsidRPr="00BC3A61">
        <w:rPr>
          <w:rFonts w:ascii="Lato" w:eastAsia="Times New Roman" w:hAnsi="Lato"/>
          <w:sz w:val="20"/>
          <w:szCs w:val="20"/>
        </w:rPr>
        <w:t xml:space="preserve"> La Ley de Fiscalizaci</w:t>
      </w:r>
      <w:r w:rsidRPr="00BC3A61">
        <w:rPr>
          <w:rFonts w:ascii="Lato" w:eastAsia="Times New Roman" w:hAnsi="Lato" w:cs="Barlow"/>
          <w:sz w:val="20"/>
          <w:szCs w:val="20"/>
        </w:rPr>
        <w:t>ó</w:t>
      </w:r>
      <w:r w:rsidRPr="00BC3A61">
        <w:rPr>
          <w:rFonts w:ascii="Lato" w:eastAsia="Times New Roman" w:hAnsi="Lato"/>
          <w:sz w:val="20"/>
          <w:szCs w:val="20"/>
        </w:rPr>
        <w:t>n de la Cuenta P</w:t>
      </w:r>
      <w:r w:rsidRPr="00BC3A61">
        <w:rPr>
          <w:rFonts w:ascii="Lato" w:eastAsia="Times New Roman" w:hAnsi="Lato" w:cs="Barlow"/>
          <w:sz w:val="20"/>
          <w:szCs w:val="20"/>
        </w:rPr>
        <w:t>ú</w:t>
      </w:r>
      <w:r w:rsidRPr="00BC3A61">
        <w:rPr>
          <w:rFonts w:ascii="Lato" w:eastAsia="Times New Roman" w:hAnsi="Lato"/>
          <w:sz w:val="20"/>
          <w:szCs w:val="20"/>
        </w:rPr>
        <w:t>blica del Estado de Yucat</w:t>
      </w:r>
      <w:r w:rsidRPr="00BC3A61">
        <w:rPr>
          <w:rFonts w:ascii="Lato" w:eastAsia="Times New Roman" w:hAnsi="Lato" w:cs="Barlow"/>
          <w:sz w:val="20"/>
          <w:szCs w:val="20"/>
        </w:rPr>
        <w:t>á</w:t>
      </w:r>
      <w:r w:rsidRPr="00BC3A61">
        <w:rPr>
          <w:rFonts w:ascii="Lato" w:eastAsia="Times New Roman" w:hAnsi="Lato"/>
          <w:sz w:val="20"/>
          <w:szCs w:val="20"/>
        </w:rPr>
        <w:t>n y su reglamento.</w:t>
      </w:r>
    </w:p>
    <w:p w:rsidR="00E873CD" w:rsidRPr="00BC3A61" w:rsidRDefault="00196B7D">
      <w:pPr>
        <w:divId w:val="528027690"/>
        <w:rPr>
          <w:rFonts w:ascii="Lato" w:eastAsia="Times New Roman" w:hAnsi="Lato"/>
          <w:sz w:val="20"/>
          <w:szCs w:val="20"/>
        </w:rPr>
      </w:pPr>
      <w:r w:rsidRPr="00BC3A61">
        <w:rPr>
          <w:rFonts w:ascii="Lato" w:eastAsia="Times New Roman" w:hAnsi="Lato" w:cs="Times New Roman"/>
          <w:sz w:val="20"/>
          <w:szCs w:val="20"/>
        </w:rPr>
        <w:t>●</w:t>
      </w:r>
      <w:r w:rsidRPr="00BC3A61">
        <w:rPr>
          <w:rFonts w:ascii="Lato" w:eastAsia="Times New Roman" w:hAnsi="Lato"/>
          <w:sz w:val="20"/>
          <w:szCs w:val="20"/>
        </w:rPr>
        <w:t xml:space="preserve"> Ley de Disciplina Financiera de las Entidades Federativas y </w:t>
      </w:r>
      <w:r w:rsidR="006F21C9" w:rsidRPr="00BC3A61">
        <w:rPr>
          <w:rFonts w:ascii="Lato" w:eastAsia="Times New Roman" w:hAnsi="Lato"/>
          <w:sz w:val="20"/>
          <w:szCs w:val="20"/>
        </w:rPr>
        <w:t xml:space="preserve">los </w:t>
      </w:r>
      <w:r w:rsidRPr="00BC3A61">
        <w:rPr>
          <w:rFonts w:ascii="Lato" w:eastAsia="Times New Roman" w:hAnsi="Lato"/>
          <w:sz w:val="20"/>
          <w:szCs w:val="20"/>
        </w:rPr>
        <w:t>Municipios.</w:t>
      </w:r>
    </w:p>
    <w:p w:rsidR="00E873CD" w:rsidRPr="00BC3A61" w:rsidRDefault="00196B7D">
      <w:pPr>
        <w:divId w:val="896865993"/>
        <w:rPr>
          <w:rFonts w:ascii="Lato" w:eastAsia="Times New Roman" w:hAnsi="Lato"/>
          <w:sz w:val="20"/>
          <w:szCs w:val="20"/>
        </w:rPr>
      </w:pPr>
      <w:r w:rsidRPr="00BC3A61">
        <w:rPr>
          <w:rStyle w:val="Textoennegrita"/>
          <w:rFonts w:ascii="Lato" w:eastAsia="Times New Roman" w:hAnsi="Lato"/>
          <w:sz w:val="20"/>
          <w:szCs w:val="20"/>
        </w:rPr>
        <w:t xml:space="preserve">e) Consideraciones fiscales del ente: </w:t>
      </w:r>
    </w:p>
    <w:p w:rsidR="00CF1479" w:rsidRDefault="00196B7D" w:rsidP="00CF1479">
      <w:pPr>
        <w:ind w:firstLine="600"/>
        <w:jc w:val="both"/>
        <w:divId w:val="1922986418"/>
        <w:rPr>
          <w:rFonts w:ascii="Lato" w:eastAsia="Times New Roman" w:hAnsi="Lato"/>
          <w:sz w:val="20"/>
          <w:szCs w:val="20"/>
        </w:rPr>
      </w:pPr>
      <w:r w:rsidRPr="00BC3A61">
        <w:rPr>
          <w:rFonts w:ascii="Lato" w:eastAsia="Times New Roman" w:hAnsi="Lato"/>
          <w:sz w:val="20"/>
          <w:szCs w:val="20"/>
        </w:rPr>
        <w:t xml:space="preserve">El Poder Ejecutivo es un organismo de la Administración Pública General; el cual inicia operaciones ante las oficinas de la Secretaria de Hacienda Federal el 1 de febrero de 1970. Las obligaciones fiscales de la administración Pública centralizada del Estado son las siguientes: </w:t>
      </w:r>
    </w:p>
    <w:p w:rsidR="00E873CD" w:rsidRPr="00CF1479" w:rsidRDefault="00196B7D" w:rsidP="00CF1479">
      <w:pPr>
        <w:pStyle w:val="Prrafodelista"/>
        <w:numPr>
          <w:ilvl w:val="0"/>
          <w:numId w:val="21"/>
        </w:numPr>
        <w:jc w:val="both"/>
        <w:divId w:val="1922986418"/>
        <w:rPr>
          <w:rFonts w:ascii="Lato" w:eastAsia="Times New Roman" w:hAnsi="Lato"/>
          <w:sz w:val="20"/>
          <w:szCs w:val="20"/>
        </w:rPr>
      </w:pPr>
      <w:r w:rsidRPr="00CF1479">
        <w:rPr>
          <w:rFonts w:ascii="Lato" w:eastAsia="Times New Roman" w:hAnsi="Lato"/>
          <w:sz w:val="20"/>
          <w:szCs w:val="20"/>
        </w:rPr>
        <w:t>Declaraci</w:t>
      </w:r>
      <w:r w:rsidRPr="00CF1479">
        <w:rPr>
          <w:rFonts w:ascii="Lato" w:eastAsia="Times New Roman" w:hAnsi="Lato" w:cs="Barlow"/>
          <w:sz w:val="20"/>
          <w:szCs w:val="20"/>
        </w:rPr>
        <w:t>ó</w:t>
      </w:r>
      <w:r w:rsidRPr="00CF1479">
        <w:rPr>
          <w:rFonts w:ascii="Lato" w:eastAsia="Times New Roman" w:hAnsi="Lato"/>
          <w:sz w:val="20"/>
          <w:szCs w:val="20"/>
        </w:rPr>
        <w:t>n y pago provisional mensual de retenciones de Impuestos Sobre la Renta (ISR) por sueldos y salarios.</w:t>
      </w:r>
    </w:p>
    <w:p w:rsidR="00CF1479" w:rsidRPr="00CF1479" w:rsidRDefault="00196B7D" w:rsidP="00CF1479">
      <w:pPr>
        <w:pStyle w:val="Prrafodelista"/>
        <w:numPr>
          <w:ilvl w:val="0"/>
          <w:numId w:val="21"/>
        </w:numPr>
        <w:divId w:val="1508599233"/>
        <w:rPr>
          <w:rFonts w:ascii="Lato" w:eastAsia="Times New Roman" w:hAnsi="Lato"/>
          <w:sz w:val="20"/>
          <w:szCs w:val="20"/>
        </w:rPr>
      </w:pPr>
      <w:r w:rsidRPr="00CF1479">
        <w:rPr>
          <w:rFonts w:ascii="Lato" w:eastAsia="Times New Roman" w:hAnsi="Lato"/>
          <w:sz w:val="20"/>
          <w:szCs w:val="20"/>
        </w:rPr>
        <w:t>Declaraci</w:t>
      </w:r>
      <w:r w:rsidRPr="00CF1479">
        <w:rPr>
          <w:rFonts w:ascii="Lato" w:eastAsia="Times New Roman" w:hAnsi="Lato" w:cs="Barlow"/>
          <w:sz w:val="20"/>
          <w:szCs w:val="20"/>
        </w:rPr>
        <w:t>ó</w:t>
      </w:r>
      <w:r w:rsidRPr="00CF1479">
        <w:rPr>
          <w:rFonts w:ascii="Lato" w:eastAsia="Times New Roman" w:hAnsi="Lato"/>
          <w:sz w:val="20"/>
          <w:szCs w:val="20"/>
        </w:rPr>
        <w:t>n y pago provisional mensual de Impuestos Sobre la Renta (ISR) por retenciones realizadas por Servicios Profesionales.</w:t>
      </w:r>
    </w:p>
    <w:p w:rsidR="00CF1479" w:rsidRPr="00CF1479" w:rsidRDefault="00196B7D" w:rsidP="00CF1479">
      <w:pPr>
        <w:pStyle w:val="Prrafodelista"/>
        <w:numPr>
          <w:ilvl w:val="0"/>
          <w:numId w:val="21"/>
        </w:numPr>
        <w:divId w:val="1508599233"/>
        <w:rPr>
          <w:rFonts w:ascii="Lato" w:eastAsia="Times New Roman" w:hAnsi="Lato"/>
          <w:sz w:val="20"/>
          <w:szCs w:val="20"/>
        </w:rPr>
      </w:pPr>
      <w:r w:rsidRPr="00CF1479">
        <w:rPr>
          <w:rFonts w:ascii="Lato" w:eastAsia="Times New Roman" w:hAnsi="Lato"/>
          <w:sz w:val="20"/>
          <w:szCs w:val="20"/>
        </w:rPr>
        <w:t>Declaraci</w:t>
      </w:r>
      <w:r w:rsidRPr="00CF1479">
        <w:rPr>
          <w:rFonts w:ascii="Lato" w:eastAsia="Times New Roman" w:hAnsi="Lato" w:cs="Barlow"/>
          <w:sz w:val="20"/>
          <w:szCs w:val="20"/>
        </w:rPr>
        <w:t>ó</w:t>
      </w:r>
      <w:r w:rsidRPr="00CF1479">
        <w:rPr>
          <w:rFonts w:ascii="Lato" w:eastAsia="Times New Roman" w:hAnsi="Lato"/>
          <w:sz w:val="20"/>
          <w:szCs w:val="20"/>
        </w:rPr>
        <w:t>n y pago provisional mensual de Impuesto Sobre la Renta (ISR) por retenciones realizadas por pago</w:t>
      </w:r>
      <w:r w:rsidR="00CF1479" w:rsidRPr="00CF1479">
        <w:rPr>
          <w:rFonts w:ascii="Lato" w:eastAsia="Times New Roman" w:hAnsi="Lato"/>
          <w:sz w:val="20"/>
          <w:szCs w:val="20"/>
        </w:rPr>
        <w:t>s de Rentas de Bienes Inmuebles.</w:t>
      </w:r>
    </w:p>
    <w:p w:rsidR="00CF1479" w:rsidRDefault="00CF1479" w:rsidP="00CF1479">
      <w:pPr>
        <w:pStyle w:val="Prrafodelista"/>
        <w:numPr>
          <w:ilvl w:val="0"/>
          <w:numId w:val="21"/>
        </w:numPr>
        <w:divId w:val="910963772"/>
        <w:rPr>
          <w:rFonts w:ascii="Lato" w:eastAsia="Times New Roman" w:hAnsi="Lato"/>
          <w:sz w:val="20"/>
          <w:szCs w:val="20"/>
        </w:rPr>
      </w:pPr>
      <w:r w:rsidRPr="00CF1479">
        <w:rPr>
          <w:rFonts w:ascii="Lato" w:eastAsia="Times New Roman" w:hAnsi="Lato"/>
          <w:sz w:val="20"/>
          <w:szCs w:val="20"/>
        </w:rPr>
        <w:t>Declaración y pago provisional mensual del Impuesto Sobre la Renta (ISR) por el Régimen simplificado de Confianza</w:t>
      </w:r>
      <w:r>
        <w:rPr>
          <w:rFonts w:ascii="Lato" w:eastAsia="Times New Roman" w:hAnsi="Lato"/>
          <w:sz w:val="20"/>
          <w:szCs w:val="20"/>
        </w:rPr>
        <w:t>.</w:t>
      </w:r>
    </w:p>
    <w:p w:rsidR="00CF1479" w:rsidRDefault="00CF1479" w:rsidP="00CF1479">
      <w:pPr>
        <w:pStyle w:val="Prrafodelista"/>
        <w:numPr>
          <w:ilvl w:val="0"/>
          <w:numId w:val="21"/>
        </w:numPr>
        <w:divId w:val="910963772"/>
        <w:rPr>
          <w:rFonts w:ascii="Lato" w:eastAsia="Times New Roman" w:hAnsi="Lato"/>
          <w:sz w:val="20"/>
          <w:szCs w:val="20"/>
        </w:rPr>
      </w:pPr>
      <w:r w:rsidRPr="00CF1479">
        <w:rPr>
          <w:rFonts w:ascii="Lato" w:eastAsia="Times New Roman" w:hAnsi="Lato"/>
          <w:sz w:val="20"/>
          <w:szCs w:val="20"/>
        </w:rPr>
        <w:t>Declaración y pago definitivo mensual del Impuesto al Valor Agregado (IVA) por presten servicios independientes y otorgamiento del uso o goce temporal de bienes.</w:t>
      </w:r>
    </w:p>
    <w:p w:rsidR="00E873CD" w:rsidRPr="00CF1479" w:rsidRDefault="00196B7D" w:rsidP="00CF1479">
      <w:pPr>
        <w:pStyle w:val="Prrafodelista"/>
        <w:numPr>
          <w:ilvl w:val="0"/>
          <w:numId w:val="21"/>
        </w:numPr>
        <w:divId w:val="910963772"/>
        <w:rPr>
          <w:rFonts w:ascii="Lato" w:eastAsia="Times New Roman" w:hAnsi="Lato"/>
          <w:sz w:val="20"/>
          <w:szCs w:val="20"/>
        </w:rPr>
      </w:pPr>
      <w:r w:rsidRPr="00CF1479">
        <w:rPr>
          <w:rFonts w:ascii="Lato" w:eastAsia="Times New Roman" w:hAnsi="Lato"/>
          <w:sz w:val="20"/>
          <w:szCs w:val="20"/>
        </w:rPr>
        <w:t>Presentar la declaraci</w:t>
      </w:r>
      <w:r w:rsidRPr="00CF1479">
        <w:rPr>
          <w:rFonts w:ascii="Lato" w:eastAsia="Times New Roman" w:hAnsi="Lato" w:cs="Barlow"/>
          <w:sz w:val="20"/>
          <w:szCs w:val="20"/>
        </w:rPr>
        <w:t>ó</w:t>
      </w:r>
      <w:r w:rsidRPr="00CF1479">
        <w:rPr>
          <w:rFonts w:ascii="Lato" w:eastAsia="Times New Roman" w:hAnsi="Lato"/>
          <w:sz w:val="20"/>
          <w:szCs w:val="20"/>
        </w:rPr>
        <w:t>n informativa mensual de operaciones con terceros.</w:t>
      </w:r>
    </w:p>
    <w:p w:rsidR="00003002" w:rsidRDefault="00003002">
      <w:pPr>
        <w:ind w:firstLine="600"/>
        <w:divId w:val="158162316"/>
        <w:rPr>
          <w:rFonts w:ascii="Lato" w:eastAsia="Times New Roman" w:hAnsi="Lato"/>
          <w:sz w:val="20"/>
          <w:szCs w:val="20"/>
        </w:rPr>
      </w:pPr>
    </w:p>
    <w:p w:rsidR="00E93349" w:rsidRPr="00BC3A61" w:rsidRDefault="00E93349">
      <w:pPr>
        <w:ind w:firstLine="600"/>
        <w:divId w:val="158162316"/>
        <w:rPr>
          <w:rFonts w:ascii="Lato" w:eastAsia="Times New Roman" w:hAnsi="Lato"/>
          <w:sz w:val="20"/>
          <w:szCs w:val="20"/>
        </w:rPr>
      </w:pPr>
    </w:p>
    <w:p w:rsidR="00E873CD" w:rsidRPr="00BC3A61" w:rsidRDefault="00196B7D">
      <w:pPr>
        <w:ind w:firstLine="600"/>
        <w:divId w:val="1986662372"/>
        <w:rPr>
          <w:rFonts w:ascii="Lato" w:eastAsia="Times New Roman" w:hAnsi="Lato"/>
          <w:sz w:val="20"/>
          <w:szCs w:val="20"/>
        </w:rPr>
      </w:pPr>
      <w:r w:rsidRPr="00BC3A61">
        <w:rPr>
          <w:rStyle w:val="Textoennegrita"/>
          <w:rFonts w:ascii="Lato" w:eastAsia="Times New Roman" w:hAnsi="Lato"/>
          <w:sz w:val="20"/>
          <w:szCs w:val="20"/>
        </w:rPr>
        <w:lastRenderedPageBreak/>
        <w:t>f) Estructura Organizacional Básica.</w:t>
      </w:r>
    </w:p>
    <w:p w:rsidR="00E873CD" w:rsidRPr="00BC3A61" w:rsidRDefault="00196B7D">
      <w:pPr>
        <w:ind w:firstLine="840"/>
        <w:jc w:val="both"/>
        <w:divId w:val="1922986418"/>
        <w:rPr>
          <w:rFonts w:ascii="Lato" w:eastAsia="Times New Roman" w:hAnsi="Lato"/>
          <w:sz w:val="20"/>
          <w:szCs w:val="20"/>
        </w:rPr>
      </w:pPr>
      <w:r w:rsidRPr="00BC3A61">
        <w:rPr>
          <w:rFonts w:ascii="Lato" w:eastAsia="Times New Roman" w:hAnsi="Lato"/>
          <w:sz w:val="20"/>
          <w:szCs w:val="20"/>
        </w:rPr>
        <w:t xml:space="preserve">El Reglamento del Código de la Administración Pública de Yucatán, tiene por objeto establecer la Organización y facultades de las Dependencias y Entidades que conforman la Administración Pública del Estado de Yucatán. </w:t>
      </w:r>
    </w:p>
    <w:p w:rsidR="00E873CD" w:rsidRPr="00BC3A61" w:rsidRDefault="00196B7D">
      <w:pPr>
        <w:ind w:firstLine="600"/>
        <w:divId w:val="435949354"/>
        <w:rPr>
          <w:rFonts w:ascii="Lato" w:eastAsia="Times New Roman" w:hAnsi="Lato"/>
          <w:sz w:val="20"/>
          <w:szCs w:val="20"/>
        </w:rPr>
      </w:pPr>
      <w:r w:rsidRPr="00BC3A61">
        <w:rPr>
          <w:rStyle w:val="Textoennegrita"/>
          <w:rFonts w:ascii="Lato" w:eastAsia="Times New Roman" w:hAnsi="Lato"/>
          <w:sz w:val="20"/>
          <w:szCs w:val="20"/>
        </w:rPr>
        <w:t>g) Fideicomisos, mandatos y análogos de los cuales es fideicomitente o fiduciario.</w:t>
      </w:r>
    </w:p>
    <w:p w:rsidR="00E873CD" w:rsidRPr="00BC3A61" w:rsidRDefault="00196B7D">
      <w:pPr>
        <w:divId w:val="1028261639"/>
        <w:rPr>
          <w:rFonts w:ascii="Lato" w:eastAsia="Times New Roman" w:hAnsi="Lato"/>
          <w:sz w:val="20"/>
          <w:szCs w:val="20"/>
        </w:rPr>
      </w:pPr>
      <w:r w:rsidRPr="00BC3A61">
        <w:rPr>
          <w:rFonts w:ascii="Lato" w:eastAsia="Times New Roman" w:hAnsi="Lato"/>
          <w:sz w:val="20"/>
          <w:szCs w:val="20"/>
        </w:rPr>
        <w:t>Los fideicomisos del Gobierno del Estado que se manejaron al 30 de septiembre de 2026 son los siguientes:</w:t>
      </w:r>
    </w:p>
    <w:tbl>
      <w:tblPr>
        <w:tblW w:w="9300" w:type="dxa"/>
        <w:tblCellMar>
          <w:left w:w="70" w:type="dxa"/>
          <w:right w:w="70" w:type="dxa"/>
        </w:tblCellMar>
        <w:tblLook w:val="04A0" w:firstRow="1" w:lastRow="0" w:firstColumn="1" w:lastColumn="0" w:noHBand="0" w:noVBand="1"/>
      </w:tblPr>
      <w:tblGrid>
        <w:gridCol w:w="800"/>
        <w:gridCol w:w="8500"/>
      </w:tblGrid>
      <w:tr w:rsidR="00E247AA" w:rsidRPr="00BC3A61" w:rsidTr="00E247AA">
        <w:trPr>
          <w:divId w:val="1028261639"/>
          <w:trHeight w:val="300"/>
        </w:trPr>
        <w:tc>
          <w:tcPr>
            <w:tcW w:w="800" w:type="dxa"/>
            <w:tcBorders>
              <w:top w:val="nil"/>
              <w:left w:val="nil"/>
              <w:bottom w:val="nil"/>
              <w:right w:val="nil"/>
            </w:tcBorders>
            <w:shd w:val="clear" w:color="auto" w:fill="auto"/>
            <w:noWrap/>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i</w:t>
            </w:r>
          </w:p>
        </w:tc>
        <w:tc>
          <w:tcPr>
            <w:tcW w:w="8500" w:type="dxa"/>
            <w:tcBorders>
              <w:top w:val="nil"/>
              <w:left w:val="nil"/>
              <w:bottom w:val="nil"/>
              <w:right w:val="nil"/>
            </w:tcBorders>
            <w:shd w:val="clear" w:color="auto" w:fill="auto"/>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FONDO PARA LA ATENCIÓN DE EMERGENCIAS Y DESASTRES DEL ESTADO (FAED)</w:t>
            </w:r>
          </w:p>
        </w:tc>
      </w:tr>
      <w:tr w:rsidR="00E247AA" w:rsidRPr="00BC3A61" w:rsidTr="00E247AA">
        <w:trPr>
          <w:divId w:val="1028261639"/>
          <w:trHeight w:val="525"/>
        </w:trPr>
        <w:tc>
          <w:tcPr>
            <w:tcW w:w="800" w:type="dxa"/>
            <w:tcBorders>
              <w:top w:val="nil"/>
              <w:left w:val="nil"/>
              <w:bottom w:val="nil"/>
              <w:right w:val="nil"/>
            </w:tcBorders>
            <w:shd w:val="clear" w:color="auto" w:fill="auto"/>
            <w:noWrap/>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ii</w:t>
            </w:r>
          </w:p>
        </w:tc>
        <w:tc>
          <w:tcPr>
            <w:tcW w:w="8500" w:type="dxa"/>
            <w:tcBorders>
              <w:top w:val="nil"/>
              <w:left w:val="nil"/>
              <w:bottom w:val="nil"/>
              <w:right w:val="nil"/>
            </w:tcBorders>
            <w:shd w:val="clear" w:color="auto" w:fill="auto"/>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YUCATECO PARA LA DIGNIFICACIÓN Y DESARROLLO INTEGRAL DE LOS TRABAJADORES DE LA CONSTRUCCIÓN (FYDITRAC)</w:t>
            </w:r>
          </w:p>
        </w:tc>
      </w:tr>
      <w:tr w:rsidR="00E247AA" w:rsidRPr="00BC3A61" w:rsidTr="00E247AA">
        <w:trPr>
          <w:divId w:val="1028261639"/>
          <w:trHeight w:val="300"/>
        </w:trPr>
        <w:tc>
          <w:tcPr>
            <w:tcW w:w="800" w:type="dxa"/>
            <w:tcBorders>
              <w:top w:val="nil"/>
              <w:left w:val="nil"/>
              <w:bottom w:val="nil"/>
              <w:right w:val="nil"/>
            </w:tcBorders>
            <w:shd w:val="clear" w:color="auto" w:fill="auto"/>
            <w:noWrap/>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iii</w:t>
            </w:r>
          </w:p>
        </w:tc>
        <w:tc>
          <w:tcPr>
            <w:tcW w:w="8500" w:type="dxa"/>
            <w:tcBorders>
              <w:top w:val="nil"/>
              <w:left w:val="nil"/>
              <w:bottom w:val="nil"/>
              <w:right w:val="nil"/>
            </w:tcBorders>
            <w:shd w:val="clear" w:color="auto" w:fill="auto"/>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FONDO DE FOMENTO AGROPECUARIO DEL ESTADO DE YUCATÁN (FOFAY)</w:t>
            </w:r>
          </w:p>
        </w:tc>
      </w:tr>
      <w:tr w:rsidR="00E247AA" w:rsidRPr="00BC3A61" w:rsidTr="00E247AA">
        <w:trPr>
          <w:divId w:val="1028261639"/>
          <w:trHeight w:val="300"/>
        </w:trPr>
        <w:tc>
          <w:tcPr>
            <w:tcW w:w="800" w:type="dxa"/>
            <w:tcBorders>
              <w:top w:val="nil"/>
              <w:left w:val="nil"/>
              <w:bottom w:val="nil"/>
              <w:right w:val="nil"/>
            </w:tcBorders>
            <w:shd w:val="clear" w:color="auto" w:fill="auto"/>
            <w:noWrap/>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iv</w:t>
            </w:r>
          </w:p>
        </w:tc>
        <w:tc>
          <w:tcPr>
            <w:tcW w:w="8500" w:type="dxa"/>
            <w:tcBorders>
              <w:top w:val="nil"/>
              <w:left w:val="nil"/>
              <w:bottom w:val="nil"/>
              <w:right w:val="nil"/>
            </w:tcBorders>
            <w:shd w:val="clear" w:color="auto" w:fill="auto"/>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FONDO INTEGRAL PARA EL DESARROLLO ECONÓMICO DE YUCATÁN (FIDEY)</w:t>
            </w:r>
          </w:p>
        </w:tc>
      </w:tr>
      <w:tr w:rsidR="00E247AA" w:rsidRPr="00BC3A61" w:rsidTr="00E247AA">
        <w:trPr>
          <w:divId w:val="1028261639"/>
          <w:trHeight w:val="300"/>
        </w:trPr>
        <w:tc>
          <w:tcPr>
            <w:tcW w:w="800" w:type="dxa"/>
            <w:tcBorders>
              <w:top w:val="nil"/>
              <w:left w:val="nil"/>
              <w:bottom w:val="nil"/>
              <w:right w:val="nil"/>
            </w:tcBorders>
            <w:shd w:val="clear" w:color="auto" w:fill="auto"/>
            <w:noWrap/>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v</w:t>
            </w:r>
          </w:p>
        </w:tc>
        <w:tc>
          <w:tcPr>
            <w:tcW w:w="8500" w:type="dxa"/>
            <w:tcBorders>
              <w:top w:val="nil"/>
              <w:left w:val="nil"/>
              <w:bottom w:val="nil"/>
              <w:right w:val="nil"/>
            </w:tcBorders>
            <w:shd w:val="clear" w:color="auto" w:fill="auto"/>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PARA LA PROMOCIÓN TURÍSTICA DEL ESTADO DE YUCATÁN</w:t>
            </w:r>
          </w:p>
        </w:tc>
      </w:tr>
      <w:tr w:rsidR="00E247AA" w:rsidRPr="00BC3A61" w:rsidTr="00E247AA">
        <w:trPr>
          <w:divId w:val="1028261639"/>
          <w:trHeight w:val="300"/>
        </w:trPr>
        <w:tc>
          <w:tcPr>
            <w:tcW w:w="800" w:type="dxa"/>
            <w:tcBorders>
              <w:top w:val="nil"/>
              <w:left w:val="nil"/>
              <w:bottom w:val="nil"/>
              <w:right w:val="nil"/>
            </w:tcBorders>
            <w:shd w:val="clear" w:color="auto" w:fill="auto"/>
            <w:noWrap/>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vi</w:t>
            </w:r>
          </w:p>
        </w:tc>
        <w:tc>
          <w:tcPr>
            <w:tcW w:w="8500" w:type="dxa"/>
            <w:tcBorders>
              <w:top w:val="nil"/>
              <w:left w:val="nil"/>
              <w:bottom w:val="nil"/>
              <w:right w:val="nil"/>
            </w:tcBorders>
            <w:shd w:val="clear" w:color="auto" w:fill="auto"/>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F/0002 PROTEGO CASA DE BOLSA DIV FIDUCIARIA</w:t>
            </w:r>
          </w:p>
        </w:tc>
      </w:tr>
      <w:tr w:rsidR="00E247AA" w:rsidRPr="00BC3A61" w:rsidTr="00E247AA">
        <w:trPr>
          <w:divId w:val="1028261639"/>
          <w:trHeight w:val="300"/>
        </w:trPr>
        <w:tc>
          <w:tcPr>
            <w:tcW w:w="800" w:type="dxa"/>
            <w:tcBorders>
              <w:top w:val="nil"/>
              <w:left w:val="nil"/>
              <w:bottom w:val="nil"/>
              <w:right w:val="nil"/>
            </w:tcBorders>
            <w:shd w:val="clear" w:color="auto" w:fill="auto"/>
            <w:noWrap/>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vii</w:t>
            </w:r>
          </w:p>
        </w:tc>
        <w:tc>
          <w:tcPr>
            <w:tcW w:w="8500" w:type="dxa"/>
            <w:tcBorders>
              <w:top w:val="nil"/>
              <w:left w:val="nil"/>
              <w:bottom w:val="nil"/>
              <w:right w:val="nil"/>
            </w:tcBorders>
            <w:shd w:val="clear" w:color="auto" w:fill="auto"/>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F/0019 PROTEGO CASA DE BOLSA SA DE CV FID</w:t>
            </w:r>
          </w:p>
        </w:tc>
      </w:tr>
      <w:tr w:rsidR="00E247AA" w:rsidRPr="00BC3A61" w:rsidTr="00E247AA">
        <w:trPr>
          <w:divId w:val="1028261639"/>
          <w:trHeight w:val="300"/>
        </w:trPr>
        <w:tc>
          <w:tcPr>
            <w:tcW w:w="800" w:type="dxa"/>
            <w:tcBorders>
              <w:top w:val="nil"/>
              <w:left w:val="nil"/>
              <w:bottom w:val="nil"/>
              <w:right w:val="nil"/>
            </w:tcBorders>
            <w:shd w:val="clear" w:color="auto" w:fill="auto"/>
            <w:noWrap/>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viii</w:t>
            </w:r>
          </w:p>
        </w:tc>
        <w:tc>
          <w:tcPr>
            <w:tcW w:w="8500" w:type="dxa"/>
            <w:tcBorders>
              <w:top w:val="nil"/>
              <w:left w:val="nil"/>
              <w:bottom w:val="nil"/>
              <w:right w:val="nil"/>
            </w:tcBorders>
            <w:shd w:val="clear" w:color="auto" w:fill="auto"/>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NO. F/4109088</w:t>
            </w:r>
          </w:p>
        </w:tc>
      </w:tr>
      <w:tr w:rsidR="00E247AA" w:rsidRPr="00BC3A61" w:rsidTr="00E247AA">
        <w:trPr>
          <w:divId w:val="1028261639"/>
          <w:trHeight w:val="300"/>
        </w:trPr>
        <w:tc>
          <w:tcPr>
            <w:tcW w:w="800" w:type="dxa"/>
            <w:tcBorders>
              <w:top w:val="nil"/>
              <w:left w:val="nil"/>
              <w:bottom w:val="nil"/>
              <w:right w:val="nil"/>
            </w:tcBorders>
            <w:shd w:val="clear" w:color="auto" w:fill="auto"/>
            <w:noWrap/>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ix</w:t>
            </w:r>
          </w:p>
        </w:tc>
        <w:tc>
          <w:tcPr>
            <w:tcW w:w="8500" w:type="dxa"/>
            <w:tcBorders>
              <w:top w:val="nil"/>
              <w:left w:val="nil"/>
              <w:bottom w:val="nil"/>
              <w:right w:val="nil"/>
            </w:tcBorders>
            <w:shd w:val="clear" w:color="auto" w:fill="auto"/>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F/4109146</w:t>
            </w:r>
          </w:p>
        </w:tc>
      </w:tr>
      <w:tr w:rsidR="00E247AA" w:rsidRPr="00BC3A61" w:rsidTr="00E247AA">
        <w:trPr>
          <w:divId w:val="1028261639"/>
          <w:trHeight w:val="300"/>
        </w:trPr>
        <w:tc>
          <w:tcPr>
            <w:tcW w:w="800" w:type="dxa"/>
            <w:tcBorders>
              <w:top w:val="nil"/>
              <w:left w:val="nil"/>
              <w:bottom w:val="nil"/>
              <w:right w:val="nil"/>
            </w:tcBorders>
            <w:shd w:val="clear" w:color="auto" w:fill="auto"/>
            <w:noWrap/>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x</w:t>
            </w:r>
          </w:p>
        </w:tc>
        <w:tc>
          <w:tcPr>
            <w:tcW w:w="8500" w:type="dxa"/>
            <w:tcBorders>
              <w:top w:val="nil"/>
              <w:left w:val="nil"/>
              <w:bottom w:val="nil"/>
              <w:right w:val="nil"/>
            </w:tcBorders>
            <w:shd w:val="clear" w:color="auto" w:fill="auto"/>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No. F/4130480</w:t>
            </w:r>
          </w:p>
        </w:tc>
      </w:tr>
      <w:tr w:rsidR="00E247AA" w:rsidRPr="00BC3A61" w:rsidTr="00E247AA">
        <w:trPr>
          <w:divId w:val="1028261639"/>
          <w:trHeight w:val="300"/>
        </w:trPr>
        <w:tc>
          <w:tcPr>
            <w:tcW w:w="800" w:type="dxa"/>
            <w:tcBorders>
              <w:top w:val="nil"/>
              <w:left w:val="nil"/>
              <w:bottom w:val="nil"/>
              <w:right w:val="nil"/>
            </w:tcBorders>
            <w:shd w:val="clear" w:color="auto" w:fill="auto"/>
            <w:noWrap/>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xi</w:t>
            </w:r>
          </w:p>
        </w:tc>
        <w:tc>
          <w:tcPr>
            <w:tcW w:w="8500" w:type="dxa"/>
            <w:tcBorders>
              <w:top w:val="nil"/>
              <w:left w:val="nil"/>
              <w:bottom w:val="nil"/>
              <w:right w:val="nil"/>
            </w:tcBorders>
            <w:shd w:val="clear" w:color="auto" w:fill="auto"/>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DE INVERSIÓN Y ADMINISTRACIÓN NÚMERO F/4142634</w:t>
            </w:r>
          </w:p>
        </w:tc>
      </w:tr>
      <w:tr w:rsidR="00E247AA" w:rsidRPr="00BC3A61" w:rsidTr="00E247AA">
        <w:trPr>
          <w:divId w:val="1028261639"/>
          <w:trHeight w:val="300"/>
        </w:trPr>
        <w:tc>
          <w:tcPr>
            <w:tcW w:w="800" w:type="dxa"/>
            <w:tcBorders>
              <w:top w:val="nil"/>
              <w:left w:val="nil"/>
              <w:bottom w:val="nil"/>
              <w:right w:val="nil"/>
            </w:tcBorders>
            <w:shd w:val="clear" w:color="auto" w:fill="auto"/>
            <w:noWrap/>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xii</w:t>
            </w:r>
          </w:p>
        </w:tc>
        <w:tc>
          <w:tcPr>
            <w:tcW w:w="8500" w:type="dxa"/>
            <w:tcBorders>
              <w:top w:val="nil"/>
              <w:left w:val="nil"/>
              <w:bottom w:val="nil"/>
              <w:right w:val="nil"/>
            </w:tcBorders>
            <w:shd w:val="clear" w:color="auto" w:fill="auto"/>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No. F/1412</w:t>
            </w:r>
          </w:p>
        </w:tc>
      </w:tr>
      <w:tr w:rsidR="00E247AA" w:rsidRPr="00BC3A61" w:rsidTr="00E247AA">
        <w:trPr>
          <w:divId w:val="1028261639"/>
          <w:trHeight w:val="525"/>
        </w:trPr>
        <w:tc>
          <w:tcPr>
            <w:tcW w:w="800" w:type="dxa"/>
            <w:tcBorders>
              <w:top w:val="nil"/>
              <w:left w:val="nil"/>
              <w:bottom w:val="nil"/>
              <w:right w:val="nil"/>
            </w:tcBorders>
            <w:shd w:val="clear" w:color="auto" w:fill="auto"/>
            <w:noWrap/>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xiii</w:t>
            </w:r>
          </w:p>
        </w:tc>
        <w:tc>
          <w:tcPr>
            <w:tcW w:w="8500" w:type="dxa"/>
            <w:tcBorders>
              <w:top w:val="nil"/>
              <w:left w:val="nil"/>
              <w:bottom w:val="nil"/>
              <w:right w:val="nil"/>
            </w:tcBorders>
            <w:shd w:val="clear" w:color="auto" w:fill="auto"/>
            <w:vAlign w:val="bottom"/>
            <w:hideMark/>
          </w:tcPr>
          <w:p w:rsidR="00E247AA" w:rsidRPr="00BC3A61" w:rsidRDefault="00E247AA" w:rsidP="00E247AA">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PROGRAMA DE BECAS NACIONALES PARA LA EDUCACIÓN SUPERIOR DE MANUTENCIÓN DE YUCATÁN</w:t>
            </w:r>
          </w:p>
        </w:tc>
      </w:tr>
    </w:tbl>
    <w:p w:rsidR="00E247AA" w:rsidRPr="00BC3A61" w:rsidRDefault="00E247AA">
      <w:pPr>
        <w:divId w:val="1028261639"/>
        <w:rPr>
          <w:rFonts w:ascii="Lato" w:eastAsia="Times New Roman" w:hAnsi="Lato"/>
          <w:sz w:val="20"/>
          <w:szCs w:val="20"/>
        </w:rPr>
      </w:pPr>
    </w:p>
    <w:p w:rsidR="00E873CD" w:rsidRPr="00BC3A61" w:rsidRDefault="00196B7D">
      <w:pPr>
        <w:rPr>
          <w:rStyle w:val="Textoennegrita"/>
          <w:rFonts w:ascii="Lato" w:eastAsia="Times New Roman" w:hAnsi="Lato"/>
          <w:sz w:val="20"/>
          <w:szCs w:val="20"/>
        </w:rPr>
      </w:pPr>
      <w:r w:rsidRPr="00BC3A61">
        <w:rPr>
          <w:rStyle w:val="Textoennegrita"/>
          <w:rFonts w:ascii="Lato" w:eastAsia="Times New Roman" w:hAnsi="Lato"/>
          <w:sz w:val="20"/>
          <w:szCs w:val="20"/>
        </w:rPr>
        <w:t>4.- Bases para la Preparación de Estados Financieros.</w:t>
      </w:r>
    </w:p>
    <w:p w:rsidR="00003002" w:rsidRPr="00BC3A61" w:rsidRDefault="00003002" w:rsidP="00003002">
      <w:pPr>
        <w:jc w:val="both"/>
        <w:rPr>
          <w:rFonts w:ascii="Lato" w:eastAsia="Times New Roman" w:hAnsi="Lato"/>
          <w:sz w:val="20"/>
          <w:szCs w:val="20"/>
        </w:rPr>
      </w:pPr>
      <w:r w:rsidRPr="00BC3A61">
        <w:rPr>
          <w:rFonts w:ascii="Lato" w:eastAsia="Times New Roman" w:hAnsi="Lato"/>
          <w:sz w:val="20"/>
          <w:szCs w:val="20"/>
        </w:rPr>
        <w:t xml:space="preserve">a)         En la preparación de los Estados Financieros del Poder Ejecutivo, se observó lo establecido en la Ley General de Contabilidad Gubernamental, la Ley de Presupuesto y Contabilidad Gubernamental del Estado de Yucatán y demás disposiciones emitidas para tal efecto por el Consejo Nacional de Armonización Contable (CONAC). </w:t>
      </w:r>
    </w:p>
    <w:p w:rsidR="00003002" w:rsidRPr="00BC3A61" w:rsidRDefault="00003002" w:rsidP="00003002">
      <w:pPr>
        <w:jc w:val="both"/>
        <w:rPr>
          <w:rFonts w:ascii="Lato" w:eastAsia="Times New Roman" w:hAnsi="Lato"/>
          <w:sz w:val="20"/>
          <w:szCs w:val="20"/>
        </w:rPr>
      </w:pPr>
      <w:r w:rsidRPr="00BC3A61">
        <w:rPr>
          <w:rFonts w:ascii="Lato" w:eastAsia="Times New Roman" w:hAnsi="Lato"/>
          <w:sz w:val="20"/>
          <w:szCs w:val="20"/>
        </w:rPr>
        <w:t>b)         La base de medición utilizada en el registro de las operaciones para la elaboración de los Estados Financieros es a Costo histórico.</w:t>
      </w:r>
    </w:p>
    <w:p w:rsidR="00003002" w:rsidRPr="00BC3A61" w:rsidRDefault="00003002" w:rsidP="00003002">
      <w:pPr>
        <w:jc w:val="both"/>
        <w:rPr>
          <w:rFonts w:ascii="Lato" w:eastAsia="Times New Roman" w:hAnsi="Lato"/>
          <w:sz w:val="20"/>
          <w:szCs w:val="20"/>
        </w:rPr>
      </w:pPr>
      <w:r w:rsidRPr="00BC3A61">
        <w:rPr>
          <w:rFonts w:ascii="Lato" w:eastAsia="Times New Roman" w:hAnsi="Lato"/>
          <w:sz w:val="20"/>
          <w:szCs w:val="20"/>
        </w:rPr>
        <w:t>c)         Postulados básicos de la Contabilidad gubernamental aprobados por la CONAC y Publicados en el Diario Oficial del Estado para su difusión.</w:t>
      </w:r>
    </w:p>
    <w:p w:rsidR="00003002" w:rsidRPr="00BC3A61" w:rsidRDefault="00003002" w:rsidP="00003002">
      <w:pPr>
        <w:pStyle w:val="Prrafodelista"/>
        <w:numPr>
          <w:ilvl w:val="0"/>
          <w:numId w:val="5"/>
        </w:numPr>
        <w:rPr>
          <w:rFonts w:ascii="Lato" w:eastAsia="Times New Roman" w:hAnsi="Lato"/>
          <w:sz w:val="20"/>
          <w:szCs w:val="20"/>
        </w:rPr>
      </w:pPr>
      <w:r w:rsidRPr="00BC3A61">
        <w:rPr>
          <w:rFonts w:ascii="Lato" w:eastAsia="Times New Roman" w:hAnsi="Lato"/>
          <w:sz w:val="20"/>
          <w:szCs w:val="20"/>
        </w:rPr>
        <w:t>Sustancia Económica</w:t>
      </w:r>
    </w:p>
    <w:p w:rsidR="00003002" w:rsidRPr="00BC3A61" w:rsidRDefault="00003002" w:rsidP="00003002">
      <w:pPr>
        <w:pStyle w:val="Prrafodelista"/>
        <w:numPr>
          <w:ilvl w:val="0"/>
          <w:numId w:val="5"/>
        </w:numPr>
        <w:rPr>
          <w:rFonts w:ascii="Lato" w:eastAsia="Times New Roman" w:hAnsi="Lato"/>
          <w:sz w:val="20"/>
          <w:szCs w:val="20"/>
        </w:rPr>
      </w:pPr>
      <w:r w:rsidRPr="00BC3A61">
        <w:rPr>
          <w:rFonts w:ascii="Lato" w:eastAsia="Times New Roman" w:hAnsi="Lato"/>
          <w:sz w:val="20"/>
          <w:szCs w:val="20"/>
        </w:rPr>
        <w:lastRenderedPageBreak/>
        <w:t>Entes Públicos</w:t>
      </w:r>
    </w:p>
    <w:p w:rsidR="00003002" w:rsidRPr="00BC3A61" w:rsidRDefault="00003002" w:rsidP="00003002">
      <w:pPr>
        <w:pStyle w:val="Prrafodelista"/>
        <w:numPr>
          <w:ilvl w:val="0"/>
          <w:numId w:val="5"/>
        </w:numPr>
        <w:rPr>
          <w:rFonts w:ascii="Lato" w:eastAsia="Times New Roman" w:hAnsi="Lato"/>
          <w:sz w:val="20"/>
          <w:szCs w:val="20"/>
        </w:rPr>
      </w:pPr>
      <w:r w:rsidRPr="00BC3A61">
        <w:rPr>
          <w:rFonts w:ascii="Lato" w:eastAsia="Times New Roman" w:hAnsi="Lato"/>
          <w:sz w:val="20"/>
          <w:szCs w:val="20"/>
        </w:rPr>
        <w:t>Existencia Permanente</w:t>
      </w:r>
    </w:p>
    <w:p w:rsidR="00003002" w:rsidRPr="00BC3A61" w:rsidRDefault="00003002" w:rsidP="00003002">
      <w:pPr>
        <w:pStyle w:val="Prrafodelista"/>
        <w:numPr>
          <w:ilvl w:val="0"/>
          <w:numId w:val="5"/>
        </w:numPr>
        <w:rPr>
          <w:rFonts w:ascii="Lato" w:eastAsia="Times New Roman" w:hAnsi="Lato"/>
          <w:sz w:val="20"/>
          <w:szCs w:val="20"/>
        </w:rPr>
      </w:pPr>
      <w:r w:rsidRPr="00BC3A61">
        <w:rPr>
          <w:rFonts w:ascii="Lato" w:eastAsia="Times New Roman" w:hAnsi="Lato"/>
          <w:sz w:val="20"/>
          <w:szCs w:val="20"/>
        </w:rPr>
        <w:t>Revelación Suficiente</w:t>
      </w:r>
    </w:p>
    <w:p w:rsidR="00003002" w:rsidRPr="00BC3A61" w:rsidRDefault="00003002" w:rsidP="00003002">
      <w:pPr>
        <w:pStyle w:val="Prrafodelista"/>
        <w:numPr>
          <w:ilvl w:val="0"/>
          <w:numId w:val="5"/>
        </w:numPr>
        <w:rPr>
          <w:rFonts w:ascii="Lato" w:eastAsia="Times New Roman" w:hAnsi="Lato"/>
          <w:sz w:val="20"/>
          <w:szCs w:val="20"/>
        </w:rPr>
      </w:pPr>
      <w:r w:rsidRPr="00BC3A61">
        <w:rPr>
          <w:rFonts w:ascii="Lato" w:eastAsia="Times New Roman" w:hAnsi="Lato"/>
          <w:sz w:val="20"/>
          <w:szCs w:val="20"/>
        </w:rPr>
        <w:t>Importancia Relativa</w:t>
      </w:r>
    </w:p>
    <w:p w:rsidR="00003002" w:rsidRPr="00BC3A61" w:rsidRDefault="00003002" w:rsidP="00003002">
      <w:pPr>
        <w:pStyle w:val="Prrafodelista"/>
        <w:numPr>
          <w:ilvl w:val="0"/>
          <w:numId w:val="5"/>
        </w:numPr>
        <w:rPr>
          <w:rFonts w:ascii="Lato" w:eastAsia="Times New Roman" w:hAnsi="Lato"/>
          <w:sz w:val="20"/>
          <w:szCs w:val="20"/>
        </w:rPr>
      </w:pPr>
      <w:r w:rsidRPr="00BC3A61">
        <w:rPr>
          <w:rFonts w:ascii="Lato" w:eastAsia="Times New Roman" w:hAnsi="Lato"/>
          <w:sz w:val="20"/>
          <w:szCs w:val="20"/>
        </w:rPr>
        <w:t>Registro e Integración Presupuestaria</w:t>
      </w:r>
    </w:p>
    <w:p w:rsidR="00003002" w:rsidRPr="00BC3A61" w:rsidRDefault="00003002" w:rsidP="00003002">
      <w:pPr>
        <w:pStyle w:val="Prrafodelista"/>
        <w:numPr>
          <w:ilvl w:val="0"/>
          <w:numId w:val="5"/>
        </w:numPr>
        <w:rPr>
          <w:rFonts w:ascii="Lato" w:eastAsia="Times New Roman" w:hAnsi="Lato"/>
          <w:sz w:val="20"/>
          <w:szCs w:val="20"/>
        </w:rPr>
      </w:pPr>
      <w:r w:rsidRPr="00BC3A61">
        <w:rPr>
          <w:rFonts w:ascii="Lato" w:eastAsia="Times New Roman" w:hAnsi="Lato"/>
          <w:sz w:val="20"/>
          <w:szCs w:val="20"/>
        </w:rPr>
        <w:t>Consolidación de la Información Financiera</w:t>
      </w:r>
    </w:p>
    <w:p w:rsidR="00003002" w:rsidRPr="00BC3A61" w:rsidRDefault="00003002" w:rsidP="00003002">
      <w:pPr>
        <w:pStyle w:val="Prrafodelista"/>
        <w:numPr>
          <w:ilvl w:val="0"/>
          <w:numId w:val="5"/>
        </w:numPr>
        <w:rPr>
          <w:rFonts w:ascii="Lato" w:eastAsia="Times New Roman" w:hAnsi="Lato"/>
          <w:sz w:val="20"/>
          <w:szCs w:val="20"/>
        </w:rPr>
      </w:pPr>
      <w:r w:rsidRPr="00BC3A61">
        <w:rPr>
          <w:rFonts w:ascii="Lato" w:eastAsia="Times New Roman" w:hAnsi="Lato"/>
          <w:sz w:val="20"/>
          <w:szCs w:val="20"/>
        </w:rPr>
        <w:t>Devengo Contable</w:t>
      </w:r>
    </w:p>
    <w:p w:rsidR="00003002" w:rsidRPr="00BC3A61" w:rsidRDefault="00003002" w:rsidP="00003002">
      <w:pPr>
        <w:pStyle w:val="Prrafodelista"/>
        <w:numPr>
          <w:ilvl w:val="0"/>
          <w:numId w:val="5"/>
        </w:numPr>
        <w:rPr>
          <w:rFonts w:ascii="Lato" w:eastAsia="Times New Roman" w:hAnsi="Lato"/>
          <w:sz w:val="20"/>
          <w:szCs w:val="20"/>
        </w:rPr>
      </w:pPr>
      <w:r w:rsidRPr="00BC3A61">
        <w:rPr>
          <w:rFonts w:ascii="Lato" w:eastAsia="Times New Roman" w:hAnsi="Lato"/>
          <w:sz w:val="20"/>
          <w:szCs w:val="20"/>
        </w:rPr>
        <w:t>Valuación</w:t>
      </w:r>
    </w:p>
    <w:p w:rsidR="00003002" w:rsidRPr="00BC3A61" w:rsidRDefault="00003002" w:rsidP="00003002">
      <w:pPr>
        <w:pStyle w:val="Prrafodelista"/>
        <w:numPr>
          <w:ilvl w:val="0"/>
          <w:numId w:val="5"/>
        </w:numPr>
        <w:rPr>
          <w:rFonts w:ascii="Lato" w:eastAsia="Times New Roman" w:hAnsi="Lato"/>
          <w:sz w:val="20"/>
          <w:szCs w:val="20"/>
        </w:rPr>
      </w:pPr>
      <w:r w:rsidRPr="00BC3A61">
        <w:rPr>
          <w:rFonts w:ascii="Lato" w:eastAsia="Times New Roman" w:hAnsi="Lato"/>
          <w:sz w:val="20"/>
          <w:szCs w:val="20"/>
        </w:rPr>
        <w:t>Dualidad Económica</w:t>
      </w:r>
    </w:p>
    <w:p w:rsidR="00003002" w:rsidRPr="00BC3A61" w:rsidRDefault="00003002" w:rsidP="00003002">
      <w:pPr>
        <w:pStyle w:val="Prrafodelista"/>
        <w:numPr>
          <w:ilvl w:val="0"/>
          <w:numId w:val="5"/>
        </w:numPr>
        <w:rPr>
          <w:rFonts w:ascii="Lato" w:eastAsia="Times New Roman" w:hAnsi="Lato"/>
          <w:sz w:val="20"/>
          <w:szCs w:val="20"/>
        </w:rPr>
      </w:pPr>
      <w:r w:rsidRPr="00BC3A61">
        <w:rPr>
          <w:rFonts w:ascii="Lato" w:eastAsia="Times New Roman" w:hAnsi="Lato"/>
          <w:sz w:val="20"/>
          <w:szCs w:val="20"/>
        </w:rPr>
        <w:t>Consistencia</w:t>
      </w:r>
    </w:p>
    <w:p w:rsidR="00003002" w:rsidRPr="00BC3A61" w:rsidRDefault="00003002" w:rsidP="00003002">
      <w:pPr>
        <w:pStyle w:val="Prrafodelista"/>
        <w:rPr>
          <w:rFonts w:ascii="Lato" w:eastAsia="Times New Roman" w:hAnsi="Lato"/>
          <w:sz w:val="20"/>
          <w:szCs w:val="20"/>
        </w:rPr>
      </w:pPr>
    </w:p>
    <w:p w:rsidR="00003002" w:rsidRPr="00BC3A61" w:rsidRDefault="00003002" w:rsidP="00003002">
      <w:pPr>
        <w:jc w:val="both"/>
        <w:rPr>
          <w:rFonts w:ascii="Lato" w:eastAsia="Times New Roman" w:hAnsi="Lato"/>
          <w:sz w:val="20"/>
          <w:szCs w:val="20"/>
        </w:rPr>
      </w:pPr>
      <w:r w:rsidRPr="00BC3A61">
        <w:rPr>
          <w:rFonts w:ascii="Lato" w:eastAsia="Times New Roman" w:hAnsi="Lato"/>
          <w:sz w:val="20"/>
          <w:szCs w:val="20"/>
        </w:rPr>
        <w:t>d)         En forma supletoria a las Normas de la Ley General de Contabilidad Gubernamental y a las emitidas por la CONAC aplicaron las siguientes:</w:t>
      </w:r>
    </w:p>
    <w:p w:rsidR="00003002" w:rsidRPr="00BC3A61" w:rsidRDefault="00003002" w:rsidP="00003002">
      <w:pPr>
        <w:ind w:left="426"/>
        <w:rPr>
          <w:rFonts w:ascii="Lato" w:eastAsia="Times New Roman" w:hAnsi="Lato"/>
          <w:sz w:val="20"/>
          <w:szCs w:val="20"/>
        </w:rPr>
      </w:pPr>
      <w:r w:rsidRPr="00BC3A61">
        <w:rPr>
          <w:rFonts w:ascii="Lato" w:eastAsia="Times New Roman" w:hAnsi="Lato" w:cs="Times New Roman"/>
          <w:sz w:val="20"/>
          <w:szCs w:val="20"/>
        </w:rPr>
        <w:t>●</w:t>
      </w:r>
      <w:r w:rsidRPr="00BC3A61">
        <w:rPr>
          <w:rFonts w:ascii="Lato" w:eastAsia="Times New Roman" w:hAnsi="Lato" w:cs="Barlow"/>
          <w:sz w:val="20"/>
          <w:szCs w:val="20"/>
        </w:rPr>
        <w:t>        </w:t>
      </w:r>
      <w:r w:rsidRPr="00BC3A61">
        <w:rPr>
          <w:rFonts w:ascii="Lato" w:eastAsia="Times New Roman" w:hAnsi="Lato"/>
          <w:sz w:val="20"/>
          <w:szCs w:val="20"/>
        </w:rPr>
        <w:t xml:space="preserve"> Normatividad emitida por las unidades administrativas o instancias competentes en materia de Contabilidad Gubernamental.</w:t>
      </w:r>
    </w:p>
    <w:p w:rsidR="00003002" w:rsidRPr="00BC3A61" w:rsidRDefault="00003002" w:rsidP="00003002">
      <w:pPr>
        <w:ind w:left="426"/>
        <w:rPr>
          <w:rFonts w:ascii="Lato" w:eastAsia="Times New Roman" w:hAnsi="Lato"/>
          <w:sz w:val="20"/>
          <w:szCs w:val="20"/>
        </w:rPr>
      </w:pPr>
      <w:r w:rsidRPr="00BC3A61">
        <w:rPr>
          <w:rFonts w:ascii="Lato" w:eastAsia="Times New Roman" w:hAnsi="Lato" w:cs="Times New Roman"/>
          <w:sz w:val="20"/>
          <w:szCs w:val="20"/>
        </w:rPr>
        <w:t>●</w:t>
      </w:r>
      <w:r w:rsidRPr="00BC3A61">
        <w:rPr>
          <w:rFonts w:ascii="Lato" w:eastAsia="Times New Roman" w:hAnsi="Lato" w:cs="Barlow"/>
          <w:sz w:val="20"/>
          <w:szCs w:val="20"/>
        </w:rPr>
        <w:t>        </w:t>
      </w:r>
      <w:r w:rsidRPr="00BC3A61">
        <w:rPr>
          <w:rFonts w:ascii="Lato" w:eastAsia="Times New Roman" w:hAnsi="Lato"/>
          <w:sz w:val="20"/>
          <w:szCs w:val="20"/>
        </w:rPr>
        <w:t xml:space="preserve"> Las Normas Internacionales de Contabilidad para el sector p</w:t>
      </w:r>
      <w:r w:rsidRPr="00BC3A61">
        <w:rPr>
          <w:rFonts w:ascii="Lato" w:eastAsia="Times New Roman" w:hAnsi="Lato" w:cs="Barlow"/>
          <w:sz w:val="20"/>
          <w:szCs w:val="20"/>
        </w:rPr>
        <w:t>ú</w:t>
      </w:r>
      <w:r w:rsidRPr="00BC3A61">
        <w:rPr>
          <w:rFonts w:ascii="Lato" w:eastAsia="Times New Roman" w:hAnsi="Lato"/>
          <w:sz w:val="20"/>
          <w:szCs w:val="20"/>
        </w:rPr>
        <w:t>blico (NICSP) emitidas por la junta de Normas Internacionales de Contabilidad del Sector Público.</w:t>
      </w:r>
    </w:p>
    <w:p w:rsidR="00003002" w:rsidRPr="00BC3A61" w:rsidRDefault="00003002" w:rsidP="00003002">
      <w:pPr>
        <w:ind w:left="426"/>
        <w:rPr>
          <w:rFonts w:ascii="Lato" w:eastAsia="Times New Roman" w:hAnsi="Lato"/>
          <w:sz w:val="20"/>
          <w:szCs w:val="20"/>
        </w:rPr>
      </w:pPr>
      <w:r w:rsidRPr="00BC3A61">
        <w:rPr>
          <w:rFonts w:ascii="Lato" w:eastAsia="Times New Roman" w:hAnsi="Lato" w:cs="Times New Roman"/>
          <w:sz w:val="20"/>
          <w:szCs w:val="20"/>
        </w:rPr>
        <w:t>●</w:t>
      </w:r>
      <w:r w:rsidRPr="00BC3A61">
        <w:rPr>
          <w:rFonts w:ascii="Lato" w:eastAsia="Times New Roman" w:hAnsi="Lato" w:cs="Barlow"/>
          <w:sz w:val="20"/>
          <w:szCs w:val="20"/>
        </w:rPr>
        <w:t>        </w:t>
      </w:r>
      <w:r w:rsidRPr="00BC3A61">
        <w:rPr>
          <w:rFonts w:ascii="Lato" w:eastAsia="Times New Roman" w:hAnsi="Lato"/>
          <w:sz w:val="20"/>
          <w:szCs w:val="20"/>
        </w:rPr>
        <w:t xml:space="preserve"> Las normas de informaci</w:t>
      </w:r>
      <w:r w:rsidRPr="00BC3A61">
        <w:rPr>
          <w:rFonts w:ascii="Lato" w:eastAsia="Times New Roman" w:hAnsi="Lato" w:cs="Barlow"/>
          <w:sz w:val="20"/>
          <w:szCs w:val="20"/>
        </w:rPr>
        <w:t>ó</w:t>
      </w:r>
      <w:r w:rsidRPr="00BC3A61">
        <w:rPr>
          <w:rFonts w:ascii="Lato" w:eastAsia="Times New Roman" w:hAnsi="Lato"/>
          <w:sz w:val="20"/>
          <w:szCs w:val="20"/>
        </w:rPr>
        <w:t>n financiera del Consejo Mexicano para la investigaci</w:t>
      </w:r>
      <w:r w:rsidRPr="00BC3A61">
        <w:rPr>
          <w:rFonts w:ascii="Lato" w:eastAsia="Times New Roman" w:hAnsi="Lato" w:cs="Barlow"/>
          <w:sz w:val="20"/>
          <w:szCs w:val="20"/>
        </w:rPr>
        <w:t>ó</w:t>
      </w:r>
      <w:r w:rsidRPr="00BC3A61">
        <w:rPr>
          <w:rFonts w:ascii="Lato" w:eastAsia="Times New Roman" w:hAnsi="Lato"/>
          <w:sz w:val="20"/>
          <w:szCs w:val="20"/>
        </w:rPr>
        <w:t>n y Desarrollo de normas de Informaci</w:t>
      </w:r>
      <w:r w:rsidRPr="00BC3A61">
        <w:rPr>
          <w:rFonts w:ascii="Lato" w:eastAsia="Times New Roman" w:hAnsi="Lato" w:cs="Barlow"/>
          <w:sz w:val="20"/>
          <w:szCs w:val="20"/>
        </w:rPr>
        <w:t>ó</w:t>
      </w:r>
      <w:r w:rsidRPr="00BC3A61">
        <w:rPr>
          <w:rFonts w:ascii="Lato" w:eastAsia="Times New Roman" w:hAnsi="Lato"/>
          <w:sz w:val="20"/>
          <w:szCs w:val="20"/>
        </w:rPr>
        <w:t>n Financiera A.C. (CINIF).</w:t>
      </w: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t>5.- Políticas de Contabilidad Significativas.</w:t>
      </w:r>
    </w:p>
    <w:p w:rsidR="00E873CD" w:rsidRPr="00BC3A61" w:rsidRDefault="00196B7D">
      <w:pPr>
        <w:jc w:val="both"/>
        <w:rPr>
          <w:rFonts w:ascii="Lato" w:eastAsia="Times New Roman" w:hAnsi="Lato"/>
          <w:sz w:val="20"/>
          <w:szCs w:val="20"/>
        </w:rPr>
      </w:pPr>
      <w:r w:rsidRPr="00BC3A61">
        <w:rPr>
          <w:rFonts w:ascii="Lato" w:eastAsia="Times New Roman" w:hAnsi="Lato"/>
          <w:sz w:val="20"/>
          <w:szCs w:val="20"/>
        </w:rPr>
        <w:t xml:space="preserve">a) Los Estados Financieros del Poder Ejecutivo no reconocen los efectos de la inflación, toda vez que no se actualiza lo previsto en las Principales Reglas de Registro y Valoración del Patrimonio (elementos generales), en cuanto a que, se indica que es necesario reconocer los efectos de la inflación cuando exista un entorno inflacionario, derivado de lo anterior, no estamos dentro de un entorno inflacionario, por lo cual no se actualiza. </w:t>
      </w:r>
    </w:p>
    <w:p w:rsidR="00E873CD" w:rsidRPr="00BC3A61" w:rsidRDefault="00196B7D">
      <w:pPr>
        <w:jc w:val="both"/>
        <w:rPr>
          <w:rFonts w:ascii="Lato" w:eastAsia="Times New Roman" w:hAnsi="Lato"/>
          <w:sz w:val="20"/>
          <w:szCs w:val="20"/>
        </w:rPr>
      </w:pPr>
      <w:r w:rsidRPr="00BC3A61">
        <w:rPr>
          <w:rFonts w:ascii="Lato" w:eastAsia="Times New Roman" w:hAnsi="Lato"/>
          <w:sz w:val="20"/>
          <w:szCs w:val="20"/>
        </w:rPr>
        <w:t>b) El Poder Ejecutivo del Gobierno del Estado, no realizó operaciones en el extranjero.</w:t>
      </w:r>
    </w:p>
    <w:p w:rsidR="00E873CD" w:rsidRPr="00BC3A61" w:rsidRDefault="00196B7D">
      <w:pPr>
        <w:jc w:val="both"/>
        <w:rPr>
          <w:rFonts w:ascii="Lato" w:eastAsia="Times New Roman" w:hAnsi="Lato"/>
          <w:sz w:val="20"/>
          <w:szCs w:val="20"/>
        </w:rPr>
      </w:pPr>
      <w:r w:rsidRPr="00BC3A61">
        <w:rPr>
          <w:rFonts w:ascii="Lato" w:eastAsia="Times New Roman" w:hAnsi="Lato"/>
          <w:sz w:val="20"/>
          <w:szCs w:val="20"/>
        </w:rPr>
        <w:t>c) La inversión en acciones en empresas de participación Estatal se encuentra registrada a valor histórico.</w:t>
      </w:r>
    </w:p>
    <w:p w:rsidR="00E873CD" w:rsidRPr="00BC3A61" w:rsidRDefault="00196B7D">
      <w:pPr>
        <w:jc w:val="both"/>
        <w:rPr>
          <w:rFonts w:ascii="Lato" w:eastAsia="Times New Roman" w:hAnsi="Lato"/>
          <w:sz w:val="20"/>
          <w:szCs w:val="20"/>
        </w:rPr>
      </w:pPr>
      <w:r w:rsidRPr="00BC3A61">
        <w:rPr>
          <w:rFonts w:ascii="Lato" w:eastAsia="Times New Roman" w:hAnsi="Lato"/>
          <w:sz w:val="20"/>
          <w:szCs w:val="20"/>
        </w:rPr>
        <w:t>d) Las Dependencias del Sector Centralizado que forman el Poder Ejecutivo del Gobierno del Estado, no cuentan con inventarios de mercancías para venta, por lo que no se cuenta con registro en almacenes.</w:t>
      </w:r>
    </w:p>
    <w:p w:rsidR="00E873CD" w:rsidRPr="00BC3A61" w:rsidRDefault="00196B7D">
      <w:pPr>
        <w:jc w:val="both"/>
        <w:rPr>
          <w:rFonts w:ascii="Lato" w:eastAsia="Times New Roman" w:hAnsi="Lato"/>
          <w:sz w:val="20"/>
          <w:szCs w:val="20"/>
        </w:rPr>
      </w:pPr>
      <w:r w:rsidRPr="00BC3A61">
        <w:rPr>
          <w:rFonts w:ascii="Lato" w:eastAsia="Times New Roman" w:hAnsi="Lato"/>
          <w:sz w:val="20"/>
          <w:szCs w:val="20"/>
        </w:rPr>
        <w:t>e) El cálculo de la reserva actuarial, la realiza el Instituto de Seguridad de los Trabajadores al Servicio del Estado, órgano descentralizado del Sector Central.</w:t>
      </w:r>
    </w:p>
    <w:p w:rsidR="00E873CD" w:rsidRPr="00BC3A61" w:rsidRDefault="00196B7D">
      <w:pPr>
        <w:jc w:val="both"/>
        <w:rPr>
          <w:rFonts w:ascii="Lato" w:eastAsia="Times New Roman" w:hAnsi="Lato"/>
          <w:sz w:val="20"/>
          <w:szCs w:val="20"/>
        </w:rPr>
      </w:pPr>
      <w:r w:rsidRPr="00BC3A61">
        <w:rPr>
          <w:rFonts w:ascii="Lato" w:eastAsia="Times New Roman" w:hAnsi="Lato"/>
          <w:sz w:val="20"/>
          <w:szCs w:val="20"/>
        </w:rPr>
        <w:t>f) Los Estados financieros no presentan registros de creación o aumento de reservas.</w:t>
      </w:r>
    </w:p>
    <w:p w:rsidR="00E873CD" w:rsidRPr="00BC3A61" w:rsidRDefault="00196B7D">
      <w:pPr>
        <w:jc w:val="both"/>
        <w:rPr>
          <w:rFonts w:ascii="Lato" w:eastAsia="Times New Roman" w:hAnsi="Lato"/>
          <w:sz w:val="20"/>
          <w:szCs w:val="20"/>
        </w:rPr>
      </w:pPr>
      <w:r w:rsidRPr="00BC3A61">
        <w:rPr>
          <w:rFonts w:ascii="Lato" w:eastAsia="Times New Roman" w:hAnsi="Lato"/>
          <w:sz w:val="20"/>
          <w:szCs w:val="20"/>
        </w:rPr>
        <w:t xml:space="preserve">g) No se realizaron cambios contables durante el </w:t>
      </w:r>
      <w:r w:rsidR="00997C1B" w:rsidRPr="00BC3A61">
        <w:rPr>
          <w:rFonts w:ascii="Lato" w:eastAsia="Times New Roman" w:hAnsi="Lato"/>
          <w:sz w:val="20"/>
          <w:szCs w:val="20"/>
        </w:rPr>
        <w:t>ejercicio que se reporta.</w:t>
      </w:r>
    </w:p>
    <w:p w:rsidR="00E873CD" w:rsidRPr="00BC3A61" w:rsidRDefault="00196B7D">
      <w:pPr>
        <w:jc w:val="both"/>
        <w:rPr>
          <w:rFonts w:ascii="Lato" w:eastAsia="Times New Roman" w:hAnsi="Lato"/>
          <w:sz w:val="20"/>
          <w:szCs w:val="20"/>
        </w:rPr>
      </w:pPr>
      <w:r w:rsidRPr="00BC3A61">
        <w:rPr>
          <w:rFonts w:ascii="Lato" w:eastAsia="Times New Roman" w:hAnsi="Lato"/>
          <w:sz w:val="20"/>
          <w:szCs w:val="20"/>
        </w:rPr>
        <w:lastRenderedPageBreak/>
        <w:t>h) Respecto a las correcciones de errores, reclasificaciones, depuración y cancelación de saldos, estos se ven reflejados en la cuenta de Hacienda Pública.</w:t>
      </w: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t xml:space="preserve">6.- Posición en Moneda Extranjera y Protección por Riesgo Cambiario. </w:t>
      </w:r>
    </w:p>
    <w:p w:rsidR="00E873CD" w:rsidRPr="00BC3A61" w:rsidRDefault="00196B7D">
      <w:pPr>
        <w:jc w:val="both"/>
        <w:rPr>
          <w:rFonts w:ascii="Lato" w:eastAsia="Times New Roman" w:hAnsi="Lato"/>
          <w:sz w:val="20"/>
          <w:szCs w:val="20"/>
        </w:rPr>
      </w:pPr>
      <w:r w:rsidRPr="00BC3A61">
        <w:rPr>
          <w:rFonts w:ascii="Lato" w:eastAsia="Times New Roman" w:hAnsi="Lato"/>
          <w:sz w:val="20"/>
          <w:szCs w:val="20"/>
        </w:rPr>
        <w:t>a) La administración Pública centralizada del Estado al 30 de septiembre de 2026, tiene la siguiente cuenta bancaria en Dólares americanos.</w:t>
      </w:r>
    </w:p>
    <w:p w:rsidR="00E873CD" w:rsidRPr="00BC3A61" w:rsidRDefault="00196B7D">
      <w:pPr>
        <w:jc w:val="both"/>
        <w:rPr>
          <w:rFonts w:ascii="Lato" w:eastAsia="Times New Roman" w:hAnsi="Lato"/>
          <w:sz w:val="20"/>
          <w:szCs w:val="20"/>
        </w:rPr>
      </w:pPr>
      <w:r w:rsidRPr="00BC3A61">
        <w:rPr>
          <w:rFonts w:ascii="Lato" w:eastAsia="Times New Roman" w:hAnsi="Lato"/>
          <w:sz w:val="20"/>
          <w:szCs w:val="20"/>
        </w:rPr>
        <w:t>Banorte Cta. 00602285906</w:t>
      </w:r>
      <w:r w:rsidR="00E63C61" w:rsidRPr="00BC3A61">
        <w:rPr>
          <w:rFonts w:ascii="Lato" w:eastAsia="Times New Roman" w:hAnsi="Lato"/>
          <w:sz w:val="20"/>
          <w:szCs w:val="20"/>
        </w:rPr>
        <w:t xml:space="preserve"> con un saldo contable de $ 0.00</w:t>
      </w:r>
      <w:r w:rsidRPr="00BC3A61">
        <w:rPr>
          <w:rFonts w:ascii="Lato" w:eastAsia="Times New Roman" w:hAnsi="Lato"/>
          <w:sz w:val="20"/>
          <w:szCs w:val="20"/>
        </w:rPr>
        <w:t xml:space="preserve"> Dólares.</w:t>
      </w:r>
    </w:p>
    <w:p w:rsidR="00E873CD" w:rsidRPr="00BC3A61" w:rsidRDefault="00196B7D">
      <w:pPr>
        <w:jc w:val="both"/>
        <w:rPr>
          <w:rFonts w:ascii="Lato" w:eastAsia="Times New Roman" w:hAnsi="Lato"/>
          <w:sz w:val="20"/>
          <w:szCs w:val="20"/>
        </w:rPr>
      </w:pPr>
      <w:r w:rsidRPr="00BC3A61">
        <w:rPr>
          <w:rFonts w:ascii="Lato" w:eastAsia="Times New Roman" w:hAnsi="Lato"/>
          <w:sz w:val="20"/>
          <w:szCs w:val="20"/>
        </w:rPr>
        <w:t>b) Al 30 de septiembre de 2026, el Poder Ejecutivo del Gobierno del Estado no tiene pasivos en moneda extranjera.</w:t>
      </w:r>
    </w:p>
    <w:p w:rsidR="00E873CD" w:rsidRPr="00BC3A61" w:rsidRDefault="00196B7D">
      <w:pPr>
        <w:jc w:val="both"/>
        <w:rPr>
          <w:rFonts w:ascii="Lato" w:eastAsia="Times New Roman" w:hAnsi="Lato"/>
          <w:sz w:val="20"/>
          <w:szCs w:val="20"/>
        </w:rPr>
      </w:pPr>
      <w:r w:rsidRPr="00BC3A61">
        <w:rPr>
          <w:rFonts w:ascii="Lato" w:eastAsia="Times New Roman" w:hAnsi="Lato"/>
          <w:sz w:val="20"/>
          <w:szCs w:val="20"/>
        </w:rPr>
        <w:t>c) Derivado de que el Poder Ejecutivo únicamente tiene una cuenta en moneda extranjera, la cual no ha tenido movimiento la posición en moneda extranjera es estable.</w:t>
      </w:r>
    </w:p>
    <w:p w:rsidR="00E873CD" w:rsidRPr="00BC3A61" w:rsidRDefault="00196B7D">
      <w:pPr>
        <w:jc w:val="both"/>
        <w:rPr>
          <w:rFonts w:ascii="Lato" w:eastAsia="Times New Roman" w:hAnsi="Lato"/>
          <w:sz w:val="20"/>
          <w:szCs w:val="20"/>
        </w:rPr>
      </w:pPr>
      <w:r w:rsidRPr="00BC3A61">
        <w:rPr>
          <w:rFonts w:ascii="Lato" w:eastAsia="Times New Roman" w:hAnsi="Lato"/>
          <w:sz w:val="20"/>
          <w:szCs w:val="20"/>
        </w:rPr>
        <w:t>d) El Tipo de cambio al 30 de septiembre de 2026 a la compra es de $</w:t>
      </w:r>
      <w:r w:rsidR="00E63C61" w:rsidRPr="00BC3A61">
        <w:rPr>
          <w:rFonts w:ascii="Lato" w:hAnsi="Lato"/>
          <w:sz w:val="20"/>
          <w:szCs w:val="20"/>
        </w:rPr>
        <w:t xml:space="preserve"> 18.0710</w:t>
      </w:r>
      <w:r w:rsidRPr="00BC3A61">
        <w:rPr>
          <w:rFonts w:ascii="Lato" w:eastAsia="Times New Roman" w:hAnsi="Lato"/>
          <w:sz w:val="20"/>
          <w:szCs w:val="20"/>
        </w:rPr>
        <w:t xml:space="preserve"> según el diario oficial.</w:t>
      </w:r>
    </w:p>
    <w:p w:rsidR="00E873CD" w:rsidRPr="00BC3A61" w:rsidRDefault="00196B7D">
      <w:pPr>
        <w:jc w:val="both"/>
        <w:rPr>
          <w:rFonts w:ascii="Lato" w:eastAsia="Times New Roman" w:hAnsi="Lato"/>
          <w:sz w:val="20"/>
          <w:szCs w:val="20"/>
        </w:rPr>
      </w:pPr>
      <w:r w:rsidRPr="00BC3A61">
        <w:rPr>
          <w:rFonts w:ascii="Lato" w:eastAsia="Times New Roman" w:hAnsi="Lato"/>
          <w:sz w:val="20"/>
          <w:szCs w:val="20"/>
        </w:rPr>
        <w:t>e) El monto en dólares que se ti</w:t>
      </w:r>
      <w:r w:rsidR="00E63C61" w:rsidRPr="00BC3A61">
        <w:rPr>
          <w:rFonts w:ascii="Lato" w:eastAsia="Times New Roman" w:hAnsi="Lato"/>
          <w:sz w:val="20"/>
          <w:szCs w:val="20"/>
        </w:rPr>
        <w:t>ene en la cuenta equivale a $0.00</w:t>
      </w:r>
      <w:r w:rsidRPr="00BC3A61">
        <w:rPr>
          <w:rFonts w:ascii="Lato" w:eastAsia="Times New Roman" w:hAnsi="Lato"/>
          <w:sz w:val="20"/>
          <w:szCs w:val="20"/>
        </w:rPr>
        <w:t xml:space="preserve"> en pesos. </w:t>
      </w:r>
    </w:p>
    <w:p w:rsidR="00E873CD" w:rsidRPr="00BC3A61" w:rsidRDefault="00196B7D">
      <w:pPr>
        <w:rPr>
          <w:rFonts w:ascii="Lato" w:eastAsia="Times New Roman" w:hAnsi="Lato"/>
          <w:sz w:val="20"/>
          <w:szCs w:val="20"/>
        </w:rPr>
      </w:pPr>
      <w:r w:rsidRPr="00BC3A61">
        <w:rPr>
          <w:rFonts w:ascii="Lato" w:eastAsia="Times New Roman" w:hAnsi="Lato"/>
          <w:sz w:val="20"/>
          <w:szCs w:val="20"/>
        </w:rPr>
        <w:t>Por el monto en dólares el Poder Ejecutivo no establece métodos de protección de riesgo por variaciones en el tipo de cambio.</w:t>
      </w: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t>7.- Reporte Analítico del Activo.</w:t>
      </w:r>
    </w:p>
    <w:p w:rsidR="00E873CD" w:rsidRPr="00BC3A61" w:rsidRDefault="00196B7D">
      <w:pPr>
        <w:rPr>
          <w:rFonts w:ascii="Lato" w:eastAsia="Times New Roman" w:hAnsi="Lato"/>
          <w:sz w:val="20"/>
          <w:szCs w:val="20"/>
        </w:rPr>
      </w:pPr>
      <w:r w:rsidRPr="00BC3A61">
        <w:rPr>
          <w:rFonts w:ascii="Lato" w:eastAsia="Times New Roman" w:hAnsi="Lato"/>
          <w:sz w:val="20"/>
          <w:szCs w:val="20"/>
        </w:rPr>
        <w:t>Vida útil o porcentajes de depreciación, deterioro o amortización utilizados en los diferentes activos.</w:t>
      </w:r>
    </w:p>
    <w:p w:rsidR="00E873CD" w:rsidRPr="00BC3A61" w:rsidRDefault="00196B7D">
      <w:pPr>
        <w:rPr>
          <w:rFonts w:ascii="Lato" w:eastAsia="Times New Roman" w:hAnsi="Lato"/>
          <w:sz w:val="20"/>
          <w:szCs w:val="20"/>
        </w:rPr>
      </w:pPr>
      <w:r w:rsidRPr="00BC3A61">
        <w:rPr>
          <w:rFonts w:ascii="Lato" w:eastAsia="Times New Roman" w:hAnsi="Lato"/>
          <w:sz w:val="20"/>
          <w:szCs w:val="20"/>
        </w:rPr>
        <w:t>a) Los activos fijos del Poder Ejecutivo tienen una vida útil diversa, de conformidad con el las Reglas Específicas del Registro y Valoración del Patrimonio emitidas por el Consejo Nacional de Armonización Contable.</w:t>
      </w:r>
    </w:p>
    <w:p w:rsidR="00E873CD" w:rsidRPr="00BC3A61" w:rsidRDefault="00196B7D">
      <w:pPr>
        <w:rPr>
          <w:rFonts w:ascii="Lato" w:eastAsia="Times New Roman" w:hAnsi="Lato"/>
          <w:sz w:val="20"/>
          <w:szCs w:val="20"/>
        </w:rPr>
      </w:pPr>
      <w:r w:rsidRPr="00BC3A61">
        <w:rPr>
          <w:rFonts w:ascii="Lato" w:eastAsia="Times New Roman" w:hAnsi="Lato"/>
          <w:sz w:val="20"/>
          <w:szCs w:val="20"/>
        </w:rPr>
        <w:t>b) El Poder Ejecutivo no ha realizado cambios en el porcentaje de la depreciación.</w:t>
      </w: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t>8.- Fideicomisos, Mandatos y Análogos</w:t>
      </w:r>
    </w:p>
    <w:p w:rsidR="00F45C26" w:rsidRPr="00BC3A61" w:rsidRDefault="00196B7D">
      <w:pPr>
        <w:rPr>
          <w:rFonts w:ascii="Lato" w:eastAsia="Times New Roman" w:hAnsi="Lato"/>
          <w:sz w:val="20"/>
          <w:szCs w:val="20"/>
        </w:rPr>
      </w:pPr>
      <w:r w:rsidRPr="00BC3A61">
        <w:rPr>
          <w:rFonts w:ascii="Lato" w:eastAsia="Times New Roman" w:hAnsi="Lato"/>
          <w:sz w:val="20"/>
          <w:szCs w:val="20"/>
        </w:rPr>
        <w:t xml:space="preserve">Al 30 de septiembre de 2026, el saldo en disponibilidades de los fideicomisos asciende a $937,800,686.43; </w:t>
      </w:r>
      <w:r w:rsidR="00F45C26" w:rsidRPr="00BC3A61">
        <w:rPr>
          <w:rFonts w:ascii="Lato" w:eastAsia="Times New Roman" w:hAnsi="Lato"/>
          <w:sz w:val="20"/>
          <w:szCs w:val="20"/>
        </w:rPr>
        <w:t xml:space="preserve">los mismos </w:t>
      </w:r>
      <w:r w:rsidRPr="00BC3A61">
        <w:rPr>
          <w:rFonts w:ascii="Lato" w:eastAsia="Times New Roman" w:hAnsi="Lato"/>
          <w:sz w:val="20"/>
          <w:szCs w:val="20"/>
        </w:rPr>
        <w:t>se enlistan a continuación</w:t>
      </w:r>
      <w:r w:rsidR="00F45C26" w:rsidRPr="00BC3A61">
        <w:rPr>
          <w:rFonts w:ascii="Lato" w:eastAsia="Times New Roman" w:hAnsi="Lato"/>
          <w:sz w:val="20"/>
          <w:szCs w:val="20"/>
        </w:rPr>
        <w:t>:</w:t>
      </w:r>
    </w:p>
    <w:tbl>
      <w:tblPr>
        <w:tblW w:w="13183" w:type="dxa"/>
        <w:tblCellMar>
          <w:left w:w="70" w:type="dxa"/>
          <w:right w:w="70" w:type="dxa"/>
        </w:tblCellMar>
        <w:tblLook w:val="04A0" w:firstRow="1" w:lastRow="0" w:firstColumn="1" w:lastColumn="0" w:noHBand="0" w:noVBand="1"/>
      </w:tblPr>
      <w:tblGrid>
        <w:gridCol w:w="3969"/>
        <w:gridCol w:w="7371"/>
        <w:gridCol w:w="1843"/>
      </w:tblGrid>
      <w:tr w:rsidR="00F45C26" w:rsidRPr="00BC3A61" w:rsidTr="001335B3">
        <w:trPr>
          <w:trHeight w:val="300"/>
        </w:trPr>
        <w:tc>
          <w:tcPr>
            <w:tcW w:w="3969"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Ramo Administrativo que lo reporta</w:t>
            </w:r>
          </w:p>
        </w:tc>
        <w:tc>
          <w:tcPr>
            <w:tcW w:w="7371"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Nombre</w:t>
            </w:r>
          </w:p>
        </w:tc>
        <w:tc>
          <w:tcPr>
            <w:tcW w:w="1843" w:type="dxa"/>
            <w:tcBorders>
              <w:top w:val="nil"/>
              <w:left w:val="nil"/>
              <w:bottom w:val="nil"/>
              <w:right w:val="nil"/>
            </w:tcBorders>
            <w:shd w:val="clear" w:color="auto" w:fill="auto"/>
            <w:noWrap/>
            <w:vAlign w:val="bottom"/>
            <w:hideMark/>
          </w:tcPr>
          <w:p w:rsidR="00F45C26" w:rsidRPr="00BC3A61" w:rsidRDefault="00F45C26" w:rsidP="00F45C26">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Importe</w:t>
            </w:r>
          </w:p>
        </w:tc>
      </w:tr>
      <w:tr w:rsidR="00F45C26" w:rsidRPr="00BC3A61" w:rsidTr="001335B3">
        <w:trPr>
          <w:trHeight w:val="300"/>
        </w:trPr>
        <w:tc>
          <w:tcPr>
            <w:tcW w:w="3969"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SECRETARÍA GENERAL DE GOBIERNO</w:t>
            </w:r>
          </w:p>
        </w:tc>
        <w:tc>
          <w:tcPr>
            <w:tcW w:w="7371"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FONDO PARA LA ATENCIÓN DE EMERGENCIAS Y DESASTRES DEL ESTADO (FAED)</w:t>
            </w:r>
          </w:p>
        </w:tc>
        <w:tc>
          <w:tcPr>
            <w:tcW w:w="1843" w:type="dxa"/>
            <w:tcBorders>
              <w:top w:val="nil"/>
              <w:left w:val="nil"/>
              <w:bottom w:val="nil"/>
              <w:right w:val="nil"/>
            </w:tcBorders>
            <w:shd w:val="clear" w:color="auto" w:fill="auto"/>
            <w:noWrap/>
            <w:vAlign w:val="bottom"/>
            <w:hideMark/>
          </w:tcPr>
          <w:p w:rsidR="00F45C26" w:rsidRPr="00BC3A61" w:rsidRDefault="00F45C26" w:rsidP="00F45C26">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$12,993,773.49</w:t>
            </w:r>
          </w:p>
        </w:tc>
      </w:tr>
      <w:tr w:rsidR="00F45C26" w:rsidRPr="00BC3A61" w:rsidTr="001335B3">
        <w:trPr>
          <w:trHeight w:val="600"/>
        </w:trPr>
        <w:tc>
          <w:tcPr>
            <w:tcW w:w="3969"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SECRETARÍA DE INFRAESTRUCTURA PARA EL BIENESTAR</w:t>
            </w:r>
          </w:p>
        </w:tc>
        <w:tc>
          <w:tcPr>
            <w:tcW w:w="7371"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YUCATECO PARA LA DIGNIFICACIÓN Y DESARROLLO INTEGRAL DE LOS TRABAJADORES DE LA CONSTRUCCIÓN (FYDITRAC)</w:t>
            </w:r>
          </w:p>
        </w:tc>
        <w:tc>
          <w:tcPr>
            <w:tcW w:w="1843" w:type="dxa"/>
            <w:tcBorders>
              <w:top w:val="nil"/>
              <w:left w:val="nil"/>
              <w:bottom w:val="nil"/>
              <w:right w:val="nil"/>
            </w:tcBorders>
            <w:shd w:val="clear" w:color="auto" w:fill="auto"/>
            <w:noWrap/>
            <w:vAlign w:val="bottom"/>
            <w:hideMark/>
          </w:tcPr>
          <w:p w:rsidR="00F45C26" w:rsidRPr="00BC3A61" w:rsidRDefault="00F45C26" w:rsidP="00F45C26">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$55,148,833.78</w:t>
            </w:r>
          </w:p>
        </w:tc>
      </w:tr>
      <w:tr w:rsidR="00F45C26" w:rsidRPr="00BC3A61" w:rsidTr="001335B3">
        <w:trPr>
          <w:trHeight w:val="300"/>
        </w:trPr>
        <w:tc>
          <w:tcPr>
            <w:tcW w:w="3969"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SECRETARÍA DE DESARROLLO RURAL</w:t>
            </w:r>
          </w:p>
        </w:tc>
        <w:tc>
          <w:tcPr>
            <w:tcW w:w="7371"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FONDO DE FOMENTO AGROPECUARIO DEL ESTADO DE YUCATÁN (FOFAY)</w:t>
            </w:r>
          </w:p>
        </w:tc>
        <w:tc>
          <w:tcPr>
            <w:tcW w:w="1843" w:type="dxa"/>
            <w:tcBorders>
              <w:top w:val="nil"/>
              <w:left w:val="nil"/>
              <w:bottom w:val="nil"/>
              <w:right w:val="nil"/>
            </w:tcBorders>
            <w:shd w:val="clear" w:color="auto" w:fill="auto"/>
            <w:noWrap/>
            <w:vAlign w:val="bottom"/>
            <w:hideMark/>
          </w:tcPr>
          <w:p w:rsidR="00F45C26" w:rsidRPr="00BC3A61" w:rsidRDefault="00F45C26" w:rsidP="00F45C26">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$33,784,918.79</w:t>
            </w:r>
          </w:p>
        </w:tc>
      </w:tr>
      <w:tr w:rsidR="00F45C26" w:rsidRPr="00BC3A61" w:rsidTr="001335B3">
        <w:trPr>
          <w:trHeight w:val="300"/>
        </w:trPr>
        <w:tc>
          <w:tcPr>
            <w:tcW w:w="3969"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lastRenderedPageBreak/>
              <w:t>SECRETARÍA DE ECONOMÍA Y TRABAJO</w:t>
            </w:r>
          </w:p>
        </w:tc>
        <w:tc>
          <w:tcPr>
            <w:tcW w:w="7371"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FONDO INTEGRAL PARA EL DESARROLLO ECONÓMICO DE YUCATÁN (FIDEY)</w:t>
            </w:r>
          </w:p>
        </w:tc>
        <w:tc>
          <w:tcPr>
            <w:tcW w:w="1843" w:type="dxa"/>
            <w:tcBorders>
              <w:top w:val="nil"/>
              <w:left w:val="nil"/>
              <w:bottom w:val="nil"/>
              <w:right w:val="nil"/>
            </w:tcBorders>
            <w:shd w:val="clear" w:color="auto" w:fill="auto"/>
            <w:noWrap/>
            <w:vAlign w:val="bottom"/>
            <w:hideMark/>
          </w:tcPr>
          <w:p w:rsidR="00F45C26" w:rsidRPr="00BC3A61" w:rsidRDefault="00F45C26" w:rsidP="00F45C26">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$83,089,005.07</w:t>
            </w:r>
          </w:p>
        </w:tc>
      </w:tr>
      <w:tr w:rsidR="00F45C26" w:rsidRPr="00BC3A61" w:rsidTr="001335B3">
        <w:trPr>
          <w:trHeight w:val="300"/>
        </w:trPr>
        <w:tc>
          <w:tcPr>
            <w:tcW w:w="3969"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SECRETARÍA DE FOMENTO TURÍSTICO</w:t>
            </w:r>
          </w:p>
        </w:tc>
        <w:tc>
          <w:tcPr>
            <w:tcW w:w="7371"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PARA LA PROMOCIÓN TURÍSTICA DEL ESTADO DE YUCATÁN</w:t>
            </w:r>
          </w:p>
        </w:tc>
        <w:tc>
          <w:tcPr>
            <w:tcW w:w="1843" w:type="dxa"/>
            <w:tcBorders>
              <w:top w:val="nil"/>
              <w:left w:val="nil"/>
              <w:bottom w:val="nil"/>
              <w:right w:val="nil"/>
            </w:tcBorders>
            <w:shd w:val="clear" w:color="auto" w:fill="auto"/>
            <w:noWrap/>
            <w:vAlign w:val="bottom"/>
            <w:hideMark/>
          </w:tcPr>
          <w:p w:rsidR="00F45C26" w:rsidRPr="00BC3A61" w:rsidRDefault="00F45C26" w:rsidP="00F45C26">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$26,305,182.64</w:t>
            </w:r>
          </w:p>
        </w:tc>
      </w:tr>
      <w:tr w:rsidR="00F45C26" w:rsidRPr="00BC3A61" w:rsidTr="001335B3">
        <w:trPr>
          <w:trHeight w:val="300"/>
        </w:trPr>
        <w:tc>
          <w:tcPr>
            <w:tcW w:w="3969"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SECRETARÍA DE ADMINISTRACIÓN Y FINANZAS</w:t>
            </w:r>
          </w:p>
        </w:tc>
        <w:tc>
          <w:tcPr>
            <w:tcW w:w="7371"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F/0002 PROTEGO CASA DE BOLSA DIV FIDUCIARIA</w:t>
            </w:r>
          </w:p>
        </w:tc>
        <w:tc>
          <w:tcPr>
            <w:tcW w:w="1843" w:type="dxa"/>
            <w:tcBorders>
              <w:top w:val="nil"/>
              <w:left w:val="nil"/>
              <w:bottom w:val="nil"/>
              <w:right w:val="nil"/>
            </w:tcBorders>
            <w:shd w:val="clear" w:color="auto" w:fill="auto"/>
            <w:noWrap/>
            <w:vAlign w:val="bottom"/>
            <w:hideMark/>
          </w:tcPr>
          <w:p w:rsidR="00F45C26" w:rsidRPr="00BC3A61" w:rsidRDefault="00F45C26" w:rsidP="00F45C26">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$3,599,427.01</w:t>
            </w:r>
          </w:p>
        </w:tc>
      </w:tr>
      <w:tr w:rsidR="00F45C26" w:rsidRPr="00BC3A61" w:rsidTr="001335B3">
        <w:trPr>
          <w:trHeight w:val="300"/>
        </w:trPr>
        <w:tc>
          <w:tcPr>
            <w:tcW w:w="3969"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SECRETARÍA DE ADMINISTRACIÓN Y FINANZAS</w:t>
            </w:r>
          </w:p>
        </w:tc>
        <w:tc>
          <w:tcPr>
            <w:tcW w:w="7371"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F/0019 PROTEGO CASA DE BOLSA SA DE CV FID</w:t>
            </w:r>
          </w:p>
        </w:tc>
        <w:tc>
          <w:tcPr>
            <w:tcW w:w="1843" w:type="dxa"/>
            <w:tcBorders>
              <w:top w:val="nil"/>
              <w:left w:val="nil"/>
              <w:bottom w:val="nil"/>
              <w:right w:val="nil"/>
            </w:tcBorders>
            <w:shd w:val="clear" w:color="auto" w:fill="auto"/>
            <w:noWrap/>
            <w:vAlign w:val="bottom"/>
            <w:hideMark/>
          </w:tcPr>
          <w:p w:rsidR="00F45C26" w:rsidRPr="00BC3A61" w:rsidRDefault="00F45C26" w:rsidP="00F45C26">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$80,703,206.75</w:t>
            </w:r>
          </w:p>
        </w:tc>
      </w:tr>
      <w:tr w:rsidR="00F45C26" w:rsidRPr="00BC3A61" w:rsidTr="001335B3">
        <w:trPr>
          <w:trHeight w:val="300"/>
        </w:trPr>
        <w:tc>
          <w:tcPr>
            <w:tcW w:w="3969"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SECRETARÍA DE ADMINISTRACIÓN Y FINANZAS</w:t>
            </w:r>
          </w:p>
        </w:tc>
        <w:tc>
          <w:tcPr>
            <w:tcW w:w="7371"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F/0199 EVERCORE CASA DE BOLSA SA DE CV DIV. FIDUCIARIA</w:t>
            </w:r>
          </w:p>
        </w:tc>
        <w:tc>
          <w:tcPr>
            <w:tcW w:w="1843" w:type="dxa"/>
            <w:tcBorders>
              <w:top w:val="nil"/>
              <w:left w:val="nil"/>
              <w:bottom w:val="nil"/>
              <w:right w:val="nil"/>
            </w:tcBorders>
            <w:shd w:val="clear" w:color="auto" w:fill="auto"/>
            <w:noWrap/>
            <w:vAlign w:val="bottom"/>
            <w:hideMark/>
          </w:tcPr>
          <w:p w:rsidR="00F45C26" w:rsidRPr="00BC3A61" w:rsidRDefault="00F45C26" w:rsidP="00F45C26">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$11.60</w:t>
            </w:r>
          </w:p>
        </w:tc>
      </w:tr>
      <w:tr w:rsidR="00F45C26" w:rsidRPr="00BC3A61" w:rsidTr="001335B3">
        <w:trPr>
          <w:trHeight w:val="300"/>
        </w:trPr>
        <w:tc>
          <w:tcPr>
            <w:tcW w:w="3969"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SECRETARÍA DE ADMINISTRACIÓN Y FINANZAS</w:t>
            </w:r>
          </w:p>
        </w:tc>
        <w:tc>
          <w:tcPr>
            <w:tcW w:w="7371"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NO. F/4109088</w:t>
            </w:r>
          </w:p>
        </w:tc>
        <w:tc>
          <w:tcPr>
            <w:tcW w:w="1843" w:type="dxa"/>
            <w:tcBorders>
              <w:top w:val="nil"/>
              <w:left w:val="nil"/>
              <w:bottom w:val="nil"/>
              <w:right w:val="nil"/>
            </w:tcBorders>
            <w:shd w:val="clear" w:color="auto" w:fill="auto"/>
            <w:noWrap/>
            <w:vAlign w:val="bottom"/>
            <w:hideMark/>
          </w:tcPr>
          <w:p w:rsidR="00F45C26" w:rsidRPr="00BC3A61" w:rsidRDefault="00F45C26" w:rsidP="00F45C26">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$175,688,661.30</w:t>
            </w:r>
          </w:p>
        </w:tc>
      </w:tr>
      <w:tr w:rsidR="00F45C26" w:rsidRPr="00BC3A61" w:rsidTr="001335B3">
        <w:trPr>
          <w:trHeight w:val="300"/>
        </w:trPr>
        <w:tc>
          <w:tcPr>
            <w:tcW w:w="3969"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SECRETARÍA DE ADMINISTRACIÓN Y FINANZAS</w:t>
            </w:r>
          </w:p>
        </w:tc>
        <w:tc>
          <w:tcPr>
            <w:tcW w:w="7371"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F/4109146</w:t>
            </w:r>
          </w:p>
        </w:tc>
        <w:tc>
          <w:tcPr>
            <w:tcW w:w="1843" w:type="dxa"/>
            <w:tcBorders>
              <w:top w:val="nil"/>
              <w:left w:val="nil"/>
              <w:bottom w:val="nil"/>
              <w:right w:val="nil"/>
            </w:tcBorders>
            <w:shd w:val="clear" w:color="auto" w:fill="auto"/>
            <w:noWrap/>
            <w:vAlign w:val="bottom"/>
            <w:hideMark/>
          </w:tcPr>
          <w:p w:rsidR="00F45C26" w:rsidRPr="00BC3A61" w:rsidRDefault="00F45C26" w:rsidP="00F45C26">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$42,800,548.18</w:t>
            </w:r>
          </w:p>
        </w:tc>
      </w:tr>
      <w:tr w:rsidR="00F45C26" w:rsidRPr="00BC3A61" w:rsidTr="001335B3">
        <w:trPr>
          <w:trHeight w:val="300"/>
        </w:trPr>
        <w:tc>
          <w:tcPr>
            <w:tcW w:w="3969"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SECRETARÍA DE ADMINISTRACIÓN Y FINANZAS</w:t>
            </w:r>
          </w:p>
        </w:tc>
        <w:tc>
          <w:tcPr>
            <w:tcW w:w="7371"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No. F/4130480</w:t>
            </w:r>
          </w:p>
        </w:tc>
        <w:tc>
          <w:tcPr>
            <w:tcW w:w="1843" w:type="dxa"/>
            <w:tcBorders>
              <w:top w:val="nil"/>
              <w:left w:val="nil"/>
              <w:bottom w:val="nil"/>
              <w:right w:val="nil"/>
            </w:tcBorders>
            <w:shd w:val="clear" w:color="auto" w:fill="auto"/>
            <w:noWrap/>
            <w:vAlign w:val="bottom"/>
            <w:hideMark/>
          </w:tcPr>
          <w:p w:rsidR="00F45C26" w:rsidRPr="00BC3A61" w:rsidRDefault="00F45C26" w:rsidP="00F45C26">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$38,549,603.82</w:t>
            </w:r>
          </w:p>
        </w:tc>
      </w:tr>
      <w:tr w:rsidR="00F45C26" w:rsidRPr="00BC3A61" w:rsidTr="001335B3">
        <w:trPr>
          <w:trHeight w:val="300"/>
        </w:trPr>
        <w:tc>
          <w:tcPr>
            <w:tcW w:w="3969"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SECRETARÍA DE ADMINISTRACIÓN Y FINANZAS</w:t>
            </w:r>
          </w:p>
        </w:tc>
        <w:tc>
          <w:tcPr>
            <w:tcW w:w="7371"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DE INVERSIÓN Y ADMINISTRACIÓN NÚMERO F/4142634</w:t>
            </w:r>
          </w:p>
        </w:tc>
        <w:tc>
          <w:tcPr>
            <w:tcW w:w="1843" w:type="dxa"/>
            <w:tcBorders>
              <w:top w:val="nil"/>
              <w:left w:val="nil"/>
              <w:bottom w:val="nil"/>
              <w:right w:val="nil"/>
            </w:tcBorders>
            <w:shd w:val="clear" w:color="auto" w:fill="auto"/>
            <w:noWrap/>
            <w:vAlign w:val="bottom"/>
            <w:hideMark/>
          </w:tcPr>
          <w:p w:rsidR="00F45C26" w:rsidRPr="00BC3A61" w:rsidRDefault="00F45C26" w:rsidP="00F45C26">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$212,300,608.05</w:t>
            </w:r>
          </w:p>
        </w:tc>
      </w:tr>
      <w:tr w:rsidR="00F45C26" w:rsidRPr="00BC3A61" w:rsidTr="001335B3">
        <w:trPr>
          <w:trHeight w:val="300"/>
        </w:trPr>
        <w:tc>
          <w:tcPr>
            <w:tcW w:w="3969"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SECRETARÍA DE ADMINISTRACIÓN Y FINANZAS</w:t>
            </w:r>
          </w:p>
        </w:tc>
        <w:tc>
          <w:tcPr>
            <w:tcW w:w="7371"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FIDEICOMISO No. F/1412</w:t>
            </w:r>
          </w:p>
        </w:tc>
        <w:tc>
          <w:tcPr>
            <w:tcW w:w="1843" w:type="dxa"/>
            <w:tcBorders>
              <w:top w:val="nil"/>
              <w:left w:val="nil"/>
              <w:bottom w:val="nil"/>
              <w:right w:val="nil"/>
            </w:tcBorders>
            <w:shd w:val="clear" w:color="auto" w:fill="auto"/>
            <w:noWrap/>
            <w:vAlign w:val="bottom"/>
            <w:hideMark/>
          </w:tcPr>
          <w:p w:rsidR="00F45C26" w:rsidRPr="00BC3A61" w:rsidRDefault="00F45C26" w:rsidP="00F45C26">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$153,992,651.70</w:t>
            </w:r>
          </w:p>
        </w:tc>
      </w:tr>
      <w:tr w:rsidR="00F45C26" w:rsidRPr="00BC3A61" w:rsidTr="001335B3">
        <w:trPr>
          <w:trHeight w:val="600"/>
        </w:trPr>
        <w:tc>
          <w:tcPr>
            <w:tcW w:w="3969"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SECRETARÍA DE CIENCIA, HUMANIDADES, TECNOLOGÍA E INNOVACIÓN</w:t>
            </w:r>
          </w:p>
        </w:tc>
        <w:tc>
          <w:tcPr>
            <w:tcW w:w="7371"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PROGRAMA DE BECAS NACIONALES PARA LA EDUCACIÓN SUPERIOR DE MANUTENCIÓN DE YUCATÁN</w:t>
            </w:r>
          </w:p>
        </w:tc>
        <w:tc>
          <w:tcPr>
            <w:tcW w:w="1843" w:type="dxa"/>
            <w:tcBorders>
              <w:top w:val="nil"/>
              <w:left w:val="nil"/>
              <w:bottom w:val="nil"/>
              <w:right w:val="nil"/>
            </w:tcBorders>
            <w:shd w:val="clear" w:color="auto" w:fill="auto"/>
            <w:noWrap/>
            <w:vAlign w:val="bottom"/>
            <w:hideMark/>
          </w:tcPr>
          <w:p w:rsidR="00F45C26" w:rsidRPr="00BC3A61" w:rsidRDefault="00F45C26" w:rsidP="00F45C26">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$18,844,254.31</w:t>
            </w:r>
          </w:p>
        </w:tc>
      </w:tr>
      <w:tr w:rsidR="00F45C26" w:rsidRPr="00BC3A61" w:rsidTr="001335B3">
        <w:trPr>
          <w:trHeight w:val="315"/>
        </w:trPr>
        <w:tc>
          <w:tcPr>
            <w:tcW w:w="3969" w:type="dxa"/>
            <w:tcBorders>
              <w:top w:val="nil"/>
              <w:left w:val="nil"/>
              <w:bottom w:val="nil"/>
              <w:right w:val="nil"/>
            </w:tcBorders>
            <w:shd w:val="clear" w:color="auto" w:fill="auto"/>
            <w:vAlign w:val="bottom"/>
            <w:hideMark/>
          </w:tcPr>
          <w:p w:rsidR="00F45C26" w:rsidRPr="00BC3A61" w:rsidRDefault="00F45C26" w:rsidP="00F45C26">
            <w:pPr>
              <w:spacing w:after="0" w:line="240" w:lineRule="auto"/>
              <w:jc w:val="right"/>
              <w:rPr>
                <w:rFonts w:ascii="Lato" w:eastAsia="Times New Roman" w:hAnsi="Lato" w:cs="Calibri"/>
                <w:color w:val="000000"/>
                <w:sz w:val="20"/>
                <w:szCs w:val="20"/>
              </w:rPr>
            </w:pPr>
          </w:p>
        </w:tc>
        <w:tc>
          <w:tcPr>
            <w:tcW w:w="7371" w:type="dxa"/>
            <w:tcBorders>
              <w:top w:val="nil"/>
              <w:left w:val="nil"/>
              <w:bottom w:val="nil"/>
              <w:right w:val="nil"/>
            </w:tcBorders>
            <w:shd w:val="clear" w:color="auto" w:fill="auto"/>
            <w:vAlign w:val="bottom"/>
            <w:hideMark/>
          </w:tcPr>
          <w:p w:rsidR="00F45C26" w:rsidRPr="00BC3A61" w:rsidRDefault="00F45C26" w:rsidP="00F45C26">
            <w:pPr>
              <w:spacing w:after="0" w:line="240" w:lineRule="auto"/>
              <w:rPr>
                <w:rFonts w:ascii="Lato" w:eastAsia="Times New Roman" w:hAnsi="Lato" w:cs="Times New Roman"/>
                <w:sz w:val="20"/>
                <w:szCs w:val="20"/>
              </w:rPr>
            </w:pPr>
          </w:p>
        </w:tc>
        <w:tc>
          <w:tcPr>
            <w:tcW w:w="1843" w:type="dxa"/>
            <w:tcBorders>
              <w:top w:val="single" w:sz="4" w:space="0" w:color="auto"/>
              <w:left w:val="nil"/>
              <w:bottom w:val="double" w:sz="6" w:space="0" w:color="auto"/>
              <w:right w:val="nil"/>
            </w:tcBorders>
            <w:shd w:val="clear" w:color="auto" w:fill="auto"/>
            <w:noWrap/>
            <w:vAlign w:val="bottom"/>
            <w:hideMark/>
          </w:tcPr>
          <w:p w:rsidR="00F45C26" w:rsidRPr="00BC3A61" w:rsidRDefault="00F45C26" w:rsidP="00F45C26">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$937,800,686.49</w:t>
            </w:r>
          </w:p>
        </w:tc>
      </w:tr>
    </w:tbl>
    <w:p w:rsidR="00F45C26" w:rsidRPr="00BC3A61" w:rsidRDefault="00F45C26">
      <w:pPr>
        <w:rPr>
          <w:rFonts w:ascii="Lato" w:eastAsia="Times New Roman" w:hAnsi="Lato"/>
          <w:sz w:val="20"/>
          <w:szCs w:val="20"/>
        </w:rPr>
      </w:pP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t>9.- Reporte de la Recaudación.</w:t>
      </w:r>
    </w:p>
    <w:p w:rsidR="00E873CD" w:rsidRPr="00BC3A61" w:rsidRDefault="00196B7D">
      <w:pPr>
        <w:rPr>
          <w:rFonts w:ascii="Lato" w:eastAsia="Times New Roman" w:hAnsi="Lato"/>
          <w:sz w:val="20"/>
          <w:szCs w:val="20"/>
        </w:rPr>
      </w:pPr>
      <w:r w:rsidRPr="00BC3A61">
        <w:rPr>
          <w:rFonts w:ascii="Lato" w:eastAsia="Times New Roman" w:hAnsi="Lato"/>
          <w:sz w:val="20"/>
          <w:szCs w:val="20"/>
        </w:rPr>
        <w:t>a) Comportamiento de la recaudación correspondiente al ente público por cualquier tipo de ingreso.</w:t>
      </w:r>
    </w:p>
    <w:p w:rsidR="006E66AF" w:rsidRPr="00BC3A61" w:rsidRDefault="006E66AF" w:rsidP="006E66AF">
      <w:pPr>
        <w:spacing w:line="240" w:lineRule="auto"/>
        <w:ind w:right="486" w:firstLine="709"/>
        <w:jc w:val="both"/>
        <w:rPr>
          <w:rFonts w:ascii="Lato" w:eastAsia="Times New Roman" w:hAnsi="Lato"/>
          <w:sz w:val="20"/>
          <w:szCs w:val="20"/>
        </w:rPr>
      </w:pPr>
      <w:r w:rsidRPr="00BC3A61">
        <w:rPr>
          <w:rFonts w:ascii="Lato" w:eastAsia="Times New Roman" w:hAnsi="Lato"/>
          <w:sz w:val="20"/>
          <w:szCs w:val="20"/>
        </w:rPr>
        <w:t>El Congreso del Estado aprobó mediante la Ley de Ingresos 2026 un monto aproximado de 66,407 mdp, de los cuales 60,906 mdp corresponden al Poder Ejecutivo; 2,427 mdp a Cuotas y aport</w:t>
      </w:r>
      <w:r w:rsidR="001335B3">
        <w:rPr>
          <w:rFonts w:ascii="Lato" w:eastAsia="Times New Roman" w:hAnsi="Lato"/>
          <w:sz w:val="20"/>
          <w:szCs w:val="20"/>
        </w:rPr>
        <w:t>aciones de Seguridad Social y 3,</w:t>
      </w:r>
      <w:r w:rsidRPr="00BC3A61">
        <w:rPr>
          <w:rFonts w:ascii="Lato" w:eastAsia="Times New Roman" w:hAnsi="Lato"/>
          <w:sz w:val="20"/>
          <w:szCs w:val="20"/>
        </w:rPr>
        <w:t>074 mdp por concepto de ingresos por ventas de bienes y servicios del sector paraestatal.</w:t>
      </w:r>
    </w:p>
    <w:p w:rsidR="00E873CD" w:rsidRDefault="00196B7D">
      <w:pPr>
        <w:rPr>
          <w:rFonts w:ascii="Lato" w:eastAsia="Times New Roman" w:hAnsi="Lato"/>
          <w:sz w:val="20"/>
          <w:szCs w:val="20"/>
        </w:rPr>
      </w:pPr>
      <w:r w:rsidRPr="00BC3A61">
        <w:rPr>
          <w:rFonts w:ascii="Lato" w:eastAsia="Times New Roman" w:hAnsi="Lato"/>
          <w:sz w:val="20"/>
          <w:szCs w:val="20"/>
        </w:rPr>
        <w:t>b) Proyección de la recaudación de ingresos a mediano plazo según la Ley de Ingresos 2023.</w:t>
      </w:r>
    </w:p>
    <w:p w:rsidR="00E93349" w:rsidRPr="00BC3A61" w:rsidRDefault="00E93349">
      <w:pPr>
        <w:rPr>
          <w:rFonts w:ascii="Lato" w:eastAsia="Times New Roman" w:hAnsi="Lato"/>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84"/>
        <w:gridCol w:w="5940"/>
        <w:gridCol w:w="1819"/>
        <w:gridCol w:w="1756"/>
        <w:gridCol w:w="2561"/>
      </w:tblGrid>
      <w:tr w:rsidR="00E873CD" w:rsidRPr="00BC3A61">
        <w:trPr>
          <w:divId w:val="1922986418"/>
          <w:tblCellSpacing w:w="15" w:type="dxa"/>
        </w:trPr>
        <w:tc>
          <w:tcPr>
            <w:tcW w:w="0" w:type="auto"/>
            <w:vAlign w:val="center"/>
            <w:hideMark/>
          </w:tcPr>
          <w:p w:rsidR="00E873CD" w:rsidRPr="00BC3A61" w:rsidRDefault="00196B7D">
            <w:pPr>
              <w:jc w:val="center"/>
              <w:rPr>
                <w:rFonts w:ascii="Lato" w:eastAsia="Times New Roman" w:hAnsi="Lato"/>
                <w:sz w:val="20"/>
                <w:szCs w:val="20"/>
              </w:rPr>
            </w:pPr>
            <w:r w:rsidRPr="00BC3A61">
              <w:rPr>
                <w:rStyle w:val="Textoennegrita"/>
                <w:rFonts w:ascii="Lato" w:eastAsia="Times New Roman" w:hAnsi="Lato"/>
                <w:color w:val="000000"/>
                <w:sz w:val="20"/>
                <w:szCs w:val="20"/>
              </w:rPr>
              <w:lastRenderedPageBreak/>
              <w:t>CUENTA</w:t>
            </w:r>
          </w:p>
        </w:tc>
        <w:tc>
          <w:tcPr>
            <w:tcW w:w="0" w:type="auto"/>
            <w:vAlign w:val="center"/>
            <w:hideMark/>
          </w:tcPr>
          <w:p w:rsidR="00E873CD" w:rsidRPr="00BC3A61" w:rsidRDefault="00196B7D">
            <w:pPr>
              <w:jc w:val="center"/>
              <w:rPr>
                <w:rFonts w:ascii="Lato" w:eastAsia="Times New Roman" w:hAnsi="Lato"/>
                <w:sz w:val="20"/>
                <w:szCs w:val="20"/>
              </w:rPr>
            </w:pPr>
            <w:r w:rsidRPr="00BC3A61">
              <w:rPr>
                <w:rStyle w:val="Textoennegrita"/>
                <w:rFonts w:ascii="Lato" w:eastAsia="Times New Roman" w:hAnsi="Lato"/>
                <w:color w:val="000000"/>
                <w:sz w:val="20"/>
                <w:szCs w:val="20"/>
              </w:rPr>
              <w:t>CONCEPTO</w:t>
            </w:r>
          </w:p>
        </w:tc>
        <w:tc>
          <w:tcPr>
            <w:tcW w:w="0" w:type="auto"/>
            <w:vAlign w:val="center"/>
            <w:hideMark/>
          </w:tcPr>
          <w:p w:rsidR="00E873CD" w:rsidRPr="00BC3A61" w:rsidRDefault="00196B7D">
            <w:pPr>
              <w:jc w:val="center"/>
              <w:rPr>
                <w:rFonts w:ascii="Lato" w:eastAsia="Times New Roman" w:hAnsi="Lato"/>
                <w:sz w:val="20"/>
                <w:szCs w:val="20"/>
              </w:rPr>
            </w:pPr>
            <w:r w:rsidRPr="00BC3A61">
              <w:rPr>
                <w:rStyle w:val="Textoennegrita"/>
                <w:rFonts w:ascii="Lato" w:eastAsia="Times New Roman" w:hAnsi="Lato"/>
                <w:color w:val="000000"/>
                <w:sz w:val="20"/>
                <w:szCs w:val="20"/>
              </w:rPr>
              <w:t>Ley de Ingresos 2026</w:t>
            </w:r>
          </w:p>
        </w:tc>
        <w:tc>
          <w:tcPr>
            <w:tcW w:w="0" w:type="auto"/>
            <w:vAlign w:val="center"/>
            <w:hideMark/>
          </w:tcPr>
          <w:p w:rsidR="00E873CD" w:rsidRPr="00BC3A61" w:rsidRDefault="00196B7D">
            <w:pPr>
              <w:jc w:val="center"/>
              <w:rPr>
                <w:rFonts w:ascii="Lato" w:eastAsia="Times New Roman" w:hAnsi="Lato"/>
                <w:sz w:val="20"/>
                <w:szCs w:val="20"/>
              </w:rPr>
            </w:pPr>
            <w:r w:rsidRPr="00BC3A61">
              <w:rPr>
                <w:rStyle w:val="Textoennegrita"/>
                <w:rFonts w:ascii="Lato" w:eastAsia="Times New Roman" w:hAnsi="Lato"/>
                <w:color w:val="000000"/>
                <w:sz w:val="20"/>
                <w:szCs w:val="20"/>
              </w:rPr>
              <w:t>Recaudación 2026</w:t>
            </w:r>
          </w:p>
        </w:tc>
        <w:tc>
          <w:tcPr>
            <w:tcW w:w="0" w:type="auto"/>
            <w:vAlign w:val="center"/>
            <w:hideMark/>
          </w:tcPr>
          <w:p w:rsidR="00E873CD" w:rsidRPr="00BC3A61" w:rsidRDefault="00196B7D">
            <w:pPr>
              <w:jc w:val="center"/>
              <w:rPr>
                <w:rFonts w:ascii="Lato" w:eastAsia="Times New Roman" w:hAnsi="Lato"/>
                <w:sz w:val="20"/>
                <w:szCs w:val="20"/>
              </w:rPr>
            </w:pPr>
            <w:r w:rsidRPr="00BC3A61">
              <w:rPr>
                <w:rStyle w:val="Textoennegrita"/>
                <w:rFonts w:ascii="Lato" w:eastAsia="Times New Roman" w:hAnsi="Lato"/>
                <w:color w:val="000000"/>
                <w:sz w:val="20"/>
                <w:szCs w:val="20"/>
              </w:rPr>
              <w:t>Variación entre Ley de Ingresos y lo Recaudado</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1</w:t>
            </w:r>
          </w:p>
        </w:tc>
        <w:tc>
          <w:tcPr>
            <w:tcW w:w="0" w:type="auto"/>
            <w:vAlign w:val="center"/>
            <w:hideMark/>
          </w:tcPr>
          <w:p w:rsidR="00E873CD" w:rsidRPr="00BC3A61" w:rsidRDefault="00196B7D">
            <w:pPr>
              <w:rPr>
                <w:rFonts w:ascii="Lato" w:eastAsia="Times New Roman" w:hAnsi="Lato"/>
                <w:sz w:val="20"/>
                <w:szCs w:val="20"/>
              </w:rPr>
            </w:pPr>
            <w:r w:rsidRPr="00BC3A61">
              <w:rPr>
                <w:rFonts w:ascii="Lato" w:eastAsia="Times New Roman" w:hAnsi="Lato"/>
                <w:color w:val="000000"/>
                <w:sz w:val="20"/>
                <w:szCs w:val="20"/>
              </w:rPr>
              <w:t>IMPUESTOS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5,214,559,050.00</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3,972,609,958.00</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-1,241,949,092.00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4</w:t>
            </w:r>
          </w:p>
        </w:tc>
        <w:tc>
          <w:tcPr>
            <w:tcW w:w="0" w:type="auto"/>
            <w:vAlign w:val="center"/>
            <w:hideMark/>
          </w:tcPr>
          <w:p w:rsidR="00E873CD" w:rsidRPr="00BC3A61" w:rsidRDefault="00196B7D">
            <w:pPr>
              <w:rPr>
                <w:rFonts w:ascii="Lato" w:eastAsia="Times New Roman" w:hAnsi="Lato"/>
                <w:sz w:val="20"/>
                <w:szCs w:val="20"/>
              </w:rPr>
            </w:pPr>
            <w:r w:rsidRPr="00BC3A61">
              <w:rPr>
                <w:rFonts w:ascii="Lato" w:eastAsia="Times New Roman" w:hAnsi="Lato"/>
                <w:color w:val="000000"/>
                <w:sz w:val="20"/>
                <w:szCs w:val="20"/>
              </w:rPr>
              <w:t>DERECHOS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2,401,231,235.00</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1,862,970,746.08</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-538,260,488.92</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5</w:t>
            </w:r>
          </w:p>
        </w:tc>
        <w:tc>
          <w:tcPr>
            <w:tcW w:w="0" w:type="auto"/>
            <w:vAlign w:val="center"/>
            <w:hideMark/>
          </w:tcPr>
          <w:p w:rsidR="00E873CD" w:rsidRPr="00BC3A61" w:rsidRDefault="00196B7D">
            <w:pPr>
              <w:rPr>
                <w:rFonts w:ascii="Lato" w:eastAsia="Times New Roman" w:hAnsi="Lato"/>
                <w:sz w:val="20"/>
                <w:szCs w:val="20"/>
              </w:rPr>
            </w:pPr>
            <w:r w:rsidRPr="00BC3A61">
              <w:rPr>
                <w:rFonts w:ascii="Lato" w:eastAsia="Times New Roman" w:hAnsi="Lato"/>
                <w:color w:val="000000"/>
                <w:sz w:val="20"/>
                <w:szCs w:val="20"/>
              </w:rPr>
              <w:t>PRODUCTOS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185,605,884.00</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141,507,352.09</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-44,098,531.91</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6</w:t>
            </w:r>
          </w:p>
        </w:tc>
        <w:tc>
          <w:tcPr>
            <w:tcW w:w="0" w:type="auto"/>
            <w:vAlign w:val="center"/>
            <w:hideMark/>
          </w:tcPr>
          <w:p w:rsidR="00E873CD" w:rsidRPr="00BC3A61" w:rsidRDefault="00196B7D">
            <w:pPr>
              <w:rPr>
                <w:rFonts w:ascii="Lato" w:eastAsia="Times New Roman" w:hAnsi="Lato"/>
                <w:sz w:val="20"/>
                <w:szCs w:val="20"/>
              </w:rPr>
            </w:pPr>
            <w:r w:rsidRPr="00BC3A61">
              <w:rPr>
                <w:rFonts w:ascii="Lato" w:eastAsia="Times New Roman" w:hAnsi="Lato"/>
                <w:color w:val="000000"/>
                <w:sz w:val="20"/>
                <w:szCs w:val="20"/>
              </w:rPr>
              <w:t>APROVECHAMIENTOS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378,556,158.00</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147,511,252.39</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-231,044,905.61</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8</w:t>
            </w:r>
          </w:p>
        </w:tc>
        <w:tc>
          <w:tcPr>
            <w:tcW w:w="0" w:type="auto"/>
            <w:vAlign w:val="center"/>
            <w:hideMark/>
          </w:tcPr>
          <w:p w:rsidR="00E873CD" w:rsidRPr="00BC3A61" w:rsidRDefault="00196B7D">
            <w:pPr>
              <w:rPr>
                <w:rFonts w:ascii="Lato" w:eastAsia="Times New Roman" w:hAnsi="Lato"/>
                <w:sz w:val="20"/>
                <w:szCs w:val="20"/>
              </w:rPr>
            </w:pPr>
            <w:r w:rsidRPr="00BC3A61">
              <w:rPr>
                <w:rFonts w:ascii="Lato" w:eastAsia="Times New Roman" w:hAnsi="Lato"/>
                <w:color w:val="000000"/>
                <w:sz w:val="20"/>
                <w:szCs w:val="20"/>
              </w:rPr>
              <w:t>PARTICIPACIONES, APORTACIONES, CONVENIOS, INCENTIVOS DERIVADOS DE LA COLABORACIÓN FISCAL Y FONDOS DISTINTOS DE APORTACIONES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48,671,595,074.00</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36,177,091,486.70</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-12,494,503,587.30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9</w:t>
            </w:r>
          </w:p>
        </w:tc>
        <w:tc>
          <w:tcPr>
            <w:tcW w:w="0" w:type="auto"/>
            <w:vAlign w:val="center"/>
            <w:hideMark/>
          </w:tcPr>
          <w:p w:rsidR="00E873CD" w:rsidRPr="00BC3A61" w:rsidRDefault="00196B7D">
            <w:pPr>
              <w:rPr>
                <w:rFonts w:ascii="Lato" w:eastAsia="Times New Roman" w:hAnsi="Lato"/>
                <w:sz w:val="20"/>
                <w:szCs w:val="20"/>
              </w:rPr>
            </w:pPr>
            <w:r w:rsidRPr="00BC3A61">
              <w:rPr>
                <w:rFonts w:ascii="Lato" w:eastAsia="Times New Roman" w:hAnsi="Lato"/>
                <w:color w:val="000000"/>
                <w:sz w:val="20"/>
                <w:szCs w:val="20"/>
              </w:rPr>
              <w:t>TRANSFERENCIAS, ASIGNACIONES, SUBSIDIOS Y SUBVENCIONES, Y PENSIONES Y JUBILACIONES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2,524,586,201.00</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2,336,042,000.00</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-188,544,201.00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0</w:t>
            </w:r>
          </w:p>
        </w:tc>
        <w:tc>
          <w:tcPr>
            <w:tcW w:w="0" w:type="auto"/>
            <w:vAlign w:val="center"/>
            <w:hideMark/>
          </w:tcPr>
          <w:p w:rsidR="00E873CD" w:rsidRPr="00BC3A61" w:rsidRDefault="00196B7D">
            <w:pPr>
              <w:rPr>
                <w:rFonts w:ascii="Lato" w:eastAsia="Times New Roman" w:hAnsi="Lato"/>
                <w:sz w:val="20"/>
                <w:szCs w:val="20"/>
              </w:rPr>
            </w:pPr>
            <w:r w:rsidRPr="00BC3A61">
              <w:rPr>
                <w:rFonts w:ascii="Lato" w:eastAsia="Times New Roman" w:hAnsi="Lato"/>
                <w:color w:val="000000"/>
                <w:sz w:val="20"/>
                <w:szCs w:val="20"/>
              </w:rPr>
              <w:t>INGRESOS DERIVADOS DE FINANCIAMIENTOS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1,530,000,000.00</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0.00</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-1,530,000,000.00</w:t>
            </w:r>
          </w:p>
        </w:tc>
      </w:tr>
      <w:tr w:rsidR="00E873CD" w:rsidRPr="00BC3A61">
        <w:trPr>
          <w:divId w:val="1922986418"/>
          <w:tblCellSpacing w:w="15" w:type="dxa"/>
        </w:trPr>
        <w:tc>
          <w:tcPr>
            <w:tcW w:w="0" w:type="auto"/>
            <w:vAlign w:val="center"/>
            <w:hideMark/>
          </w:tcPr>
          <w:p w:rsidR="00E873CD" w:rsidRPr="00BC3A61" w:rsidRDefault="00E873CD">
            <w:pPr>
              <w:jc w:val="right"/>
              <w:rPr>
                <w:rFonts w:ascii="Lato" w:eastAsia="Times New Roman" w:hAnsi="Lato"/>
                <w:sz w:val="20"/>
                <w:szCs w:val="20"/>
              </w:rPr>
            </w:pPr>
          </w:p>
        </w:tc>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SUBTOTAL</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60,906,133,602.00</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44,637,732,795.26</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-16,268,400,806.74</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2</w:t>
            </w:r>
          </w:p>
        </w:tc>
        <w:tc>
          <w:tcPr>
            <w:tcW w:w="0" w:type="auto"/>
            <w:vAlign w:val="center"/>
            <w:hideMark/>
          </w:tcPr>
          <w:p w:rsidR="00E873CD" w:rsidRPr="00BC3A61" w:rsidRDefault="00196B7D">
            <w:pPr>
              <w:rPr>
                <w:rFonts w:ascii="Lato" w:eastAsia="Times New Roman" w:hAnsi="Lato"/>
                <w:sz w:val="20"/>
                <w:szCs w:val="20"/>
              </w:rPr>
            </w:pPr>
            <w:r w:rsidRPr="00BC3A61">
              <w:rPr>
                <w:rFonts w:ascii="Lato" w:eastAsia="Times New Roman" w:hAnsi="Lato"/>
                <w:color w:val="000000"/>
                <w:sz w:val="20"/>
                <w:szCs w:val="20"/>
              </w:rPr>
              <w:t>CUOTAS Y APORTACIONES DE SEGURIDAD SOCIAL</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2,427,466,792.00</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0.00</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-2,427,466,792.00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7</w:t>
            </w:r>
          </w:p>
        </w:tc>
        <w:tc>
          <w:tcPr>
            <w:tcW w:w="0" w:type="auto"/>
            <w:vAlign w:val="center"/>
            <w:hideMark/>
          </w:tcPr>
          <w:p w:rsidR="00E873CD" w:rsidRPr="00BC3A61" w:rsidRDefault="00196B7D">
            <w:pPr>
              <w:rPr>
                <w:rFonts w:ascii="Lato" w:eastAsia="Times New Roman" w:hAnsi="Lato"/>
                <w:sz w:val="20"/>
                <w:szCs w:val="20"/>
              </w:rPr>
            </w:pPr>
            <w:r w:rsidRPr="00BC3A61">
              <w:rPr>
                <w:rFonts w:ascii="Lato" w:eastAsia="Times New Roman" w:hAnsi="Lato"/>
                <w:color w:val="000000"/>
                <w:sz w:val="20"/>
                <w:szCs w:val="20"/>
              </w:rPr>
              <w:t>APROVECHAMIENTOS PATRIMONIALES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3,074,349,341.00</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0.00</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-3,074,349,341.00</w:t>
            </w:r>
          </w:p>
        </w:tc>
      </w:tr>
      <w:tr w:rsidR="00E873CD" w:rsidRPr="00BC3A61">
        <w:trPr>
          <w:divId w:val="1922986418"/>
          <w:tblCellSpacing w:w="15" w:type="dxa"/>
        </w:trPr>
        <w:tc>
          <w:tcPr>
            <w:tcW w:w="0" w:type="auto"/>
            <w:vAlign w:val="center"/>
            <w:hideMark/>
          </w:tcPr>
          <w:p w:rsidR="00E873CD" w:rsidRPr="00BC3A61" w:rsidRDefault="00E873CD">
            <w:pPr>
              <w:jc w:val="right"/>
              <w:rPr>
                <w:rFonts w:ascii="Lato" w:eastAsia="Times New Roman" w:hAnsi="Lato"/>
                <w:sz w:val="20"/>
                <w:szCs w:val="20"/>
              </w:rPr>
            </w:pPr>
          </w:p>
        </w:tc>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66,407,949,735.00</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44,637,732,795.26</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-21,770,216,939.74</w:t>
            </w:r>
          </w:p>
        </w:tc>
      </w:tr>
    </w:tbl>
    <w:p w:rsidR="00E873CD" w:rsidRPr="00BC3A61" w:rsidRDefault="00E873CD">
      <w:pPr>
        <w:rPr>
          <w:rFonts w:ascii="Lato" w:eastAsia="Times New Roman" w:hAnsi="Lato"/>
          <w:sz w:val="20"/>
          <w:szCs w:val="20"/>
        </w:rPr>
      </w:pP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t xml:space="preserve">10. Información sobre la Deuda y el Reporte Analítico de la Deuda </w:t>
      </w:r>
    </w:p>
    <w:p w:rsidR="006E66AF" w:rsidRPr="00BC3A61" w:rsidRDefault="006E66AF" w:rsidP="006E66AF">
      <w:pPr>
        <w:rPr>
          <w:rFonts w:ascii="Lato" w:hAnsi="Lato"/>
          <w:b/>
          <w:bCs/>
          <w:sz w:val="20"/>
          <w:szCs w:val="20"/>
        </w:rPr>
      </w:pPr>
      <w:r w:rsidRPr="00BC3A61">
        <w:rPr>
          <w:rFonts w:ascii="Lato" w:hAnsi="Lato"/>
          <w:b/>
          <w:bCs/>
          <w:sz w:val="20"/>
          <w:szCs w:val="20"/>
        </w:rPr>
        <w:t>Deuda respecto al PIB</w:t>
      </w:r>
    </w:p>
    <w:p w:rsidR="006E66AF" w:rsidRPr="00BC3A61" w:rsidRDefault="006E66AF" w:rsidP="006E66AF">
      <w:pPr>
        <w:jc w:val="both"/>
        <w:rPr>
          <w:rFonts w:ascii="Lato" w:hAnsi="Lato"/>
          <w:sz w:val="20"/>
          <w:szCs w:val="20"/>
        </w:rPr>
      </w:pPr>
      <w:r w:rsidRPr="00BC3A61">
        <w:rPr>
          <w:rFonts w:ascii="Lato" w:hAnsi="Lato"/>
          <w:sz w:val="20"/>
          <w:szCs w:val="20"/>
        </w:rPr>
        <w:t>El saldo de la Deuda Pública de largo plazo a cargo del Estado con respecto al Producto Interno Bruto del Estado del período comprendido de 2015 a septiembre 2026, se comportó de la siguiente manera.</w:t>
      </w:r>
    </w:p>
    <w:tbl>
      <w:tblPr>
        <w:tblW w:w="9687" w:type="dxa"/>
        <w:tblCellMar>
          <w:left w:w="0" w:type="dxa"/>
          <w:right w:w="0" w:type="dxa"/>
        </w:tblCellMar>
        <w:tblLook w:val="04A0" w:firstRow="1" w:lastRow="0" w:firstColumn="1" w:lastColumn="0" w:noHBand="0" w:noVBand="1"/>
      </w:tblPr>
      <w:tblGrid>
        <w:gridCol w:w="1215"/>
        <w:gridCol w:w="783"/>
        <w:gridCol w:w="783"/>
        <w:gridCol w:w="784"/>
        <w:gridCol w:w="784"/>
        <w:gridCol w:w="641"/>
        <w:gridCol w:w="641"/>
        <w:gridCol w:w="641"/>
        <w:gridCol w:w="641"/>
        <w:gridCol w:w="641"/>
        <w:gridCol w:w="641"/>
        <w:gridCol w:w="641"/>
        <w:gridCol w:w="6"/>
        <w:gridCol w:w="827"/>
        <w:gridCol w:w="6"/>
        <w:gridCol w:w="6"/>
        <w:gridCol w:w="6"/>
      </w:tblGrid>
      <w:tr w:rsidR="006E66AF" w:rsidRPr="00BC3A61" w:rsidTr="00E247AA">
        <w:trPr>
          <w:trHeight w:val="240"/>
        </w:trPr>
        <w:tc>
          <w:tcPr>
            <w:tcW w:w="0" w:type="auto"/>
            <w:tcBorders>
              <w:top w:val="single" w:sz="8" w:space="0" w:color="4F81BD"/>
              <w:left w:val="nil"/>
              <w:bottom w:val="single" w:sz="8" w:space="0" w:color="4F81BD"/>
              <w:right w:val="nil"/>
            </w:tcBorders>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b/>
                <w:bCs/>
                <w:sz w:val="20"/>
                <w:szCs w:val="20"/>
              </w:rPr>
            </w:pPr>
            <w:r w:rsidRPr="00BC3A61">
              <w:rPr>
                <w:rFonts w:ascii="Lato" w:hAnsi="Lato"/>
                <w:b/>
                <w:bCs/>
                <w:sz w:val="20"/>
                <w:szCs w:val="20"/>
              </w:rPr>
              <w:lastRenderedPageBreak/>
              <w:t>Concepto</w:t>
            </w:r>
          </w:p>
        </w:tc>
        <w:tc>
          <w:tcPr>
            <w:tcW w:w="0" w:type="auto"/>
            <w:tcBorders>
              <w:top w:val="single" w:sz="8" w:space="0" w:color="4F81BD"/>
              <w:left w:val="nil"/>
              <w:bottom w:val="single" w:sz="8" w:space="0" w:color="4F81BD"/>
              <w:right w:val="nil"/>
            </w:tcBorders>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b/>
                <w:bCs/>
                <w:sz w:val="20"/>
                <w:szCs w:val="20"/>
              </w:rPr>
            </w:pPr>
            <w:r w:rsidRPr="00BC3A61">
              <w:rPr>
                <w:rFonts w:ascii="Lato" w:hAnsi="Lato"/>
                <w:b/>
                <w:bCs/>
                <w:sz w:val="20"/>
                <w:szCs w:val="20"/>
              </w:rPr>
              <w:t>2015</w:t>
            </w:r>
          </w:p>
        </w:tc>
        <w:tc>
          <w:tcPr>
            <w:tcW w:w="0" w:type="auto"/>
            <w:tcBorders>
              <w:top w:val="single" w:sz="8" w:space="0" w:color="4F81BD"/>
              <w:left w:val="nil"/>
              <w:bottom w:val="single" w:sz="8" w:space="0" w:color="4F81BD"/>
              <w:right w:val="nil"/>
            </w:tcBorders>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b/>
                <w:bCs/>
                <w:sz w:val="20"/>
                <w:szCs w:val="20"/>
              </w:rPr>
            </w:pPr>
            <w:r w:rsidRPr="00BC3A61">
              <w:rPr>
                <w:rFonts w:ascii="Lato" w:hAnsi="Lato"/>
                <w:b/>
                <w:bCs/>
                <w:sz w:val="20"/>
                <w:szCs w:val="20"/>
              </w:rPr>
              <w:t>2016</w:t>
            </w:r>
          </w:p>
        </w:tc>
        <w:tc>
          <w:tcPr>
            <w:tcW w:w="0" w:type="auto"/>
            <w:tcBorders>
              <w:top w:val="single" w:sz="8" w:space="0" w:color="4F81BD"/>
              <w:left w:val="nil"/>
              <w:bottom w:val="single" w:sz="8" w:space="0" w:color="4F81BD"/>
              <w:right w:val="nil"/>
            </w:tcBorders>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b/>
                <w:bCs/>
                <w:sz w:val="20"/>
                <w:szCs w:val="20"/>
              </w:rPr>
            </w:pPr>
            <w:r w:rsidRPr="00BC3A61">
              <w:rPr>
                <w:rFonts w:ascii="Lato" w:hAnsi="Lato"/>
                <w:b/>
                <w:bCs/>
                <w:sz w:val="20"/>
                <w:szCs w:val="20"/>
              </w:rPr>
              <w:t>2017</w:t>
            </w:r>
          </w:p>
        </w:tc>
        <w:tc>
          <w:tcPr>
            <w:tcW w:w="0" w:type="auto"/>
            <w:tcBorders>
              <w:top w:val="single" w:sz="8" w:space="0" w:color="4F81BD"/>
              <w:left w:val="nil"/>
              <w:bottom w:val="single" w:sz="8" w:space="0" w:color="4F81BD"/>
              <w:right w:val="nil"/>
            </w:tcBorders>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b/>
                <w:bCs/>
                <w:sz w:val="20"/>
                <w:szCs w:val="20"/>
              </w:rPr>
            </w:pPr>
            <w:r w:rsidRPr="00BC3A61">
              <w:rPr>
                <w:rFonts w:ascii="Lato" w:hAnsi="Lato"/>
                <w:b/>
                <w:bCs/>
                <w:sz w:val="20"/>
                <w:szCs w:val="20"/>
              </w:rPr>
              <w:t>2018</w:t>
            </w:r>
          </w:p>
        </w:tc>
        <w:tc>
          <w:tcPr>
            <w:tcW w:w="0" w:type="auto"/>
            <w:tcBorders>
              <w:top w:val="single" w:sz="8" w:space="0" w:color="4F81BD"/>
              <w:left w:val="nil"/>
              <w:bottom w:val="single" w:sz="8" w:space="0" w:color="4F81BD"/>
              <w:right w:val="nil"/>
            </w:tcBorders>
            <w:vAlign w:val="center"/>
            <w:hideMark/>
          </w:tcPr>
          <w:p w:rsidR="006E66AF" w:rsidRPr="00BC3A61" w:rsidRDefault="006E66AF" w:rsidP="00E247AA">
            <w:pPr>
              <w:spacing w:line="276" w:lineRule="auto"/>
              <w:rPr>
                <w:rFonts w:ascii="Lato" w:hAnsi="Lato"/>
                <w:b/>
                <w:bCs/>
                <w:sz w:val="20"/>
                <w:szCs w:val="20"/>
              </w:rPr>
            </w:pPr>
            <w:r w:rsidRPr="00BC3A61">
              <w:rPr>
                <w:rFonts w:ascii="Lato" w:hAnsi="Lato"/>
                <w:b/>
                <w:bCs/>
                <w:sz w:val="20"/>
                <w:szCs w:val="20"/>
              </w:rPr>
              <w:t>2019</w:t>
            </w:r>
          </w:p>
        </w:tc>
        <w:tc>
          <w:tcPr>
            <w:tcW w:w="0" w:type="auto"/>
            <w:tcBorders>
              <w:top w:val="single" w:sz="8" w:space="0" w:color="4F81BD"/>
              <w:left w:val="nil"/>
              <w:bottom w:val="single" w:sz="8" w:space="0" w:color="4F81BD"/>
              <w:right w:val="nil"/>
            </w:tcBorders>
            <w:vAlign w:val="center"/>
          </w:tcPr>
          <w:p w:rsidR="006E66AF" w:rsidRPr="00BC3A61" w:rsidRDefault="006E66AF" w:rsidP="00E247AA">
            <w:pPr>
              <w:spacing w:line="276" w:lineRule="auto"/>
              <w:jc w:val="center"/>
              <w:rPr>
                <w:rFonts w:ascii="Lato" w:hAnsi="Lato"/>
                <w:b/>
                <w:bCs/>
                <w:sz w:val="20"/>
                <w:szCs w:val="20"/>
              </w:rPr>
            </w:pPr>
            <w:r w:rsidRPr="00BC3A61">
              <w:rPr>
                <w:rFonts w:ascii="Lato" w:hAnsi="Lato"/>
                <w:b/>
                <w:bCs/>
                <w:sz w:val="20"/>
                <w:szCs w:val="20"/>
              </w:rPr>
              <w:t>2020</w:t>
            </w:r>
          </w:p>
        </w:tc>
        <w:tc>
          <w:tcPr>
            <w:tcW w:w="0" w:type="auto"/>
            <w:tcBorders>
              <w:top w:val="single" w:sz="8" w:space="0" w:color="4F81BD"/>
              <w:left w:val="nil"/>
              <w:bottom w:val="single" w:sz="8" w:space="0" w:color="4F81BD"/>
              <w:right w:val="nil"/>
            </w:tcBorders>
            <w:vAlign w:val="center"/>
          </w:tcPr>
          <w:p w:rsidR="006E66AF" w:rsidRPr="00BC3A61" w:rsidRDefault="006E66AF" w:rsidP="00E247AA">
            <w:pPr>
              <w:spacing w:line="276" w:lineRule="auto"/>
              <w:jc w:val="center"/>
              <w:rPr>
                <w:rFonts w:ascii="Lato" w:hAnsi="Lato"/>
                <w:b/>
                <w:bCs/>
                <w:sz w:val="20"/>
                <w:szCs w:val="20"/>
              </w:rPr>
            </w:pPr>
            <w:r w:rsidRPr="00BC3A61">
              <w:rPr>
                <w:rFonts w:ascii="Lato" w:hAnsi="Lato"/>
                <w:b/>
                <w:bCs/>
                <w:sz w:val="20"/>
                <w:szCs w:val="20"/>
              </w:rPr>
              <w:t>2021</w:t>
            </w:r>
          </w:p>
        </w:tc>
        <w:tc>
          <w:tcPr>
            <w:tcW w:w="0" w:type="auto"/>
            <w:tcBorders>
              <w:top w:val="single" w:sz="8" w:space="0" w:color="4F81BD"/>
              <w:left w:val="nil"/>
              <w:bottom w:val="single" w:sz="8" w:space="0" w:color="4F81BD"/>
              <w:right w:val="nil"/>
            </w:tcBorders>
            <w:vAlign w:val="center"/>
          </w:tcPr>
          <w:p w:rsidR="006E66AF" w:rsidRPr="00BC3A61" w:rsidRDefault="006E66AF" w:rsidP="00E247AA">
            <w:pPr>
              <w:spacing w:line="276" w:lineRule="auto"/>
              <w:jc w:val="center"/>
              <w:rPr>
                <w:rFonts w:ascii="Lato" w:hAnsi="Lato"/>
                <w:b/>
                <w:bCs/>
                <w:sz w:val="20"/>
                <w:szCs w:val="20"/>
              </w:rPr>
            </w:pPr>
            <w:r w:rsidRPr="00BC3A61">
              <w:rPr>
                <w:rFonts w:ascii="Lato" w:hAnsi="Lato"/>
                <w:b/>
                <w:bCs/>
                <w:sz w:val="20"/>
                <w:szCs w:val="20"/>
              </w:rPr>
              <w:t>2022</w:t>
            </w:r>
          </w:p>
        </w:tc>
        <w:tc>
          <w:tcPr>
            <w:tcW w:w="0" w:type="auto"/>
            <w:tcBorders>
              <w:top w:val="single" w:sz="8" w:space="0" w:color="4F81BD"/>
              <w:left w:val="nil"/>
              <w:bottom w:val="single" w:sz="8" w:space="0" w:color="4F81BD"/>
              <w:right w:val="nil"/>
            </w:tcBorders>
            <w:vAlign w:val="center"/>
          </w:tcPr>
          <w:p w:rsidR="006E66AF" w:rsidRPr="00BC3A61" w:rsidRDefault="006E66AF" w:rsidP="00E247AA">
            <w:pPr>
              <w:spacing w:line="276" w:lineRule="auto"/>
              <w:jc w:val="center"/>
              <w:rPr>
                <w:rFonts w:ascii="Lato" w:hAnsi="Lato"/>
                <w:b/>
                <w:bCs/>
                <w:sz w:val="20"/>
                <w:szCs w:val="20"/>
              </w:rPr>
            </w:pPr>
            <w:r w:rsidRPr="00BC3A61">
              <w:rPr>
                <w:rFonts w:ascii="Lato" w:hAnsi="Lato"/>
                <w:b/>
                <w:bCs/>
                <w:sz w:val="20"/>
                <w:szCs w:val="20"/>
              </w:rPr>
              <w:t>2023</w:t>
            </w:r>
          </w:p>
        </w:tc>
        <w:tc>
          <w:tcPr>
            <w:tcW w:w="0" w:type="auto"/>
            <w:tcBorders>
              <w:top w:val="single" w:sz="8" w:space="0" w:color="4F81BD"/>
              <w:left w:val="nil"/>
              <w:bottom w:val="single" w:sz="8" w:space="0" w:color="4F81BD"/>
              <w:right w:val="nil"/>
            </w:tcBorders>
            <w:vAlign w:val="center"/>
          </w:tcPr>
          <w:p w:rsidR="006E66AF" w:rsidRPr="00BC3A61" w:rsidRDefault="006E66AF" w:rsidP="00E247AA">
            <w:pPr>
              <w:spacing w:line="276" w:lineRule="auto"/>
              <w:jc w:val="center"/>
              <w:rPr>
                <w:rFonts w:ascii="Lato" w:hAnsi="Lato"/>
                <w:b/>
                <w:bCs/>
                <w:sz w:val="20"/>
                <w:szCs w:val="20"/>
              </w:rPr>
            </w:pPr>
            <w:r w:rsidRPr="00BC3A61">
              <w:rPr>
                <w:rFonts w:ascii="Lato" w:hAnsi="Lato"/>
                <w:b/>
                <w:bCs/>
                <w:sz w:val="20"/>
                <w:szCs w:val="20"/>
              </w:rPr>
              <w:t>2024</w:t>
            </w:r>
          </w:p>
        </w:tc>
        <w:tc>
          <w:tcPr>
            <w:tcW w:w="0" w:type="auto"/>
            <w:tcBorders>
              <w:top w:val="single" w:sz="8" w:space="0" w:color="4F81BD"/>
              <w:left w:val="nil"/>
              <w:bottom w:val="single" w:sz="8" w:space="0" w:color="4F81BD"/>
              <w:right w:val="nil"/>
            </w:tcBorders>
            <w:vAlign w:val="center"/>
          </w:tcPr>
          <w:p w:rsidR="006E66AF" w:rsidRPr="00BC3A61" w:rsidRDefault="006E66AF" w:rsidP="00E247AA">
            <w:pPr>
              <w:spacing w:line="276" w:lineRule="auto"/>
              <w:jc w:val="center"/>
              <w:rPr>
                <w:rFonts w:ascii="Lato" w:hAnsi="Lato"/>
                <w:b/>
                <w:bCs/>
                <w:sz w:val="20"/>
                <w:szCs w:val="20"/>
              </w:rPr>
            </w:pPr>
            <w:r w:rsidRPr="00BC3A61">
              <w:rPr>
                <w:rFonts w:ascii="Lato" w:hAnsi="Lato"/>
                <w:b/>
                <w:bCs/>
                <w:sz w:val="20"/>
                <w:szCs w:val="20"/>
              </w:rPr>
              <w:t>2025</w:t>
            </w:r>
          </w:p>
        </w:tc>
        <w:tc>
          <w:tcPr>
            <w:tcW w:w="0" w:type="auto"/>
            <w:tcBorders>
              <w:top w:val="single" w:sz="8" w:space="0" w:color="4F81BD"/>
              <w:left w:val="nil"/>
              <w:bottom w:val="single" w:sz="8" w:space="0" w:color="4F81BD"/>
              <w:right w:val="nil"/>
            </w:tcBorders>
          </w:tcPr>
          <w:p w:rsidR="006E66AF" w:rsidRPr="00BC3A61" w:rsidRDefault="006E66AF" w:rsidP="00E247AA">
            <w:pPr>
              <w:spacing w:line="276" w:lineRule="auto"/>
              <w:jc w:val="center"/>
              <w:rPr>
                <w:rFonts w:ascii="Lato" w:hAnsi="Lato"/>
                <w:b/>
                <w:bCs/>
                <w:sz w:val="20"/>
                <w:szCs w:val="20"/>
              </w:rPr>
            </w:pPr>
          </w:p>
        </w:tc>
        <w:tc>
          <w:tcPr>
            <w:tcW w:w="0" w:type="auto"/>
            <w:tcBorders>
              <w:top w:val="single" w:sz="8" w:space="0" w:color="4F81BD"/>
              <w:left w:val="nil"/>
              <w:bottom w:val="single" w:sz="8" w:space="0" w:color="4F81BD"/>
              <w:right w:val="nil"/>
            </w:tcBorders>
            <w:vAlign w:val="center"/>
          </w:tcPr>
          <w:p w:rsidR="006E66AF" w:rsidRPr="00BC3A61" w:rsidRDefault="006E66AF" w:rsidP="00E247AA">
            <w:pPr>
              <w:spacing w:line="276" w:lineRule="auto"/>
              <w:jc w:val="center"/>
              <w:rPr>
                <w:rFonts w:ascii="Lato" w:hAnsi="Lato"/>
                <w:b/>
                <w:bCs/>
                <w:sz w:val="20"/>
                <w:szCs w:val="20"/>
              </w:rPr>
            </w:pPr>
            <w:r w:rsidRPr="00BC3A61">
              <w:rPr>
                <w:rFonts w:ascii="Lato" w:hAnsi="Lato"/>
                <w:b/>
                <w:bCs/>
                <w:sz w:val="20"/>
                <w:szCs w:val="20"/>
              </w:rPr>
              <w:t>IIIT 2026</w:t>
            </w:r>
          </w:p>
        </w:tc>
        <w:tc>
          <w:tcPr>
            <w:tcW w:w="0" w:type="auto"/>
            <w:tcBorders>
              <w:top w:val="single" w:sz="8" w:space="0" w:color="4F81BD"/>
              <w:left w:val="nil"/>
              <w:bottom w:val="single" w:sz="8" w:space="0" w:color="4F81BD"/>
              <w:right w:val="nil"/>
            </w:tcBorders>
          </w:tcPr>
          <w:p w:rsidR="006E66AF" w:rsidRPr="00BC3A61" w:rsidRDefault="006E66AF" w:rsidP="00E247AA">
            <w:pPr>
              <w:spacing w:line="276" w:lineRule="auto"/>
              <w:jc w:val="center"/>
              <w:rPr>
                <w:rFonts w:ascii="Lato" w:hAnsi="Lato"/>
                <w:b/>
                <w:bCs/>
                <w:sz w:val="20"/>
                <w:szCs w:val="20"/>
              </w:rPr>
            </w:pPr>
          </w:p>
        </w:tc>
        <w:tc>
          <w:tcPr>
            <w:tcW w:w="0" w:type="auto"/>
            <w:tcBorders>
              <w:top w:val="single" w:sz="8" w:space="0" w:color="4F81BD"/>
              <w:left w:val="nil"/>
              <w:bottom w:val="single" w:sz="8" w:space="0" w:color="4F81BD"/>
              <w:right w:val="nil"/>
            </w:tcBorders>
          </w:tcPr>
          <w:p w:rsidR="006E66AF" w:rsidRPr="00BC3A61" w:rsidRDefault="006E66AF" w:rsidP="00E247AA">
            <w:pPr>
              <w:spacing w:line="276" w:lineRule="auto"/>
              <w:jc w:val="center"/>
              <w:rPr>
                <w:rFonts w:ascii="Lato" w:hAnsi="Lato"/>
                <w:b/>
                <w:bCs/>
                <w:sz w:val="20"/>
                <w:szCs w:val="20"/>
              </w:rPr>
            </w:pPr>
          </w:p>
        </w:tc>
        <w:tc>
          <w:tcPr>
            <w:tcW w:w="0" w:type="auto"/>
            <w:tcBorders>
              <w:top w:val="single" w:sz="8" w:space="0" w:color="4F81BD"/>
              <w:left w:val="nil"/>
              <w:bottom w:val="single" w:sz="8" w:space="0" w:color="4F81BD"/>
              <w:right w:val="nil"/>
            </w:tcBorders>
          </w:tcPr>
          <w:p w:rsidR="006E66AF" w:rsidRPr="00BC3A61" w:rsidRDefault="006E66AF" w:rsidP="00E247AA">
            <w:pPr>
              <w:spacing w:line="276" w:lineRule="auto"/>
              <w:jc w:val="center"/>
              <w:rPr>
                <w:rFonts w:ascii="Lato" w:hAnsi="Lato"/>
                <w:b/>
                <w:bCs/>
                <w:sz w:val="20"/>
                <w:szCs w:val="20"/>
              </w:rPr>
            </w:pPr>
          </w:p>
        </w:tc>
      </w:tr>
      <w:tr w:rsidR="006E66AF" w:rsidRPr="00BC3A61" w:rsidTr="00E247AA">
        <w:trPr>
          <w:trHeight w:val="463"/>
        </w:trPr>
        <w:tc>
          <w:tcPr>
            <w:tcW w:w="0" w:type="auto"/>
            <w:tcBorders>
              <w:top w:val="nil"/>
              <w:left w:val="nil"/>
              <w:bottom w:val="single" w:sz="8" w:space="0" w:color="4F81BD"/>
              <w:right w:val="nil"/>
            </w:tcBorders>
            <w:shd w:val="clear" w:color="auto" w:fill="E2EFD9" w:themeFill="accent6" w:themeFillTint="33"/>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sz w:val="20"/>
                <w:szCs w:val="20"/>
              </w:rPr>
            </w:pPr>
            <w:r w:rsidRPr="00BC3A61">
              <w:rPr>
                <w:rFonts w:ascii="Lato" w:hAnsi="Lato"/>
                <w:sz w:val="20"/>
                <w:szCs w:val="20"/>
              </w:rPr>
              <w:t>Deuda/PIB</w:t>
            </w:r>
            <w:r w:rsidRPr="00BC3A61">
              <w:rPr>
                <w:rFonts w:ascii="Lato" w:hAnsi="Lato"/>
                <w:sz w:val="20"/>
                <w:szCs w:val="20"/>
                <w:vertAlign w:val="superscript"/>
              </w:rPr>
              <w:t>1</w:t>
            </w:r>
          </w:p>
        </w:tc>
        <w:tc>
          <w:tcPr>
            <w:tcW w:w="0" w:type="auto"/>
            <w:tcBorders>
              <w:top w:val="nil"/>
              <w:left w:val="nil"/>
              <w:bottom w:val="single" w:sz="8" w:space="0" w:color="4F81BD"/>
              <w:right w:val="nil"/>
            </w:tcBorders>
            <w:shd w:val="clear" w:color="auto" w:fill="E2EFD9" w:themeFill="accent6" w:themeFillTint="33"/>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sz w:val="20"/>
                <w:szCs w:val="20"/>
              </w:rPr>
            </w:pPr>
            <w:r w:rsidRPr="00BC3A61">
              <w:rPr>
                <w:rFonts w:ascii="Lato" w:hAnsi="Lato"/>
                <w:sz w:val="20"/>
                <w:szCs w:val="20"/>
              </w:rPr>
              <w:t>0.0098</w:t>
            </w:r>
          </w:p>
        </w:tc>
        <w:tc>
          <w:tcPr>
            <w:tcW w:w="0" w:type="auto"/>
            <w:tcBorders>
              <w:top w:val="nil"/>
              <w:left w:val="nil"/>
              <w:bottom w:val="single" w:sz="8" w:space="0" w:color="4F81BD"/>
              <w:right w:val="nil"/>
            </w:tcBorders>
            <w:shd w:val="clear" w:color="auto" w:fill="E2EFD9" w:themeFill="accent6" w:themeFillTint="33"/>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sz w:val="20"/>
                <w:szCs w:val="20"/>
              </w:rPr>
            </w:pPr>
            <w:r w:rsidRPr="00BC3A61">
              <w:rPr>
                <w:rFonts w:ascii="Lato" w:hAnsi="Lato"/>
                <w:sz w:val="20"/>
                <w:szCs w:val="20"/>
              </w:rPr>
              <w:t>0.0104</w:t>
            </w:r>
          </w:p>
        </w:tc>
        <w:tc>
          <w:tcPr>
            <w:tcW w:w="0" w:type="auto"/>
            <w:tcBorders>
              <w:top w:val="nil"/>
              <w:left w:val="nil"/>
              <w:bottom w:val="single" w:sz="8" w:space="0" w:color="4F81BD"/>
              <w:right w:val="nil"/>
            </w:tcBorders>
            <w:shd w:val="clear" w:color="auto" w:fill="E2EFD9" w:themeFill="accent6" w:themeFillTint="33"/>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sz w:val="20"/>
                <w:szCs w:val="20"/>
              </w:rPr>
            </w:pPr>
            <w:r w:rsidRPr="00BC3A61">
              <w:rPr>
                <w:rFonts w:ascii="Lato" w:hAnsi="Lato"/>
                <w:sz w:val="20"/>
                <w:szCs w:val="20"/>
              </w:rPr>
              <w:t>0.0134</w:t>
            </w:r>
          </w:p>
        </w:tc>
        <w:tc>
          <w:tcPr>
            <w:tcW w:w="0" w:type="auto"/>
            <w:tcBorders>
              <w:top w:val="nil"/>
              <w:left w:val="nil"/>
              <w:bottom w:val="single" w:sz="8" w:space="0" w:color="4F81BD"/>
              <w:right w:val="nil"/>
            </w:tcBorders>
            <w:shd w:val="clear" w:color="auto" w:fill="E2EFD9" w:themeFill="accent6" w:themeFillTint="33"/>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sz w:val="20"/>
                <w:szCs w:val="20"/>
              </w:rPr>
            </w:pPr>
            <w:r w:rsidRPr="00BC3A61">
              <w:rPr>
                <w:rFonts w:ascii="Lato" w:hAnsi="Lato"/>
                <w:sz w:val="20"/>
                <w:szCs w:val="20"/>
              </w:rPr>
              <w:t>0.0131</w:t>
            </w:r>
          </w:p>
        </w:tc>
        <w:tc>
          <w:tcPr>
            <w:tcW w:w="0" w:type="auto"/>
            <w:tcBorders>
              <w:top w:val="nil"/>
              <w:left w:val="nil"/>
              <w:bottom w:val="single" w:sz="8" w:space="0" w:color="4F81BD"/>
              <w:right w:val="nil"/>
            </w:tcBorders>
            <w:shd w:val="clear" w:color="auto" w:fill="E2EFD9" w:themeFill="accent6" w:themeFillTint="33"/>
            <w:vAlign w:val="center"/>
            <w:hideMark/>
          </w:tcPr>
          <w:p w:rsidR="006E66AF" w:rsidRPr="00BC3A61" w:rsidRDefault="006E66AF" w:rsidP="00E247AA">
            <w:pPr>
              <w:spacing w:line="276" w:lineRule="auto"/>
              <w:rPr>
                <w:rFonts w:ascii="Lato" w:hAnsi="Lato"/>
                <w:sz w:val="20"/>
                <w:szCs w:val="20"/>
              </w:rPr>
            </w:pPr>
            <w:r w:rsidRPr="00BC3A61">
              <w:rPr>
                <w:rFonts w:ascii="Lato" w:hAnsi="Lato"/>
                <w:sz w:val="20"/>
                <w:szCs w:val="20"/>
              </w:rPr>
              <w:t>0.0135</w:t>
            </w:r>
          </w:p>
        </w:tc>
        <w:tc>
          <w:tcPr>
            <w:tcW w:w="0" w:type="auto"/>
            <w:tcBorders>
              <w:top w:val="nil"/>
              <w:left w:val="nil"/>
              <w:bottom w:val="single" w:sz="8" w:space="0" w:color="4F81BD"/>
              <w:right w:val="nil"/>
            </w:tcBorders>
            <w:shd w:val="clear" w:color="auto" w:fill="E2EFD9" w:themeFill="accent6" w:themeFillTint="33"/>
            <w:vAlign w:val="center"/>
          </w:tcPr>
          <w:p w:rsidR="006E66AF" w:rsidRPr="00BC3A61" w:rsidRDefault="006E66AF" w:rsidP="00E247AA">
            <w:pPr>
              <w:spacing w:line="276" w:lineRule="auto"/>
              <w:jc w:val="center"/>
              <w:rPr>
                <w:rFonts w:ascii="Lato" w:hAnsi="Lato"/>
                <w:sz w:val="20"/>
                <w:szCs w:val="20"/>
              </w:rPr>
            </w:pPr>
            <w:r w:rsidRPr="00BC3A61">
              <w:rPr>
                <w:rFonts w:ascii="Lato" w:hAnsi="Lato"/>
                <w:sz w:val="20"/>
                <w:szCs w:val="20"/>
              </w:rPr>
              <w:t>0.0181</w:t>
            </w:r>
          </w:p>
        </w:tc>
        <w:tc>
          <w:tcPr>
            <w:tcW w:w="0" w:type="auto"/>
            <w:tcBorders>
              <w:top w:val="nil"/>
              <w:left w:val="nil"/>
              <w:bottom w:val="single" w:sz="8" w:space="0" w:color="4F81BD"/>
              <w:right w:val="nil"/>
            </w:tcBorders>
            <w:shd w:val="clear" w:color="auto" w:fill="E2EFD9" w:themeFill="accent6" w:themeFillTint="33"/>
            <w:vAlign w:val="center"/>
          </w:tcPr>
          <w:p w:rsidR="006E66AF" w:rsidRPr="00BC3A61" w:rsidRDefault="006E66AF" w:rsidP="00E247AA">
            <w:pPr>
              <w:spacing w:line="276" w:lineRule="auto"/>
              <w:jc w:val="center"/>
              <w:rPr>
                <w:rFonts w:ascii="Lato" w:hAnsi="Lato"/>
                <w:sz w:val="20"/>
                <w:szCs w:val="20"/>
              </w:rPr>
            </w:pPr>
            <w:r w:rsidRPr="00BC3A61">
              <w:rPr>
                <w:rFonts w:ascii="Lato" w:hAnsi="Lato"/>
                <w:sz w:val="20"/>
                <w:szCs w:val="20"/>
              </w:rPr>
              <w:t>0.0188</w:t>
            </w:r>
          </w:p>
        </w:tc>
        <w:tc>
          <w:tcPr>
            <w:tcW w:w="0" w:type="auto"/>
            <w:tcBorders>
              <w:top w:val="nil"/>
              <w:left w:val="nil"/>
              <w:bottom w:val="single" w:sz="8" w:space="0" w:color="4F81BD"/>
              <w:right w:val="nil"/>
            </w:tcBorders>
            <w:shd w:val="clear" w:color="auto" w:fill="E2EFD9" w:themeFill="accent6" w:themeFillTint="33"/>
            <w:vAlign w:val="center"/>
          </w:tcPr>
          <w:p w:rsidR="006E66AF" w:rsidRPr="00BC3A61" w:rsidRDefault="006E66AF" w:rsidP="00E247AA">
            <w:pPr>
              <w:spacing w:line="276" w:lineRule="auto"/>
              <w:jc w:val="center"/>
              <w:rPr>
                <w:rFonts w:ascii="Lato" w:hAnsi="Lato"/>
                <w:sz w:val="20"/>
                <w:szCs w:val="20"/>
              </w:rPr>
            </w:pPr>
            <w:r w:rsidRPr="00BC3A61">
              <w:rPr>
                <w:rFonts w:ascii="Lato" w:hAnsi="Lato"/>
                <w:sz w:val="20"/>
                <w:szCs w:val="20"/>
              </w:rPr>
              <w:t>0.0210</w:t>
            </w:r>
          </w:p>
        </w:tc>
        <w:tc>
          <w:tcPr>
            <w:tcW w:w="0" w:type="auto"/>
            <w:tcBorders>
              <w:top w:val="nil"/>
              <w:left w:val="nil"/>
              <w:bottom w:val="single" w:sz="8" w:space="0" w:color="4F81BD"/>
              <w:right w:val="nil"/>
            </w:tcBorders>
            <w:shd w:val="clear" w:color="auto" w:fill="E2EFD9" w:themeFill="accent6" w:themeFillTint="33"/>
            <w:vAlign w:val="center"/>
          </w:tcPr>
          <w:p w:rsidR="006E66AF" w:rsidRPr="00BC3A61" w:rsidRDefault="006E66AF" w:rsidP="00E247AA">
            <w:pPr>
              <w:spacing w:line="276" w:lineRule="auto"/>
              <w:jc w:val="center"/>
              <w:rPr>
                <w:rFonts w:ascii="Lato" w:hAnsi="Lato"/>
                <w:sz w:val="20"/>
                <w:szCs w:val="20"/>
              </w:rPr>
            </w:pPr>
            <w:r w:rsidRPr="00BC3A61">
              <w:rPr>
                <w:rFonts w:ascii="Lato" w:hAnsi="Lato"/>
                <w:sz w:val="20"/>
                <w:szCs w:val="20"/>
              </w:rPr>
              <w:t>0.0208</w:t>
            </w:r>
          </w:p>
        </w:tc>
        <w:tc>
          <w:tcPr>
            <w:tcW w:w="0" w:type="auto"/>
            <w:tcBorders>
              <w:top w:val="nil"/>
              <w:left w:val="nil"/>
              <w:bottom w:val="single" w:sz="8" w:space="0" w:color="4F81BD"/>
              <w:right w:val="nil"/>
            </w:tcBorders>
            <w:shd w:val="clear" w:color="auto" w:fill="E2EFD9" w:themeFill="accent6" w:themeFillTint="33"/>
            <w:vAlign w:val="center"/>
          </w:tcPr>
          <w:p w:rsidR="006E66AF" w:rsidRPr="00BC3A61" w:rsidRDefault="006E66AF" w:rsidP="00E247AA">
            <w:pPr>
              <w:spacing w:line="276" w:lineRule="auto"/>
              <w:jc w:val="center"/>
              <w:rPr>
                <w:rFonts w:ascii="Lato" w:hAnsi="Lato"/>
                <w:sz w:val="20"/>
                <w:szCs w:val="20"/>
              </w:rPr>
            </w:pPr>
            <w:r w:rsidRPr="00BC3A61">
              <w:rPr>
                <w:rFonts w:ascii="Lato" w:hAnsi="Lato"/>
                <w:sz w:val="20"/>
                <w:szCs w:val="20"/>
              </w:rPr>
              <w:t>0.0195</w:t>
            </w:r>
          </w:p>
        </w:tc>
        <w:tc>
          <w:tcPr>
            <w:tcW w:w="0" w:type="auto"/>
            <w:tcBorders>
              <w:top w:val="nil"/>
              <w:left w:val="nil"/>
              <w:bottom w:val="single" w:sz="8" w:space="0" w:color="4F81BD"/>
              <w:right w:val="nil"/>
            </w:tcBorders>
            <w:shd w:val="clear" w:color="auto" w:fill="E2EFD9" w:themeFill="accent6" w:themeFillTint="33"/>
            <w:vAlign w:val="center"/>
          </w:tcPr>
          <w:p w:rsidR="006E66AF" w:rsidRPr="00BC3A61" w:rsidRDefault="006E66AF" w:rsidP="00E247AA">
            <w:pPr>
              <w:spacing w:line="276" w:lineRule="auto"/>
              <w:jc w:val="center"/>
              <w:rPr>
                <w:rFonts w:ascii="Lato" w:hAnsi="Lato"/>
                <w:sz w:val="20"/>
                <w:szCs w:val="20"/>
              </w:rPr>
            </w:pPr>
            <w:r w:rsidRPr="00BC3A61">
              <w:rPr>
                <w:rFonts w:ascii="Lato" w:hAnsi="Lato"/>
                <w:sz w:val="20"/>
                <w:szCs w:val="20"/>
              </w:rPr>
              <w:t>0.0182</w:t>
            </w:r>
          </w:p>
        </w:tc>
        <w:tc>
          <w:tcPr>
            <w:tcW w:w="0" w:type="auto"/>
            <w:tcBorders>
              <w:top w:val="nil"/>
              <w:left w:val="nil"/>
              <w:bottom w:val="single" w:sz="8" w:space="0" w:color="4F81BD"/>
              <w:right w:val="nil"/>
            </w:tcBorders>
            <w:shd w:val="clear" w:color="auto" w:fill="E2EFD9" w:themeFill="accent6" w:themeFillTint="33"/>
          </w:tcPr>
          <w:p w:rsidR="006E66AF" w:rsidRPr="00BC3A61" w:rsidRDefault="006E66AF" w:rsidP="00E247AA">
            <w:pPr>
              <w:spacing w:line="276" w:lineRule="auto"/>
              <w:jc w:val="center"/>
              <w:rPr>
                <w:rFonts w:ascii="Lato" w:hAnsi="Lato"/>
                <w:sz w:val="20"/>
                <w:szCs w:val="20"/>
              </w:rPr>
            </w:pPr>
          </w:p>
        </w:tc>
        <w:tc>
          <w:tcPr>
            <w:tcW w:w="0" w:type="auto"/>
            <w:tcBorders>
              <w:top w:val="nil"/>
              <w:left w:val="nil"/>
              <w:bottom w:val="single" w:sz="8" w:space="0" w:color="4F81BD"/>
              <w:right w:val="nil"/>
            </w:tcBorders>
            <w:shd w:val="clear" w:color="auto" w:fill="E2EFD9" w:themeFill="accent6" w:themeFillTint="33"/>
            <w:vAlign w:val="center"/>
          </w:tcPr>
          <w:p w:rsidR="006E66AF" w:rsidRPr="00BC3A61" w:rsidRDefault="006E66AF" w:rsidP="00E247AA">
            <w:pPr>
              <w:spacing w:line="276" w:lineRule="auto"/>
              <w:jc w:val="center"/>
              <w:rPr>
                <w:rFonts w:ascii="Lato" w:hAnsi="Lato"/>
                <w:sz w:val="20"/>
                <w:szCs w:val="20"/>
              </w:rPr>
            </w:pPr>
            <w:r w:rsidRPr="00BC3A61">
              <w:rPr>
                <w:rFonts w:ascii="Lato" w:hAnsi="Lato"/>
                <w:sz w:val="20"/>
                <w:szCs w:val="20"/>
              </w:rPr>
              <w:t>0.0179</w:t>
            </w:r>
          </w:p>
        </w:tc>
        <w:tc>
          <w:tcPr>
            <w:tcW w:w="0" w:type="auto"/>
            <w:tcBorders>
              <w:top w:val="nil"/>
              <w:left w:val="nil"/>
              <w:bottom w:val="single" w:sz="8" w:space="0" w:color="4F81BD"/>
              <w:right w:val="nil"/>
            </w:tcBorders>
            <w:shd w:val="clear" w:color="auto" w:fill="D3DFEE"/>
          </w:tcPr>
          <w:p w:rsidR="006E66AF" w:rsidRPr="00BC3A61" w:rsidRDefault="006E66AF" w:rsidP="00E247AA">
            <w:pPr>
              <w:spacing w:line="276" w:lineRule="auto"/>
              <w:jc w:val="center"/>
              <w:rPr>
                <w:rFonts w:ascii="Lato" w:hAnsi="Lato"/>
                <w:sz w:val="20"/>
                <w:szCs w:val="20"/>
              </w:rPr>
            </w:pPr>
          </w:p>
        </w:tc>
        <w:tc>
          <w:tcPr>
            <w:tcW w:w="0" w:type="auto"/>
            <w:tcBorders>
              <w:top w:val="nil"/>
              <w:left w:val="nil"/>
              <w:bottom w:val="single" w:sz="8" w:space="0" w:color="4F81BD"/>
              <w:right w:val="nil"/>
            </w:tcBorders>
            <w:shd w:val="clear" w:color="auto" w:fill="D3DFEE"/>
          </w:tcPr>
          <w:p w:rsidR="006E66AF" w:rsidRPr="00BC3A61" w:rsidRDefault="006E66AF" w:rsidP="00E247AA">
            <w:pPr>
              <w:spacing w:line="276" w:lineRule="auto"/>
              <w:jc w:val="center"/>
              <w:rPr>
                <w:rFonts w:ascii="Lato" w:hAnsi="Lato"/>
                <w:sz w:val="20"/>
                <w:szCs w:val="20"/>
              </w:rPr>
            </w:pPr>
          </w:p>
        </w:tc>
        <w:tc>
          <w:tcPr>
            <w:tcW w:w="0" w:type="auto"/>
            <w:tcBorders>
              <w:top w:val="nil"/>
              <w:left w:val="nil"/>
              <w:bottom w:val="single" w:sz="8" w:space="0" w:color="4F81BD"/>
              <w:right w:val="nil"/>
            </w:tcBorders>
            <w:shd w:val="clear" w:color="auto" w:fill="D3DFEE"/>
          </w:tcPr>
          <w:p w:rsidR="006E66AF" w:rsidRPr="00BC3A61" w:rsidRDefault="006E66AF" w:rsidP="00E247AA">
            <w:pPr>
              <w:spacing w:line="276" w:lineRule="auto"/>
              <w:jc w:val="center"/>
              <w:rPr>
                <w:rFonts w:ascii="Lato" w:hAnsi="Lato"/>
                <w:sz w:val="20"/>
                <w:szCs w:val="20"/>
              </w:rPr>
            </w:pPr>
          </w:p>
        </w:tc>
      </w:tr>
    </w:tbl>
    <w:p w:rsidR="006E66AF" w:rsidRPr="00BC3A61" w:rsidRDefault="006E66AF" w:rsidP="006E66AF">
      <w:pPr>
        <w:jc w:val="both"/>
        <w:rPr>
          <w:rFonts w:ascii="Lato" w:hAnsi="Lato"/>
          <w:sz w:val="20"/>
          <w:szCs w:val="20"/>
          <w:lang w:eastAsia="es-ES"/>
        </w:rPr>
      </w:pPr>
      <w:r w:rsidRPr="00BC3A61">
        <w:rPr>
          <w:rFonts w:ascii="Lato" w:hAnsi="Lato"/>
          <w:sz w:val="20"/>
          <w:szCs w:val="20"/>
        </w:rPr>
        <w:t xml:space="preserve">Fuente: </w:t>
      </w:r>
      <w:r w:rsidRPr="00BC3A61">
        <w:rPr>
          <w:rFonts w:ascii="Lato" w:hAnsi="Lato"/>
          <w:sz w:val="20"/>
          <w:szCs w:val="20"/>
          <w:vertAlign w:val="superscript"/>
        </w:rPr>
        <w:t>1</w:t>
      </w:r>
      <w:r w:rsidRPr="00BC3A61">
        <w:rPr>
          <w:rFonts w:ascii="Lato" w:hAnsi="Lato"/>
          <w:sz w:val="20"/>
          <w:szCs w:val="20"/>
        </w:rPr>
        <w:t>INEGI</w:t>
      </w:r>
    </w:p>
    <w:p w:rsidR="006E66AF" w:rsidRPr="00BC3A61" w:rsidRDefault="006E66AF" w:rsidP="006E66AF">
      <w:pPr>
        <w:jc w:val="both"/>
        <w:rPr>
          <w:rFonts w:ascii="Lato" w:hAnsi="Lato"/>
          <w:b/>
          <w:bCs/>
          <w:sz w:val="20"/>
          <w:szCs w:val="20"/>
        </w:rPr>
      </w:pPr>
      <w:r w:rsidRPr="00BC3A61">
        <w:rPr>
          <w:rFonts w:ascii="Lato" w:hAnsi="Lato"/>
          <w:b/>
          <w:bCs/>
          <w:sz w:val="20"/>
          <w:szCs w:val="20"/>
        </w:rPr>
        <w:t>Deuda respecto a la Recaudación</w:t>
      </w:r>
    </w:p>
    <w:p w:rsidR="006E66AF" w:rsidRPr="00BC3A61" w:rsidRDefault="006E66AF" w:rsidP="006E66AF">
      <w:pPr>
        <w:jc w:val="both"/>
        <w:rPr>
          <w:rFonts w:ascii="Lato" w:hAnsi="Lato"/>
          <w:sz w:val="20"/>
          <w:szCs w:val="20"/>
        </w:rPr>
      </w:pPr>
      <w:r w:rsidRPr="00BC3A61">
        <w:rPr>
          <w:rFonts w:ascii="Lato" w:hAnsi="Lato"/>
          <w:sz w:val="20"/>
          <w:szCs w:val="20"/>
        </w:rPr>
        <w:t>El saldo de la Deuda Pública de largo plazo a cargo del Estado con respecto a la Recaudación del Estado del período comprendido de 2015 a septiembre 2026 se comportó de la siguiente manera.</w:t>
      </w:r>
    </w:p>
    <w:tbl>
      <w:tblPr>
        <w:tblW w:w="9439" w:type="dxa"/>
        <w:tblCellMar>
          <w:left w:w="0" w:type="dxa"/>
          <w:right w:w="0" w:type="dxa"/>
        </w:tblCellMar>
        <w:tblLook w:val="04A0" w:firstRow="1" w:lastRow="0" w:firstColumn="1" w:lastColumn="0" w:noHBand="0" w:noVBand="1"/>
      </w:tblPr>
      <w:tblGrid>
        <w:gridCol w:w="2173"/>
        <w:gridCol w:w="680"/>
        <w:gridCol w:w="680"/>
        <w:gridCol w:w="681"/>
        <w:gridCol w:w="681"/>
        <w:gridCol w:w="523"/>
        <w:gridCol w:w="523"/>
        <w:gridCol w:w="523"/>
        <w:gridCol w:w="7"/>
        <w:gridCol w:w="7"/>
        <w:gridCol w:w="7"/>
        <w:gridCol w:w="523"/>
        <w:gridCol w:w="523"/>
        <w:gridCol w:w="7"/>
        <w:gridCol w:w="523"/>
        <w:gridCol w:w="523"/>
        <w:gridCol w:w="7"/>
        <w:gridCol w:w="848"/>
      </w:tblGrid>
      <w:tr w:rsidR="006E66AF" w:rsidRPr="00BC3A61" w:rsidTr="00E247AA">
        <w:trPr>
          <w:trHeight w:val="284"/>
        </w:trPr>
        <w:tc>
          <w:tcPr>
            <w:tcW w:w="0" w:type="auto"/>
            <w:tcBorders>
              <w:top w:val="single" w:sz="8" w:space="0" w:color="4F81BD"/>
              <w:left w:val="nil"/>
              <w:bottom w:val="single" w:sz="8" w:space="0" w:color="4F81BD"/>
              <w:right w:val="nil"/>
            </w:tcBorders>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b/>
                <w:bCs/>
                <w:sz w:val="20"/>
                <w:szCs w:val="20"/>
              </w:rPr>
            </w:pPr>
            <w:r w:rsidRPr="00BC3A61">
              <w:rPr>
                <w:rFonts w:ascii="Lato" w:hAnsi="Lato"/>
                <w:b/>
                <w:bCs/>
                <w:sz w:val="20"/>
                <w:szCs w:val="20"/>
              </w:rPr>
              <w:t>Concepto</w:t>
            </w:r>
          </w:p>
        </w:tc>
        <w:tc>
          <w:tcPr>
            <w:tcW w:w="0" w:type="auto"/>
            <w:tcBorders>
              <w:top w:val="single" w:sz="8" w:space="0" w:color="4F81BD"/>
              <w:left w:val="nil"/>
              <w:bottom w:val="single" w:sz="8" w:space="0" w:color="4F81BD"/>
              <w:right w:val="nil"/>
            </w:tcBorders>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b/>
                <w:bCs/>
                <w:sz w:val="20"/>
                <w:szCs w:val="20"/>
              </w:rPr>
            </w:pPr>
            <w:r w:rsidRPr="00BC3A61">
              <w:rPr>
                <w:rFonts w:ascii="Lato" w:hAnsi="Lato"/>
                <w:b/>
                <w:bCs/>
                <w:sz w:val="20"/>
                <w:szCs w:val="20"/>
              </w:rPr>
              <w:t>2015</w:t>
            </w:r>
          </w:p>
        </w:tc>
        <w:tc>
          <w:tcPr>
            <w:tcW w:w="0" w:type="auto"/>
            <w:tcBorders>
              <w:top w:val="single" w:sz="8" w:space="0" w:color="4F81BD"/>
              <w:left w:val="nil"/>
              <w:bottom w:val="single" w:sz="8" w:space="0" w:color="4F81BD"/>
              <w:right w:val="nil"/>
            </w:tcBorders>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b/>
                <w:bCs/>
                <w:sz w:val="20"/>
                <w:szCs w:val="20"/>
              </w:rPr>
            </w:pPr>
            <w:r w:rsidRPr="00BC3A61">
              <w:rPr>
                <w:rFonts w:ascii="Lato" w:hAnsi="Lato"/>
                <w:b/>
                <w:bCs/>
                <w:sz w:val="20"/>
                <w:szCs w:val="20"/>
              </w:rPr>
              <w:t>2016</w:t>
            </w:r>
          </w:p>
        </w:tc>
        <w:tc>
          <w:tcPr>
            <w:tcW w:w="0" w:type="auto"/>
            <w:tcBorders>
              <w:top w:val="single" w:sz="8" w:space="0" w:color="4F81BD"/>
              <w:left w:val="nil"/>
              <w:bottom w:val="single" w:sz="8" w:space="0" w:color="4F81BD"/>
              <w:right w:val="nil"/>
            </w:tcBorders>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b/>
                <w:bCs/>
                <w:sz w:val="20"/>
                <w:szCs w:val="20"/>
              </w:rPr>
            </w:pPr>
            <w:r w:rsidRPr="00BC3A61">
              <w:rPr>
                <w:rFonts w:ascii="Lato" w:hAnsi="Lato"/>
                <w:b/>
                <w:bCs/>
                <w:sz w:val="20"/>
                <w:szCs w:val="20"/>
              </w:rPr>
              <w:t>2017</w:t>
            </w:r>
          </w:p>
        </w:tc>
        <w:tc>
          <w:tcPr>
            <w:tcW w:w="0" w:type="auto"/>
            <w:tcBorders>
              <w:top w:val="single" w:sz="8" w:space="0" w:color="4F81BD"/>
              <w:left w:val="nil"/>
              <w:bottom w:val="single" w:sz="8" w:space="0" w:color="4F81BD"/>
              <w:right w:val="nil"/>
            </w:tcBorders>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b/>
                <w:bCs/>
                <w:sz w:val="20"/>
                <w:szCs w:val="20"/>
              </w:rPr>
            </w:pPr>
            <w:r w:rsidRPr="00BC3A61">
              <w:rPr>
                <w:rFonts w:ascii="Lato" w:hAnsi="Lato"/>
                <w:b/>
                <w:bCs/>
                <w:sz w:val="20"/>
                <w:szCs w:val="20"/>
              </w:rPr>
              <w:t>2018</w:t>
            </w:r>
          </w:p>
        </w:tc>
        <w:tc>
          <w:tcPr>
            <w:tcW w:w="0" w:type="auto"/>
            <w:tcBorders>
              <w:top w:val="single" w:sz="8" w:space="0" w:color="4F81BD"/>
              <w:left w:val="nil"/>
              <w:bottom w:val="single" w:sz="8" w:space="0" w:color="4F81BD"/>
              <w:right w:val="nil"/>
            </w:tcBorders>
            <w:vAlign w:val="center"/>
            <w:hideMark/>
          </w:tcPr>
          <w:p w:rsidR="006E66AF" w:rsidRPr="00BC3A61" w:rsidRDefault="006E66AF" w:rsidP="00E247AA">
            <w:pPr>
              <w:spacing w:line="276" w:lineRule="auto"/>
              <w:jc w:val="both"/>
              <w:rPr>
                <w:rFonts w:ascii="Lato" w:hAnsi="Lato"/>
                <w:b/>
                <w:bCs/>
                <w:sz w:val="20"/>
                <w:szCs w:val="20"/>
              </w:rPr>
            </w:pPr>
            <w:r w:rsidRPr="00BC3A61">
              <w:rPr>
                <w:rFonts w:ascii="Lato" w:hAnsi="Lato"/>
                <w:b/>
                <w:bCs/>
                <w:sz w:val="20"/>
                <w:szCs w:val="20"/>
              </w:rPr>
              <w:t>2019</w:t>
            </w:r>
          </w:p>
        </w:tc>
        <w:tc>
          <w:tcPr>
            <w:tcW w:w="0" w:type="auto"/>
            <w:tcBorders>
              <w:top w:val="single" w:sz="8" w:space="0" w:color="4F81BD"/>
              <w:left w:val="nil"/>
              <w:bottom w:val="single" w:sz="8" w:space="0" w:color="4F81BD"/>
              <w:right w:val="nil"/>
            </w:tcBorders>
            <w:vAlign w:val="center"/>
          </w:tcPr>
          <w:p w:rsidR="006E66AF" w:rsidRPr="00BC3A61" w:rsidRDefault="006E66AF" w:rsidP="00E247AA">
            <w:pPr>
              <w:spacing w:line="276" w:lineRule="auto"/>
              <w:jc w:val="center"/>
              <w:rPr>
                <w:rFonts w:ascii="Lato" w:hAnsi="Lato"/>
                <w:b/>
                <w:bCs/>
                <w:sz w:val="20"/>
                <w:szCs w:val="20"/>
              </w:rPr>
            </w:pPr>
            <w:r w:rsidRPr="00BC3A61">
              <w:rPr>
                <w:rFonts w:ascii="Lato" w:hAnsi="Lato"/>
                <w:b/>
                <w:bCs/>
                <w:sz w:val="20"/>
                <w:szCs w:val="20"/>
              </w:rPr>
              <w:t>2020</w:t>
            </w:r>
          </w:p>
        </w:tc>
        <w:tc>
          <w:tcPr>
            <w:tcW w:w="0" w:type="auto"/>
            <w:tcBorders>
              <w:top w:val="single" w:sz="8" w:space="0" w:color="4F81BD"/>
              <w:left w:val="nil"/>
              <w:bottom w:val="single" w:sz="8" w:space="0" w:color="4F81BD"/>
              <w:right w:val="nil"/>
            </w:tcBorders>
            <w:vAlign w:val="center"/>
          </w:tcPr>
          <w:p w:rsidR="006E66AF" w:rsidRPr="00BC3A61" w:rsidRDefault="006E66AF" w:rsidP="00E247AA">
            <w:pPr>
              <w:spacing w:line="276" w:lineRule="auto"/>
              <w:jc w:val="center"/>
              <w:rPr>
                <w:rFonts w:ascii="Lato" w:hAnsi="Lato"/>
                <w:b/>
                <w:bCs/>
                <w:sz w:val="20"/>
                <w:szCs w:val="20"/>
              </w:rPr>
            </w:pPr>
            <w:r w:rsidRPr="00BC3A61">
              <w:rPr>
                <w:rFonts w:ascii="Lato" w:hAnsi="Lato"/>
                <w:b/>
                <w:bCs/>
                <w:sz w:val="20"/>
                <w:szCs w:val="20"/>
              </w:rPr>
              <w:t>2021</w:t>
            </w:r>
          </w:p>
        </w:tc>
        <w:tc>
          <w:tcPr>
            <w:tcW w:w="0" w:type="auto"/>
            <w:tcBorders>
              <w:top w:val="single" w:sz="8" w:space="0" w:color="4F81BD"/>
              <w:left w:val="nil"/>
              <w:bottom w:val="single" w:sz="8" w:space="0" w:color="4F81BD"/>
              <w:right w:val="nil"/>
            </w:tcBorders>
          </w:tcPr>
          <w:p w:rsidR="006E66AF" w:rsidRPr="00BC3A61" w:rsidRDefault="006E66AF" w:rsidP="00E247AA">
            <w:pPr>
              <w:spacing w:line="276" w:lineRule="auto"/>
              <w:jc w:val="both"/>
              <w:rPr>
                <w:rFonts w:ascii="Lato" w:hAnsi="Lato"/>
                <w:b/>
                <w:bCs/>
                <w:sz w:val="20"/>
                <w:szCs w:val="20"/>
              </w:rPr>
            </w:pPr>
          </w:p>
        </w:tc>
        <w:tc>
          <w:tcPr>
            <w:tcW w:w="0" w:type="auto"/>
            <w:tcBorders>
              <w:top w:val="single" w:sz="8" w:space="0" w:color="4F81BD"/>
              <w:left w:val="nil"/>
              <w:bottom w:val="single" w:sz="8" w:space="0" w:color="4F81BD"/>
              <w:right w:val="nil"/>
            </w:tcBorders>
          </w:tcPr>
          <w:p w:rsidR="006E66AF" w:rsidRPr="00BC3A61" w:rsidRDefault="006E66AF" w:rsidP="00E247AA">
            <w:pPr>
              <w:spacing w:line="276" w:lineRule="auto"/>
              <w:jc w:val="both"/>
              <w:rPr>
                <w:rFonts w:ascii="Lato" w:hAnsi="Lato"/>
                <w:b/>
                <w:bCs/>
                <w:sz w:val="20"/>
                <w:szCs w:val="20"/>
              </w:rPr>
            </w:pPr>
          </w:p>
        </w:tc>
        <w:tc>
          <w:tcPr>
            <w:tcW w:w="0" w:type="auto"/>
            <w:tcBorders>
              <w:top w:val="single" w:sz="8" w:space="0" w:color="4F81BD"/>
              <w:left w:val="nil"/>
              <w:bottom w:val="single" w:sz="8" w:space="0" w:color="4F81BD"/>
              <w:right w:val="nil"/>
            </w:tcBorders>
          </w:tcPr>
          <w:p w:rsidR="006E66AF" w:rsidRPr="00BC3A61" w:rsidRDefault="006E66AF" w:rsidP="00E247AA">
            <w:pPr>
              <w:spacing w:line="276" w:lineRule="auto"/>
              <w:jc w:val="both"/>
              <w:rPr>
                <w:rFonts w:ascii="Lato" w:hAnsi="Lato"/>
                <w:b/>
                <w:bCs/>
                <w:sz w:val="20"/>
                <w:szCs w:val="20"/>
              </w:rPr>
            </w:pPr>
          </w:p>
        </w:tc>
        <w:tc>
          <w:tcPr>
            <w:tcW w:w="0" w:type="auto"/>
            <w:tcBorders>
              <w:top w:val="single" w:sz="8" w:space="0" w:color="4F81BD"/>
              <w:left w:val="nil"/>
              <w:bottom w:val="single" w:sz="8" w:space="0" w:color="4F81BD"/>
              <w:right w:val="nil"/>
            </w:tcBorders>
            <w:vAlign w:val="center"/>
          </w:tcPr>
          <w:p w:rsidR="006E66AF" w:rsidRPr="00BC3A61" w:rsidRDefault="006E66AF" w:rsidP="00E247AA">
            <w:pPr>
              <w:spacing w:line="276" w:lineRule="auto"/>
              <w:jc w:val="center"/>
              <w:rPr>
                <w:rFonts w:ascii="Lato" w:hAnsi="Lato"/>
                <w:b/>
                <w:bCs/>
                <w:sz w:val="20"/>
                <w:szCs w:val="20"/>
              </w:rPr>
            </w:pPr>
            <w:r w:rsidRPr="00BC3A61">
              <w:rPr>
                <w:rFonts w:ascii="Lato" w:hAnsi="Lato"/>
                <w:b/>
                <w:bCs/>
                <w:sz w:val="20"/>
                <w:szCs w:val="20"/>
              </w:rPr>
              <w:t>2022</w:t>
            </w:r>
          </w:p>
        </w:tc>
        <w:tc>
          <w:tcPr>
            <w:tcW w:w="0" w:type="auto"/>
            <w:tcBorders>
              <w:top w:val="single" w:sz="8" w:space="0" w:color="4F81BD"/>
              <w:left w:val="nil"/>
              <w:bottom w:val="single" w:sz="8" w:space="0" w:color="4F81BD"/>
              <w:right w:val="nil"/>
            </w:tcBorders>
            <w:vAlign w:val="center"/>
          </w:tcPr>
          <w:p w:rsidR="006E66AF" w:rsidRPr="00BC3A61" w:rsidRDefault="006E66AF" w:rsidP="00E247AA">
            <w:pPr>
              <w:spacing w:line="276" w:lineRule="auto"/>
              <w:jc w:val="center"/>
              <w:rPr>
                <w:rFonts w:ascii="Lato" w:hAnsi="Lato"/>
                <w:b/>
                <w:bCs/>
                <w:sz w:val="20"/>
                <w:szCs w:val="20"/>
              </w:rPr>
            </w:pPr>
            <w:r w:rsidRPr="00BC3A61">
              <w:rPr>
                <w:rFonts w:ascii="Lato" w:hAnsi="Lato"/>
                <w:b/>
                <w:bCs/>
                <w:sz w:val="20"/>
                <w:szCs w:val="20"/>
              </w:rPr>
              <w:t>2023</w:t>
            </w:r>
          </w:p>
        </w:tc>
        <w:tc>
          <w:tcPr>
            <w:tcW w:w="0" w:type="auto"/>
            <w:tcBorders>
              <w:top w:val="single" w:sz="8" w:space="0" w:color="4F81BD"/>
              <w:left w:val="nil"/>
              <w:bottom w:val="single" w:sz="8" w:space="0" w:color="4F81BD"/>
              <w:right w:val="nil"/>
            </w:tcBorders>
          </w:tcPr>
          <w:p w:rsidR="006E66AF" w:rsidRPr="00BC3A61" w:rsidRDefault="006E66AF" w:rsidP="00E247AA">
            <w:pPr>
              <w:spacing w:line="276" w:lineRule="auto"/>
              <w:jc w:val="center"/>
              <w:rPr>
                <w:rFonts w:ascii="Lato" w:hAnsi="Lato"/>
                <w:b/>
                <w:bCs/>
                <w:sz w:val="20"/>
                <w:szCs w:val="20"/>
              </w:rPr>
            </w:pPr>
          </w:p>
        </w:tc>
        <w:tc>
          <w:tcPr>
            <w:tcW w:w="0" w:type="auto"/>
            <w:tcBorders>
              <w:top w:val="single" w:sz="8" w:space="0" w:color="4F81BD"/>
              <w:left w:val="nil"/>
              <w:bottom w:val="single" w:sz="8" w:space="0" w:color="4F81BD"/>
              <w:right w:val="nil"/>
            </w:tcBorders>
            <w:vAlign w:val="center"/>
          </w:tcPr>
          <w:p w:rsidR="006E66AF" w:rsidRPr="00BC3A61" w:rsidRDefault="006E66AF" w:rsidP="00E247AA">
            <w:pPr>
              <w:spacing w:line="276" w:lineRule="auto"/>
              <w:jc w:val="center"/>
              <w:rPr>
                <w:rFonts w:ascii="Lato" w:hAnsi="Lato"/>
                <w:b/>
                <w:bCs/>
                <w:sz w:val="20"/>
                <w:szCs w:val="20"/>
              </w:rPr>
            </w:pPr>
            <w:r w:rsidRPr="00BC3A61">
              <w:rPr>
                <w:rFonts w:ascii="Lato" w:hAnsi="Lato"/>
                <w:b/>
                <w:bCs/>
                <w:sz w:val="20"/>
                <w:szCs w:val="20"/>
              </w:rPr>
              <w:t>2024</w:t>
            </w:r>
          </w:p>
        </w:tc>
        <w:tc>
          <w:tcPr>
            <w:tcW w:w="0" w:type="auto"/>
            <w:tcBorders>
              <w:top w:val="single" w:sz="8" w:space="0" w:color="4F81BD"/>
              <w:left w:val="nil"/>
              <w:bottom w:val="single" w:sz="8" w:space="0" w:color="4F81BD"/>
              <w:right w:val="nil"/>
            </w:tcBorders>
            <w:vAlign w:val="center"/>
          </w:tcPr>
          <w:p w:rsidR="006E66AF" w:rsidRPr="00BC3A61" w:rsidRDefault="006E66AF" w:rsidP="00E247AA">
            <w:pPr>
              <w:spacing w:line="276" w:lineRule="auto"/>
              <w:jc w:val="center"/>
              <w:rPr>
                <w:rFonts w:ascii="Lato" w:hAnsi="Lato"/>
                <w:b/>
                <w:bCs/>
                <w:sz w:val="20"/>
                <w:szCs w:val="20"/>
              </w:rPr>
            </w:pPr>
            <w:r w:rsidRPr="00BC3A61">
              <w:rPr>
                <w:rFonts w:ascii="Lato" w:hAnsi="Lato"/>
                <w:b/>
                <w:bCs/>
                <w:sz w:val="20"/>
                <w:szCs w:val="20"/>
              </w:rPr>
              <w:t>2025</w:t>
            </w:r>
          </w:p>
        </w:tc>
        <w:tc>
          <w:tcPr>
            <w:tcW w:w="0" w:type="auto"/>
            <w:tcBorders>
              <w:top w:val="single" w:sz="8" w:space="0" w:color="4F81BD"/>
              <w:left w:val="nil"/>
              <w:bottom w:val="single" w:sz="8" w:space="0" w:color="4F81BD"/>
              <w:right w:val="nil"/>
            </w:tcBorders>
          </w:tcPr>
          <w:p w:rsidR="006E66AF" w:rsidRPr="00BC3A61" w:rsidRDefault="006E66AF" w:rsidP="00E247AA">
            <w:pPr>
              <w:spacing w:line="276" w:lineRule="auto"/>
              <w:jc w:val="center"/>
              <w:rPr>
                <w:rFonts w:ascii="Lato" w:hAnsi="Lato"/>
                <w:b/>
                <w:bCs/>
                <w:sz w:val="20"/>
                <w:szCs w:val="20"/>
              </w:rPr>
            </w:pPr>
          </w:p>
        </w:tc>
        <w:tc>
          <w:tcPr>
            <w:tcW w:w="0" w:type="auto"/>
            <w:tcBorders>
              <w:top w:val="single" w:sz="8" w:space="0" w:color="4F81BD"/>
              <w:left w:val="nil"/>
              <w:bottom w:val="single" w:sz="8" w:space="0" w:color="4F81BD"/>
              <w:right w:val="nil"/>
            </w:tcBorders>
            <w:vAlign w:val="center"/>
          </w:tcPr>
          <w:p w:rsidR="006E66AF" w:rsidRPr="00BC3A61" w:rsidRDefault="006E66AF" w:rsidP="00E247AA">
            <w:pPr>
              <w:spacing w:line="276" w:lineRule="auto"/>
              <w:jc w:val="center"/>
              <w:rPr>
                <w:rFonts w:ascii="Lato" w:hAnsi="Lato"/>
                <w:b/>
                <w:bCs/>
                <w:sz w:val="20"/>
                <w:szCs w:val="20"/>
              </w:rPr>
            </w:pPr>
            <w:r w:rsidRPr="00BC3A61">
              <w:rPr>
                <w:rFonts w:ascii="Lato" w:hAnsi="Lato"/>
                <w:b/>
                <w:bCs/>
                <w:sz w:val="20"/>
                <w:szCs w:val="20"/>
              </w:rPr>
              <w:t>IIT 2026</w:t>
            </w:r>
          </w:p>
        </w:tc>
      </w:tr>
      <w:tr w:rsidR="006E66AF" w:rsidRPr="00BC3A61" w:rsidTr="00E247AA">
        <w:trPr>
          <w:trHeight w:val="284"/>
        </w:trPr>
        <w:tc>
          <w:tcPr>
            <w:tcW w:w="0" w:type="auto"/>
            <w:tcBorders>
              <w:top w:val="nil"/>
              <w:left w:val="nil"/>
              <w:bottom w:val="single" w:sz="8" w:space="0" w:color="4F81BD"/>
              <w:right w:val="nil"/>
            </w:tcBorders>
            <w:shd w:val="clear" w:color="auto" w:fill="E2EFD9" w:themeFill="accent6" w:themeFillTint="33"/>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sz w:val="20"/>
                <w:szCs w:val="20"/>
              </w:rPr>
            </w:pPr>
            <w:r w:rsidRPr="00BC3A61">
              <w:rPr>
                <w:rFonts w:ascii="Lato" w:hAnsi="Lato"/>
                <w:sz w:val="20"/>
                <w:szCs w:val="20"/>
              </w:rPr>
              <w:t>Deuda/Recaudación</w:t>
            </w:r>
          </w:p>
        </w:tc>
        <w:tc>
          <w:tcPr>
            <w:tcW w:w="0" w:type="auto"/>
            <w:tcBorders>
              <w:top w:val="nil"/>
              <w:left w:val="nil"/>
              <w:bottom w:val="single" w:sz="8" w:space="0" w:color="4F81BD"/>
              <w:right w:val="nil"/>
            </w:tcBorders>
            <w:shd w:val="clear" w:color="auto" w:fill="E2EFD9" w:themeFill="accent6" w:themeFillTint="33"/>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sz w:val="20"/>
                <w:szCs w:val="20"/>
              </w:rPr>
            </w:pPr>
            <w:r w:rsidRPr="00BC3A61">
              <w:rPr>
                <w:rFonts w:ascii="Lato" w:hAnsi="Lato"/>
                <w:sz w:val="20"/>
                <w:szCs w:val="20"/>
              </w:rPr>
              <w:t>0.81</w:t>
            </w:r>
          </w:p>
        </w:tc>
        <w:tc>
          <w:tcPr>
            <w:tcW w:w="0" w:type="auto"/>
            <w:tcBorders>
              <w:top w:val="nil"/>
              <w:left w:val="nil"/>
              <w:bottom w:val="single" w:sz="8" w:space="0" w:color="4F81BD"/>
              <w:right w:val="nil"/>
            </w:tcBorders>
            <w:shd w:val="clear" w:color="auto" w:fill="E2EFD9" w:themeFill="accent6" w:themeFillTint="33"/>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sz w:val="20"/>
                <w:szCs w:val="20"/>
              </w:rPr>
            </w:pPr>
            <w:r w:rsidRPr="00BC3A61">
              <w:rPr>
                <w:rFonts w:ascii="Lato" w:hAnsi="Lato"/>
                <w:sz w:val="20"/>
                <w:szCs w:val="20"/>
              </w:rPr>
              <w:t>0.88</w:t>
            </w:r>
          </w:p>
        </w:tc>
        <w:tc>
          <w:tcPr>
            <w:tcW w:w="0" w:type="auto"/>
            <w:tcBorders>
              <w:top w:val="nil"/>
              <w:left w:val="nil"/>
              <w:bottom w:val="single" w:sz="8" w:space="0" w:color="4F81BD"/>
              <w:right w:val="nil"/>
            </w:tcBorders>
            <w:shd w:val="clear" w:color="auto" w:fill="E2EFD9" w:themeFill="accent6" w:themeFillTint="33"/>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sz w:val="20"/>
                <w:szCs w:val="20"/>
              </w:rPr>
            </w:pPr>
            <w:r w:rsidRPr="00BC3A61">
              <w:rPr>
                <w:rFonts w:ascii="Lato" w:hAnsi="Lato"/>
                <w:sz w:val="20"/>
                <w:szCs w:val="20"/>
              </w:rPr>
              <w:t>0.97</w:t>
            </w:r>
          </w:p>
        </w:tc>
        <w:tc>
          <w:tcPr>
            <w:tcW w:w="0" w:type="auto"/>
            <w:tcBorders>
              <w:top w:val="nil"/>
              <w:left w:val="nil"/>
              <w:bottom w:val="single" w:sz="8" w:space="0" w:color="4F81BD"/>
              <w:right w:val="nil"/>
            </w:tcBorders>
            <w:shd w:val="clear" w:color="auto" w:fill="E2EFD9" w:themeFill="accent6" w:themeFillTint="33"/>
            <w:tcMar>
              <w:top w:w="0" w:type="dxa"/>
              <w:left w:w="70" w:type="dxa"/>
              <w:bottom w:w="0" w:type="dxa"/>
              <w:right w:w="70" w:type="dxa"/>
            </w:tcMar>
            <w:vAlign w:val="center"/>
            <w:hideMark/>
          </w:tcPr>
          <w:p w:rsidR="006E66AF" w:rsidRPr="00BC3A61" w:rsidRDefault="006E66AF" w:rsidP="00E247AA">
            <w:pPr>
              <w:spacing w:line="276" w:lineRule="auto"/>
              <w:jc w:val="both"/>
              <w:rPr>
                <w:rFonts w:ascii="Lato" w:hAnsi="Lato"/>
                <w:sz w:val="20"/>
                <w:szCs w:val="20"/>
              </w:rPr>
            </w:pPr>
            <w:r w:rsidRPr="00BC3A61">
              <w:rPr>
                <w:rFonts w:ascii="Lato" w:hAnsi="Lato"/>
                <w:sz w:val="20"/>
                <w:szCs w:val="20"/>
              </w:rPr>
              <w:t>0.91</w:t>
            </w:r>
          </w:p>
        </w:tc>
        <w:tc>
          <w:tcPr>
            <w:tcW w:w="0" w:type="auto"/>
            <w:tcBorders>
              <w:top w:val="nil"/>
              <w:left w:val="nil"/>
              <w:bottom w:val="single" w:sz="8" w:space="0" w:color="4F81BD"/>
              <w:right w:val="nil"/>
            </w:tcBorders>
            <w:shd w:val="clear" w:color="auto" w:fill="E2EFD9" w:themeFill="accent6" w:themeFillTint="33"/>
            <w:vAlign w:val="center"/>
            <w:hideMark/>
          </w:tcPr>
          <w:p w:rsidR="006E66AF" w:rsidRPr="00BC3A61" w:rsidRDefault="006E66AF" w:rsidP="00E247AA">
            <w:pPr>
              <w:spacing w:line="276" w:lineRule="auto"/>
              <w:jc w:val="both"/>
              <w:rPr>
                <w:rFonts w:ascii="Lato" w:hAnsi="Lato"/>
                <w:sz w:val="20"/>
                <w:szCs w:val="20"/>
              </w:rPr>
            </w:pPr>
            <w:r w:rsidRPr="00BC3A61">
              <w:rPr>
                <w:rFonts w:ascii="Lato" w:hAnsi="Lato"/>
                <w:sz w:val="20"/>
                <w:szCs w:val="20"/>
              </w:rPr>
              <w:t>1.16</w:t>
            </w:r>
          </w:p>
        </w:tc>
        <w:tc>
          <w:tcPr>
            <w:tcW w:w="0" w:type="auto"/>
            <w:tcBorders>
              <w:top w:val="nil"/>
              <w:left w:val="nil"/>
              <w:bottom w:val="single" w:sz="8" w:space="0" w:color="4F81BD"/>
              <w:right w:val="nil"/>
            </w:tcBorders>
            <w:shd w:val="clear" w:color="auto" w:fill="E2EFD9" w:themeFill="accent6" w:themeFillTint="33"/>
            <w:vAlign w:val="center"/>
          </w:tcPr>
          <w:p w:rsidR="006E66AF" w:rsidRPr="00BC3A61" w:rsidRDefault="006E66AF" w:rsidP="00E247AA">
            <w:pPr>
              <w:spacing w:line="276" w:lineRule="auto"/>
              <w:jc w:val="center"/>
              <w:rPr>
                <w:rFonts w:ascii="Lato" w:hAnsi="Lato"/>
                <w:sz w:val="20"/>
                <w:szCs w:val="20"/>
              </w:rPr>
            </w:pPr>
            <w:r w:rsidRPr="00BC3A61">
              <w:rPr>
                <w:rFonts w:ascii="Lato" w:hAnsi="Lato"/>
                <w:sz w:val="20"/>
                <w:szCs w:val="20"/>
              </w:rPr>
              <w:t>2.17</w:t>
            </w:r>
          </w:p>
        </w:tc>
        <w:tc>
          <w:tcPr>
            <w:tcW w:w="0" w:type="auto"/>
            <w:tcBorders>
              <w:top w:val="nil"/>
              <w:left w:val="nil"/>
              <w:bottom w:val="single" w:sz="8" w:space="0" w:color="4F81BD"/>
              <w:right w:val="nil"/>
            </w:tcBorders>
            <w:shd w:val="clear" w:color="auto" w:fill="E2EFD9" w:themeFill="accent6" w:themeFillTint="33"/>
            <w:vAlign w:val="center"/>
          </w:tcPr>
          <w:p w:rsidR="006E66AF" w:rsidRPr="00BC3A61" w:rsidRDefault="006E66AF" w:rsidP="00E247AA">
            <w:pPr>
              <w:spacing w:line="276" w:lineRule="auto"/>
              <w:jc w:val="center"/>
              <w:rPr>
                <w:rFonts w:ascii="Lato" w:hAnsi="Lato"/>
                <w:sz w:val="20"/>
                <w:szCs w:val="20"/>
              </w:rPr>
            </w:pPr>
            <w:r w:rsidRPr="00BC3A61">
              <w:rPr>
                <w:rFonts w:ascii="Lato" w:hAnsi="Lato"/>
                <w:sz w:val="20"/>
                <w:szCs w:val="20"/>
              </w:rPr>
              <w:t>1.46</w:t>
            </w:r>
          </w:p>
        </w:tc>
        <w:tc>
          <w:tcPr>
            <w:tcW w:w="0" w:type="auto"/>
            <w:tcBorders>
              <w:top w:val="nil"/>
              <w:left w:val="nil"/>
              <w:bottom w:val="single" w:sz="8" w:space="0" w:color="4F81BD"/>
              <w:right w:val="nil"/>
            </w:tcBorders>
            <w:shd w:val="clear" w:color="auto" w:fill="E2EFD9" w:themeFill="accent6" w:themeFillTint="33"/>
          </w:tcPr>
          <w:p w:rsidR="006E66AF" w:rsidRPr="00BC3A61" w:rsidRDefault="006E66AF" w:rsidP="00E247AA">
            <w:pPr>
              <w:spacing w:line="276" w:lineRule="auto"/>
              <w:jc w:val="both"/>
              <w:rPr>
                <w:rFonts w:ascii="Lato" w:hAnsi="Lato"/>
                <w:sz w:val="20"/>
                <w:szCs w:val="20"/>
              </w:rPr>
            </w:pPr>
          </w:p>
        </w:tc>
        <w:tc>
          <w:tcPr>
            <w:tcW w:w="0" w:type="auto"/>
            <w:tcBorders>
              <w:top w:val="nil"/>
              <w:left w:val="nil"/>
              <w:bottom w:val="single" w:sz="8" w:space="0" w:color="4F81BD"/>
              <w:right w:val="nil"/>
            </w:tcBorders>
            <w:shd w:val="clear" w:color="auto" w:fill="E2EFD9" w:themeFill="accent6" w:themeFillTint="33"/>
          </w:tcPr>
          <w:p w:rsidR="006E66AF" w:rsidRPr="00BC3A61" w:rsidRDefault="006E66AF" w:rsidP="00E247AA">
            <w:pPr>
              <w:spacing w:line="276" w:lineRule="auto"/>
              <w:jc w:val="both"/>
              <w:rPr>
                <w:rFonts w:ascii="Lato" w:hAnsi="Lato"/>
                <w:sz w:val="20"/>
                <w:szCs w:val="20"/>
              </w:rPr>
            </w:pPr>
          </w:p>
        </w:tc>
        <w:tc>
          <w:tcPr>
            <w:tcW w:w="0" w:type="auto"/>
            <w:tcBorders>
              <w:top w:val="nil"/>
              <w:left w:val="nil"/>
              <w:bottom w:val="single" w:sz="8" w:space="0" w:color="4F81BD"/>
              <w:right w:val="nil"/>
            </w:tcBorders>
            <w:shd w:val="clear" w:color="auto" w:fill="E2EFD9" w:themeFill="accent6" w:themeFillTint="33"/>
          </w:tcPr>
          <w:p w:rsidR="006E66AF" w:rsidRPr="00BC3A61" w:rsidRDefault="006E66AF" w:rsidP="00E247AA">
            <w:pPr>
              <w:spacing w:line="276" w:lineRule="auto"/>
              <w:jc w:val="both"/>
              <w:rPr>
                <w:rFonts w:ascii="Lato" w:hAnsi="Lato"/>
                <w:sz w:val="20"/>
                <w:szCs w:val="20"/>
              </w:rPr>
            </w:pPr>
          </w:p>
        </w:tc>
        <w:tc>
          <w:tcPr>
            <w:tcW w:w="0" w:type="auto"/>
            <w:tcBorders>
              <w:top w:val="nil"/>
              <w:left w:val="nil"/>
              <w:bottom w:val="single" w:sz="8" w:space="0" w:color="4F81BD"/>
              <w:right w:val="nil"/>
            </w:tcBorders>
            <w:shd w:val="clear" w:color="auto" w:fill="E2EFD9" w:themeFill="accent6" w:themeFillTint="33"/>
            <w:vAlign w:val="center"/>
          </w:tcPr>
          <w:p w:rsidR="006E66AF" w:rsidRPr="00BC3A61" w:rsidRDefault="006E66AF" w:rsidP="00E247AA">
            <w:pPr>
              <w:spacing w:line="276" w:lineRule="auto"/>
              <w:jc w:val="center"/>
              <w:rPr>
                <w:rFonts w:ascii="Lato" w:hAnsi="Lato"/>
                <w:sz w:val="20"/>
                <w:szCs w:val="20"/>
              </w:rPr>
            </w:pPr>
            <w:r w:rsidRPr="00BC3A61">
              <w:rPr>
                <w:rFonts w:ascii="Lato" w:hAnsi="Lato"/>
                <w:sz w:val="20"/>
                <w:szCs w:val="20"/>
              </w:rPr>
              <w:t>1.23</w:t>
            </w:r>
          </w:p>
        </w:tc>
        <w:tc>
          <w:tcPr>
            <w:tcW w:w="0" w:type="auto"/>
            <w:tcBorders>
              <w:top w:val="nil"/>
              <w:left w:val="nil"/>
              <w:bottom w:val="single" w:sz="8" w:space="0" w:color="4F81BD"/>
              <w:right w:val="nil"/>
            </w:tcBorders>
            <w:shd w:val="clear" w:color="auto" w:fill="E2EFD9" w:themeFill="accent6" w:themeFillTint="33"/>
            <w:vAlign w:val="center"/>
          </w:tcPr>
          <w:p w:rsidR="006E66AF" w:rsidRPr="00BC3A61" w:rsidRDefault="006E66AF" w:rsidP="00E247AA">
            <w:pPr>
              <w:spacing w:line="276" w:lineRule="auto"/>
              <w:jc w:val="center"/>
              <w:rPr>
                <w:rFonts w:ascii="Lato" w:hAnsi="Lato"/>
                <w:sz w:val="20"/>
                <w:szCs w:val="20"/>
              </w:rPr>
            </w:pPr>
            <w:r w:rsidRPr="00BC3A61">
              <w:rPr>
                <w:rFonts w:ascii="Lato" w:hAnsi="Lato"/>
                <w:sz w:val="20"/>
                <w:szCs w:val="20"/>
              </w:rPr>
              <w:t>0.99</w:t>
            </w:r>
          </w:p>
        </w:tc>
        <w:tc>
          <w:tcPr>
            <w:tcW w:w="0" w:type="auto"/>
            <w:tcBorders>
              <w:top w:val="nil"/>
              <w:left w:val="nil"/>
              <w:bottom w:val="single" w:sz="8" w:space="0" w:color="4F81BD"/>
              <w:right w:val="nil"/>
            </w:tcBorders>
            <w:shd w:val="clear" w:color="auto" w:fill="E2EFD9" w:themeFill="accent6" w:themeFillTint="33"/>
          </w:tcPr>
          <w:p w:rsidR="006E66AF" w:rsidRPr="00BC3A61" w:rsidRDefault="006E66AF" w:rsidP="00E247AA">
            <w:pPr>
              <w:spacing w:line="276" w:lineRule="auto"/>
              <w:jc w:val="center"/>
              <w:rPr>
                <w:rFonts w:ascii="Lato" w:hAnsi="Lato"/>
                <w:sz w:val="20"/>
                <w:szCs w:val="20"/>
              </w:rPr>
            </w:pPr>
          </w:p>
        </w:tc>
        <w:tc>
          <w:tcPr>
            <w:tcW w:w="0" w:type="auto"/>
            <w:tcBorders>
              <w:top w:val="nil"/>
              <w:left w:val="nil"/>
              <w:bottom w:val="single" w:sz="8" w:space="0" w:color="4F81BD"/>
              <w:right w:val="nil"/>
            </w:tcBorders>
            <w:shd w:val="clear" w:color="auto" w:fill="E2EFD9" w:themeFill="accent6" w:themeFillTint="33"/>
            <w:vAlign w:val="center"/>
          </w:tcPr>
          <w:p w:rsidR="006E66AF" w:rsidRPr="00BC3A61" w:rsidRDefault="006E66AF" w:rsidP="00E247AA">
            <w:pPr>
              <w:spacing w:line="276" w:lineRule="auto"/>
              <w:jc w:val="center"/>
              <w:rPr>
                <w:rFonts w:ascii="Lato" w:hAnsi="Lato"/>
                <w:sz w:val="20"/>
                <w:szCs w:val="20"/>
              </w:rPr>
            </w:pPr>
            <w:r w:rsidRPr="00BC3A61">
              <w:rPr>
                <w:rFonts w:ascii="Lato" w:hAnsi="Lato"/>
                <w:sz w:val="20"/>
                <w:szCs w:val="20"/>
              </w:rPr>
              <w:t>1.39</w:t>
            </w:r>
          </w:p>
        </w:tc>
        <w:tc>
          <w:tcPr>
            <w:tcW w:w="0" w:type="auto"/>
            <w:tcBorders>
              <w:top w:val="nil"/>
              <w:left w:val="nil"/>
              <w:bottom w:val="single" w:sz="8" w:space="0" w:color="4F81BD"/>
              <w:right w:val="nil"/>
            </w:tcBorders>
            <w:shd w:val="clear" w:color="auto" w:fill="E2EFD9" w:themeFill="accent6" w:themeFillTint="33"/>
            <w:vAlign w:val="center"/>
          </w:tcPr>
          <w:p w:rsidR="006E66AF" w:rsidRPr="00BC3A61" w:rsidRDefault="006E66AF" w:rsidP="00E247AA">
            <w:pPr>
              <w:spacing w:line="276" w:lineRule="auto"/>
              <w:jc w:val="center"/>
              <w:rPr>
                <w:rFonts w:ascii="Lato" w:hAnsi="Lato"/>
                <w:sz w:val="20"/>
                <w:szCs w:val="20"/>
              </w:rPr>
            </w:pPr>
            <w:r w:rsidRPr="00BC3A61">
              <w:rPr>
                <w:rFonts w:ascii="Lato" w:hAnsi="Lato"/>
                <w:sz w:val="20"/>
                <w:szCs w:val="20"/>
              </w:rPr>
              <w:t>1.20</w:t>
            </w:r>
          </w:p>
        </w:tc>
        <w:tc>
          <w:tcPr>
            <w:tcW w:w="0" w:type="auto"/>
            <w:tcBorders>
              <w:top w:val="nil"/>
              <w:left w:val="nil"/>
              <w:bottom w:val="single" w:sz="8" w:space="0" w:color="4F81BD"/>
              <w:right w:val="nil"/>
            </w:tcBorders>
            <w:shd w:val="clear" w:color="auto" w:fill="E2EFD9" w:themeFill="accent6" w:themeFillTint="33"/>
          </w:tcPr>
          <w:p w:rsidR="006E66AF" w:rsidRPr="00BC3A61" w:rsidRDefault="006E66AF" w:rsidP="00E247AA">
            <w:pPr>
              <w:spacing w:line="276" w:lineRule="auto"/>
              <w:jc w:val="center"/>
              <w:rPr>
                <w:rFonts w:ascii="Lato" w:hAnsi="Lato"/>
                <w:sz w:val="20"/>
                <w:szCs w:val="20"/>
              </w:rPr>
            </w:pPr>
          </w:p>
        </w:tc>
        <w:tc>
          <w:tcPr>
            <w:tcW w:w="0" w:type="auto"/>
            <w:tcBorders>
              <w:top w:val="nil"/>
              <w:left w:val="nil"/>
              <w:bottom w:val="single" w:sz="8" w:space="0" w:color="4F81BD"/>
              <w:right w:val="nil"/>
            </w:tcBorders>
            <w:shd w:val="clear" w:color="auto" w:fill="E2EFD9" w:themeFill="accent6" w:themeFillTint="33"/>
            <w:vAlign w:val="center"/>
          </w:tcPr>
          <w:p w:rsidR="006E66AF" w:rsidRPr="00BC3A61" w:rsidRDefault="006E66AF" w:rsidP="00E247AA">
            <w:pPr>
              <w:spacing w:line="276" w:lineRule="auto"/>
              <w:jc w:val="center"/>
              <w:rPr>
                <w:rFonts w:ascii="Lato" w:hAnsi="Lato"/>
                <w:sz w:val="20"/>
                <w:szCs w:val="20"/>
              </w:rPr>
            </w:pPr>
            <w:r w:rsidRPr="00BC3A61">
              <w:rPr>
                <w:rFonts w:ascii="Lato" w:hAnsi="Lato"/>
                <w:sz w:val="20"/>
                <w:szCs w:val="20"/>
              </w:rPr>
              <w:t>1.51</w:t>
            </w:r>
          </w:p>
        </w:tc>
      </w:tr>
    </w:tbl>
    <w:p w:rsidR="006E66AF" w:rsidRPr="00BC3A61" w:rsidRDefault="006E66AF" w:rsidP="006E66AF">
      <w:pPr>
        <w:autoSpaceDE w:val="0"/>
        <w:autoSpaceDN w:val="0"/>
        <w:spacing w:line="360" w:lineRule="auto"/>
        <w:jc w:val="both"/>
        <w:rPr>
          <w:rFonts w:ascii="Lato" w:hAnsi="Lato"/>
          <w:sz w:val="20"/>
          <w:szCs w:val="20"/>
          <w:lang w:eastAsia="es-ES"/>
        </w:rPr>
      </w:pPr>
    </w:p>
    <w:p w:rsidR="006E66AF" w:rsidRDefault="006E66AF" w:rsidP="006E66AF">
      <w:pPr>
        <w:autoSpaceDE w:val="0"/>
        <w:autoSpaceDN w:val="0"/>
        <w:spacing w:line="360" w:lineRule="auto"/>
        <w:jc w:val="both"/>
        <w:rPr>
          <w:rFonts w:ascii="Lato" w:hAnsi="Lato"/>
          <w:sz w:val="20"/>
          <w:szCs w:val="20"/>
        </w:rPr>
      </w:pPr>
      <w:r w:rsidRPr="00BC3A61">
        <w:rPr>
          <w:rFonts w:ascii="Lato" w:hAnsi="Lato"/>
          <w:sz w:val="20"/>
          <w:szCs w:val="20"/>
        </w:rPr>
        <w:t xml:space="preserve">La Deuda Pública de largo plazo del Estado es interna y los instrumentos financieros a través de los cuales ésta fue formalizada, son contratos de apertura de crédito simple, a continuación, se detallan las características de cada instrumento financiero celebrado, entre las que se consideran la tasa de interés y el vencimiento. </w:t>
      </w:r>
    </w:p>
    <w:p w:rsidR="006E66AF" w:rsidRPr="00BC3A61" w:rsidRDefault="006E66AF" w:rsidP="006E66AF">
      <w:pPr>
        <w:autoSpaceDE w:val="0"/>
        <w:autoSpaceDN w:val="0"/>
        <w:jc w:val="both"/>
        <w:rPr>
          <w:rFonts w:ascii="Lato" w:hAnsi="Lato"/>
          <w:sz w:val="20"/>
          <w:szCs w:val="20"/>
        </w:rPr>
      </w:pPr>
    </w:p>
    <w:tbl>
      <w:tblPr>
        <w:tblStyle w:val="Tabladecuadrcula1clara"/>
        <w:tblW w:w="0" w:type="auto"/>
        <w:tblLook w:val="04A0" w:firstRow="1" w:lastRow="0" w:firstColumn="1" w:lastColumn="0" w:noHBand="0" w:noVBand="1"/>
      </w:tblPr>
      <w:tblGrid>
        <w:gridCol w:w="4957"/>
        <w:gridCol w:w="3969"/>
        <w:gridCol w:w="2409"/>
      </w:tblGrid>
      <w:tr w:rsidR="006E66AF" w:rsidRPr="00BC3A61" w:rsidTr="006E66AF">
        <w:trPr>
          <w:cnfStyle w:val="100000000000" w:firstRow="1" w:lastRow="0" w:firstColumn="0" w:lastColumn="0" w:oddVBand="0" w:evenVBand="0" w:oddHBand="0" w:evenHBand="0" w:firstRowFirstColumn="0" w:firstRowLastColumn="0" w:lastRowFirstColumn="0" w:lastRowLastColumn="0"/>
          <w:trHeight w:val="629"/>
          <w:tblHeader/>
        </w:trPr>
        <w:tc>
          <w:tcPr>
            <w:cnfStyle w:val="001000000000" w:firstRow="0" w:lastRow="0" w:firstColumn="1" w:lastColumn="0" w:oddVBand="0" w:evenVBand="0" w:oddHBand="0" w:evenHBand="0" w:firstRowFirstColumn="0" w:firstRowLastColumn="0" w:lastRowFirstColumn="0" w:lastRowLastColumn="0"/>
            <w:tcW w:w="4957" w:type="dxa"/>
            <w:hideMark/>
          </w:tcPr>
          <w:p w:rsidR="006E66AF" w:rsidRPr="00BC3A61" w:rsidRDefault="006E66AF" w:rsidP="00E247AA">
            <w:pPr>
              <w:autoSpaceDE w:val="0"/>
              <w:autoSpaceDN w:val="0"/>
              <w:spacing w:line="300" w:lineRule="auto"/>
              <w:jc w:val="center"/>
              <w:rPr>
                <w:rFonts w:ascii="Lato" w:hAnsi="Lato"/>
                <w:b w:val="0"/>
                <w:bCs w:val="0"/>
                <w:sz w:val="20"/>
                <w:szCs w:val="20"/>
              </w:rPr>
            </w:pPr>
            <w:r w:rsidRPr="00BC3A61">
              <w:rPr>
                <w:rFonts w:ascii="Lato" w:hAnsi="Lato"/>
                <w:sz w:val="20"/>
                <w:szCs w:val="20"/>
              </w:rPr>
              <w:t>Institución Financiera</w:t>
            </w:r>
          </w:p>
        </w:tc>
        <w:tc>
          <w:tcPr>
            <w:tcW w:w="3969" w:type="dxa"/>
            <w:hideMark/>
          </w:tcPr>
          <w:p w:rsidR="006E66AF" w:rsidRPr="00BC3A61" w:rsidRDefault="006E66AF" w:rsidP="00E247AA">
            <w:pPr>
              <w:autoSpaceDE w:val="0"/>
              <w:autoSpaceDN w:val="0"/>
              <w:spacing w:line="300" w:lineRule="auto"/>
              <w:jc w:val="center"/>
              <w:cnfStyle w:val="100000000000" w:firstRow="1"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Tasa de interés</w:t>
            </w:r>
          </w:p>
        </w:tc>
        <w:tc>
          <w:tcPr>
            <w:tcW w:w="2409" w:type="dxa"/>
          </w:tcPr>
          <w:p w:rsidR="006E66AF" w:rsidRPr="00BC3A61" w:rsidRDefault="006E66AF" w:rsidP="00E247AA">
            <w:pPr>
              <w:autoSpaceDE w:val="0"/>
              <w:autoSpaceDN w:val="0"/>
              <w:spacing w:line="300" w:lineRule="auto"/>
              <w:jc w:val="center"/>
              <w:cnfStyle w:val="100000000000" w:firstRow="1"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Fecha de Vencimiento</w:t>
            </w:r>
          </w:p>
        </w:tc>
      </w:tr>
      <w:tr w:rsidR="006E66AF" w:rsidRPr="00BC3A61" w:rsidTr="006E66AF">
        <w:trPr>
          <w:trHeight w:val="701"/>
        </w:trPr>
        <w:tc>
          <w:tcPr>
            <w:cnfStyle w:val="001000000000" w:firstRow="0" w:lastRow="0" w:firstColumn="1" w:lastColumn="0" w:oddVBand="0" w:evenVBand="0" w:oddHBand="0" w:evenHBand="0" w:firstRowFirstColumn="0" w:firstRowLastColumn="0" w:lastRowFirstColumn="0" w:lastRowLastColumn="0"/>
            <w:tcW w:w="4957" w:type="dxa"/>
            <w:hideMark/>
          </w:tcPr>
          <w:p w:rsidR="006E66AF" w:rsidRPr="00BC3A61" w:rsidRDefault="006E66AF" w:rsidP="00E247AA">
            <w:pPr>
              <w:autoSpaceDE w:val="0"/>
              <w:autoSpaceDN w:val="0"/>
              <w:spacing w:line="300" w:lineRule="auto"/>
              <w:rPr>
                <w:rFonts w:ascii="Lato" w:hAnsi="Lato"/>
                <w:sz w:val="20"/>
                <w:szCs w:val="20"/>
              </w:rPr>
            </w:pPr>
            <w:r w:rsidRPr="00BC3A61">
              <w:rPr>
                <w:rFonts w:ascii="Lato" w:hAnsi="Lato"/>
                <w:sz w:val="20"/>
                <w:szCs w:val="20"/>
              </w:rPr>
              <w:t>Banco Nacional de Obras y  Servicios Públicos, S.N.C.</w:t>
            </w:r>
          </w:p>
        </w:tc>
        <w:tc>
          <w:tcPr>
            <w:tcW w:w="3969" w:type="dxa"/>
            <w:hideMark/>
          </w:tcPr>
          <w:p w:rsidR="006E66AF" w:rsidRPr="00BC3A61" w:rsidRDefault="006E66AF" w:rsidP="00E247AA">
            <w:pPr>
              <w:autoSpaceDE w:val="0"/>
              <w:autoSpaceDN w:val="0"/>
              <w:spacing w:line="300" w:lineRule="auto"/>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1a disposición: TASA BASE + Sobretasa (7.10+1.02=8.12)</w:t>
            </w:r>
          </w:p>
          <w:p w:rsidR="006E66AF" w:rsidRPr="00BC3A61" w:rsidRDefault="006E66AF" w:rsidP="00E247AA">
            <w:pPr>
              <w:autoSpaceDE w:val="0"/>
              <w:autoSpaceDN w:val="0"/>
              <w:spacing w:line="300" w:lineRule="auto"/>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2a disposición: TASA BASE + Sobretasa (7.70+1.02=8.72)</w:t>
            </w:r>
          </w:p>
        </w:tc>
        <w:tc>
          <w:tcPr>
            <w:tcW w:w="2409" w:type="dxa"/>
            <w:hideMark/>
          </w:tcPr>
          <w:p w:rsidR="006E66AF" w:rsidRPr="00BC3A61" w:rsidRDefault="006E66AF" w:rsidP="00E247AA">
            <w:pPr>
              <w:autoSpaceDE w:val="0"/>
              <w:autoSpaceDN w:val="0"/>
              <w:spacing w:line="300" w:lineRule="auto"/>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05/06/2033</w:t>
            </w:r>
          </w:p>
        </w:tc>
      </w:tr>
      <w:tr w:rsidR="006E66AF" w:rsidRPr="00BC3A61" w:rsidTr="006E66AF">
        <w:trPr>
          <w:trHeight w:val="487"/>
        </w:trPr>
        <w:tc>
          <w:tcPr>
            <w:cnfStyle w:val="001000000000" w:firstRow="0" w:lastRow="0" w:firstColumn="1" w:lastColumn="0" w:oddVBand="0" w:evenVBand="0" w:oddHBand="0" w:evenHBand="0" w:firstRowFirstColumn="0" w:firstRowLastColumn="0" w:lastRowFirstColumn="0" w:lastRowLastColumn="0"/>
            <w:tcW w:w="4957" w:type="dxa"/>
            <w:hideMark/>
          </w:tcPr>
          <w:p w:rsidR="006E66AF" w:rsidRPr="00BC3A61" w:rsidRDefault="006E66AF" w:rsidP="00E247AA">
            <w:pPr>
              <w:autoSpaceDE w:val="0"/>
              <w:autoSpaceDN w:val="0"/>
              <w:spacing w:line="300" w:lineRule="auto"/>
              <w:rPr>
                <w:rFonts w:ascii="Lato" w:hAnsi="Lato"/>
                <w:sz w:val="20"/>
                <w:szCs w:val="20"/>
              </w:rPr>
            </w:pPr>
            <w:r w:rsidRPr="00BC3A61">
              <w:rPr>
                <w:rFonts w:ascii="Lato" w:hAnsi="Lato"/>
                <w:sz w:val="20"/>
                <w:szCs w:val="20"/>
              </w:rPr>
              <w:t>Banco Nacional de México, S.A., integrante del Grupo Financiero Banamex.</w:t>
            </w:r>
          </w:p>
        </w:tc>
        <w:tc>
          <w:tcPr>
            <w:tcW w:w="3969" w:type="dxa"/>
            <w:hideMark/>
          </w:tcPr>
          <w:p w:rsidR="006E66AF" w:rsidRPr="00BC3A61" w:rsidRDefault="006E66AF" w:rsidP="00E247AA">
            <w:pPr>
              <w:autoSpaceDE w:val="0"/>
              <w:autoSpaceDN w:val="0"/>
              <w:spacing w:line="300" w:lineRule="auto"/>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TIIE + 0.25</w:t>
            </w:r>
          </w:p>
        </w:tc>
        <w:tc>
          <w:tcPr>
            <w:tcW w:w="2409" w:type="dxa"/>
            <w:hideMark/>
          </w:tcPr>
          <w:p w:rsidR="006E66AF" w:rsidRPr="00BC3A61" w:rsidRDefault="006E66AF" w:rsidP="00E247AA">
            <w:pPr>
              <w:autoSpaceDE w:val="0"/>
              <w:autoSpaceDN w:val="0"/>
              <w:spacing w:line="300" w:lineRule="auto"/>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28/11/2039</w:t>
            </w:r>
          </w:p>
        </w:tc>
      </w:tr>
      <w:tr w:rsidR="006E66AF" w:rsidRPr="00BC3A61" w:rsidTr="006E66AF">
        <w:trPr>
          <w:trHeight w:val="487"/>
        </w:trPr>
        <w:tc>
          <w:tcPr>
            <w:cnfStyle w:val="001000000000" w:firstRow="0" w:lastRow="0" w:firstColumn="1" w:lastColumn="0" w:oddVBand="0" w:evenVBand="0" w:oddHBand="0" w:evenHBand="0" w:firstRowFirstColumn="0" w:firstRowLastColumn="0" w:lastRowFirstColumn="0" w:lastRowLastColumn="0"/>
            <w:tcW w:w="4957" w:type="dxa"/>
          </w:tcPr>
          <w:p w:rsidR="006E66AF" w:rsidRPr="00BC3A61" w:rsidRDefault="006E66AF" w:rsidP="00E247AA">
            <w:pPr>
              <w:autoSpaceDE w:val="0"/>
              <w:autoSpaceDN w:val="0"/>
              <w:spacing w:line="300" w:lineRule="auto"/>
              <w:rPr>
                <w:rFonts w:ascii="Lato" w:hAnsi="Lato"/>
                <w:sz w:val="20"/>
                <w:szCs w:val="20"/>
              </w:rPr>
            </w:pPr>
            <w:r w:rsidRPr="00BC3A61">
              <w:rPr>
                <w:rFonts w:ascii="Lato" w:hAnsi="Lato"/>
                <w:sz w:val="20"/>
                <w:szCs w:val="20"/>
              </w:rPr>
              <w:t>Banco Nacional de Obras y  Servicios Públicos, S.N.C.</w:t>
            </w:r>
          </w:p>
        </w:tc>
        <w:tc>
          <w:tcPr>
            <w:tcW w:w="3969" w:type="dxa"/>
          </w:tcPr>
          <w:p w:rsidR="006E66AF" w:rsidRPr="00BC3A61" w:rsidRDefault="006E66AF" w:rsidP="00E247AA">
            <w:pPr>
              <w:autoSpaceDE w:val="0"/>
              <w:autoSpaceDN w:val="0"/>
              <w:spacing w:line="300" w:lineRule="auto"/>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TIIE + 0.37</w:t>
            </w:r>
          </w:p>
        </w:tc>
        <w:tc>
          <w:tcPr>
            <w:tcW w:w="2409" w:type="dxa"/>
          </w:tcPr>
          <w:p w:rsidR="006E66AF" w:rsidRPr="00BC3A61" w:rsidRDefault="006E66AF" w:rsidP="00E247AA">
            <w:pPr>
              <w:autoSpaceDE w:val="0"/>
              <w:autoSpaceDN w:val="0"/>
              <w:spacing w:line="300" w:lineRule="auto"/>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28/09/2040</w:t>
            </w:r>
          </w:p>
        </w:tc>
      </w:tr>
      <w:tr w:rsidR="006E66AF" w:rsidRPr="00BC3A61" w:rsidTr="006E66AF">
        <w:trPr>
          <w:trHeight w:val="487"/>
        </w:trPr>
        <w:tc>
          <w:tcPr>
            <w:cnfStyle w:val="001000000000" w:firstRow="0" w:lastRow="0" w:firstColumn="1" w:lastColumn="0" w:oddVBand="0" w:evenVBand="0" w:oddHBand="0" w:evenHBand="0" w:firstRowFirstColumn="0" w:firstRowLastColumn="0" w:lastRowFirstColumn="0" w:lastRowLastColumn="0"/>
            <w:tcW w:w="4957" w:type="dxa"/>
          </w:tcPr>
          <w:p w:rsidR="006E66AF" w:rsidRPr="00BC3A61" w:rsidRDefault="006E66AF" w:rsidP="00E247AA">
            <w:pPr>
              <w:autoSpaceDE w:val="0"/>
              <w:autoSpaceDN w:val="0"/>
              <w:spacing w:line="300" w:lineRule="auto"/>
              <w:rPr>
                <w:rFonts w:ascii="Lato" w:hAnsi="Lato"/>
                <w:sz w:val="20"/>
                <w:szCs w:val="20"/>
              </w:rPr>
            </w:pPr>
            <w:r w:rsidRPr="00BC3A61">
              <w:rPr>
                <w:rFonts w:ascii="Lato" w:hAnsi="Lato"/>
                <w:sz w:val="20"/>
                <w:szCs w:val="20"/>
              </w:rPr>
              <w:t>Banco Nacional de Obras y  Servicios Públicos, S.N.C.</w:t>
            </w:r>
          </w:p>
        </w:tc>
        <w:tc>
          <w:tcPr>
            <w:tcW w:w="3969" w:type="dxa"/>
          </w:tcPr>
          <w:p w:rsidR="006E66AF" w:rsidRPr="00BC3A61" w:rsidRDefault="006E66AF" w:rsidP="00E247AA">
            <w:pPr>
              <w:autoSpaceDE w:val="0"/>
              <w:autoSpaceDN w:val="0"/>
              <w:spacing w:line="300" w:lineRule="auto"/>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TIIE + 0.37</w:t>
            </w:r>
          </w:p>
        </w:tc>
        <w:tc>
          <w:tcPr>
            <w:tcW w:w="2409" w:type="dxa"/>
          </w:tcPr>
          <w:p w:rsidR="006E66AF" w:rsidRPr="00BC3A61" w:rsidRDefault="006E66AF" w:rsidP="00E247AA">
            <w:pPr>
              <w:autoSpaceDE w:val="0"/>
              <w:autoSpaceDN w:val="0"/>
              <w:spacing w:line="300" w:lineRule="auto"/>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28/09/2040</w:t>
            </w:r>
          </w:p>
        </w:tc>
      </w:tr>
      <w:tr w:rsidR="006E66AF" w:rsidRPr="00BC3A61" w:rsidTr="006E66AF">
        <w:trPr>
          <w:trHeight w:val="487"/>
        </w:trPr>
        <w:tc>
          <w:tcPr>
            <w:cnfStyle w:val="001000000000" w:firstRow="0" w:lastRow="0" w:firstColumn="1" w:lastColumn="0" w:oddVBand="0" w:evenVBand="0" w:oddHBand="0" w:evenHBand="0" w:firstRowFirstColumn="0" w:firstRowLastColumn="0" w:lastRowFirstColumn="0" w:lastRowLastColumn="0"/>
            <w:tcW w:w="4957" w:type="dxa"/>
          </w:tcPr>
          <w:p w:rsidR="006E66AF" w:rsidRPr="00BC3A61" w:rsidRDefault="006E66AF" w:rsidP="00E247AA">
            <w:pPr>
              <w:autoSpaceDE w:val="0"/>
              <w:autoSpaceDN w:val="0"/>
              <w:spacing w:line="300" w:lineRule="auto"/>
              <w:rPr>
                <w:rFonts w:ascii="Lato" w:hAnsi="Lato"/>
                <w:sz w:val="20"/>
                <w:szCs w:val="20"/>
              </w:rPr>
            </w:pPr>
            <w:r w:rsidRPr="00BC3A61">
              <w:rPr>
                <w:rFonts w:ascii="Lato" w:hAnsi="Lato"/>
                <w:sz w:val="20"/>
                <w:szCs w:val="20"/>
              </w:rPr>
              <w:lastRenderedPageBreak/>
              <w:t>Banco Nacional de Obras y  Servicios Públicos, S.N.C.</w:t>
            </w:r>
          </w:p>
        </w:tc>
        <w:tc>
          <w:tcPr>
            <w:tcW w:w="3969" w:type="dxa"/>
          </w:tcPr>
          <w:p w:rsidR="006E66AF" w:rsidRPr="00BC3A61" w:rsidRDefault="006E66AF" w:rsidP="00E247AA">
            <w:pPr>
              <w:autoSpaceDE w:val="0"/>
              <w:autoSpaceDN w:val="0"/>
              <w:spacing w:line="300" w:lineRule="auto"/>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TIIE + 0.37</w:t>
            </w:r>
          </w:p>
        </w:tc>
        <w:tc>
          <w:tcPr>
            <w:tcW w:w="2409" w:type="dxa"/>
          </w:tcPr>
          <w:p w:rsidR="006E66AF" w:rsidRPr="00BC3A61" w:rsidRDefault="006E66AF" w:rsidP="00E247AA">
            <w:pPr>
              <w:autoSpaceDE w:val="0"/>
              <w:autoSpaceDN w:val="0"/>
              <w:spacing w:line="300" w:lineRule="auto"/>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28/09/2040</w:t>
            </w:r>
          </w:p>
        </w:tc>
      </w:tr>
      <w:tr w:rsidR="006E66AF" w:rsidRPr="00BC3A61" w:rsidTr="006E66AF">
        <w:trPr>
          <w:trHeight w:val="487"/>
        </w:trPr>
        <w:tc>
          <w:tcPr>
            <w:cnfStyle w:val="001000000000" w:firstRow="0" w:lastRow="0" w:firstColumn="1" w:lastColumn="0" w:oddVBand="0" w:evenVBand="0" w:oddHBand="0" w:evenHBand="0" w:firstRowFirstColumn="0" w:firstRowLastColumn="0" w:lastRowFirstColumn="0" w:lastRowLastColumn="0"/>
            <w:tcW w:w="4957" w:type="dxa"/>
          </w:tcPr>
          <w:p w:rsidR="006E66AF" w:rsidRPr="00BC3A61" w:rsidRDefault="006E66AF" w:rsidP="00E247AA">
            <w:pPr>
              <w:autoSpaceDE w:val="0"/>
              <w:autoSpaceDN w:val="0"/>
              <w:spacing w:line="300" w:lineRule="auto"/>
              <w:rPr>
                <w:rFonts w:ascii="Lato" w:hAnsi="Lato"/>
                <w:sz w:val="20"/>
                <w:szCs w:val="20"/>
              </w:rPr>
            </w:pPr>
            <w:r w:rsidRPr="00BC3A61">
              <w:rPr>
                <w:rFonts w:ascii="Lato" w:hAnsi="Lato"/>
                <w:sz w:val="20"/>
                <w:szCs w:val="20"/>
              </w:rPr>
              <w:t>BBVA México, S.A., Institución de Banca Múltiple, Grupo Financiero BBVA México</w:t>
            </w:r>
          </w:p>
        </w:tc>
        <w:tc>
          <w:tcPr>
            <w:tcW w:w="3969" w:type="dxa"/>
          </w:tcPr>
          <w:p w:rsidR="006E66AF" w:rsidRPr="00BC3A61" w:rsidRDefault="006E66AF" w:rsidP="00E247AA">
            <w:pPr>
              <w:autoSpaceDE w:val="0"/>
              <w:autoSpaceDN w:val="0"/>
              <w:spacing w:line="300" w:lineRule="auto"/>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TIIE + 0.32</w:t>
            </w:r>
          </w:p>
        </w:tc>
        <w:tc>
          <w:tcPr>
            <w:tcW w:w="2409" w:type="dxa"/>
          </w:tcPr>
          <w:p w:rsidR="006E66AF" w:rsidRPr="00BC3A61" w:rsidRDefault="006E66AF" w:rsidP="00E247AA">
            <w:pPr>
              <w:autoSpaceDE w:val="0"/>
              <w:autoSpaceDN w:val="0"/>
              <w:spacing w:line="300" w:lineRule="auto"/>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05/09/2042</w:t>
            </w:r>
          </w:p>
        </w:tc>
      </w:tr>
      <w:tr w:rsidR="006E66AF" w:rsidRPr="00BC3A61" w:rsidTr="006E66AF">
        <w:trPr>
          <w:trHeight w:val="487"/>
        </w:trPr>
        <w:tc>
          <w:tcPr>
            <w:cnfStyle w:val="001000000000" w:firstRow="0" w:lastRow="0" w:firstColumn="1" w:lastColumn="0" w:oddVBand="0" w:evenVBand="0" w:oddHBand="0" w:evenHBand="0" w:firstRowFirstColumn="0" w:firstRowLastColumn="0" w:lastRowFirstColumn="0" w:lastRowLastColumn="0"/>
            <w:tcW w:w="4957" w:type="dxa"/>
          </w:tcPr>
          <w:p w:rsidR="006E66AF" w:rsidRPr="00BC3A61" w:rsidRDefault="006E66AF" w:rsidP="00E247AA">
            <w:pPr>
              <w:autoSpaceDE w:val="0"/>
              <w:autoSpaceDN w:val="0"/>
              <w:spacing w:line="300" w:lineRule="auto"/>
              <w:rPr>
                <w:rFonts w:ascii="Lato" w:hAnsi="Lato"/>
                <w:sz w:val="20"/>
                <w:szCs w:val="20"/>
              </w:rPr>
            </w:pPr>
            <w:r w:rsidRPr="00BC3A61">
              <w:rPr>
                <w:rFonts w:ascii="Lato" w:hAnsi="Lato"/>
                <w:sz w:val="20"/>
                <w:szCs w:val="20"/>
              </w:rPr>
              <w:t>BBVA México, S.A., Institución de Banca Múltiple, Grupo Financiero BBVA México</w:t>
            </w:r>
          </w:p>
        </w:tc>
        <w:tc>
          <w:tcPr>
            <w:tcW w:w="3969" w:type="dxa"/>
          </w:tcPr>
          <w:p w:rsidR="006E66AF" w:rsidRPr="00BC3A61" w:rsidRDefault="006E66AF" w:rsidP="00E247AA">
            <w:pPr>
              <w:autoSpaceDE w:val="0"/>
              <w:autoSpaceDN w:val="0"/>
              <w:spacing w:line="300" w:lineRule="auto"/>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TIIE + 0.26</w:t>
            </w:r>
          </w:p>
        </w:tc>
        <w:tc>
          <w:tcPr>
            <w:tcW w:w="2409" w:type="dxa"/>
          </w:tcPr>
          <w:p w:rsidR="006E66AF" w:rsidRPr="00BC3A61" w:rsidRDefault="006E66AF" w:rsidP="00E247AA">
            <w:pPr>
              <w:autoSpaceDE w:val="0"/>
              <w:autoSpaceDN w:val="0"/>
              <w:spacing w:line="300" w:lineRule="auto"/>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02/10/2043</w:t>
            </w:r>
          </w:p>
        </w:tc>
      </w:tr>
      <w:tr w:rsidR="006E66AF" w:rsidRPr="00BC3A61" w:rsidTr="006E66AF">
        <w:trPr>
          <w:trHeight w:val="487"/>
        </w:trPr>
        <w:tc>
          <w:tcPr>
            <w:cnfStyle w:val="001000000000" w:firstRow="0" w:lastRow="0" w:firstColumn="1" w:lastColumn="0" w:oddVBand="0" w:evenVBand="0" w:oddHBand="0" w:evenHBand="0" w:firstRowFirstColumn="0" w:firstRowLastColumn="0" w:lastRowFirstColumn="0" w:lastRowLastColumn="0"/>
            <w:tcW w:w="4957" w:type="dxa"/>
          </w:tcPr>
          <w:p w:rsidR="006E66AF" w:rsidRPr="00BC3A61" w:rsidRDefault="006E66AF" w:rsidP="00E247AA">
            <w:pPr>
              <w:autoSpaceDE w:val="0"/>
              <w:autoSpaceDN w:val="0"/>
              <w:spacing w:line="300" w:lineRule="auto"/>
              <w:rPr>
                <w:rFonts w:ascii="Lato" w:hAnsi="Lato"/>
                <w:sz w:val="20"/>
                <w:szCs w:val="20"/>
              </w:rPr>
            </w:pPr>
            <w:r w:rsidRPr="00BC3A61">
              <w:rPr>
                <w:rFonts w:ascii="Lato" w:hAnsi="Lato"/>
                <w:sz w:val="20"/>
                <w:szCs w:val="20"/>
              </w:rPr>
              <w:t>Banco Mercantil del Norte, S.A., Institución de Banca Múltiple, Grupo Financiero Banorte</w:t>
            </w:r>
          </w:p>
        </w:tc>
        <w:tc>
          <w:tcPr>
            <w:tcW w:w="3969" w:type="dxa"/>
          </w:tcPr>
          <w:p w:rsidR="006E66AF" w:rsidRPr="00BC3A61" w:rsidRDefault="006E66AF" w:rsidP="00E247AA">
            <w:pPr>
              <w:autoSpaceDE w:val="0"/>
              <w:autoSpaceDN w:val="0"/>
              <w:spacing w:line="300" w:lineRule="auto"/>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TIIE + 0.38</w:t>
            </w:r>
          </w:p>
        </w:tc>
        <w:tc>
          <w:tcPr>
            <w:tcW w:w="2409" w:type="dxa"/>
          </w:tcPr>
          <w:p w:rsidR="006E66AF" w:rsidRPr="00BC3A61" w:rsidRDefault="006E66AF" w:rsidP="00E247AA">
            <w:pPr>
              <w:autoSpaceDE w:val="0"/>
              <w:autoSpaceDN w:val="0"/>
              <w:spacing w:line="300" w:lineRule="auto"/>
              <w:jc w:val="center"/>
              <w:cnfStyle w:val="000000000000" w:firstRow="0" w:lastRow="0" w:firstColumn="0" w:lastColumn="0" w:oddVBand="0" w:evenVBand="0" w:oddHBand="0" w:evenHBand="0" w:firstRowFirstColumn="0" w:firstRowLastColumn="0" w:lastRowFirstColumn="0" w:lastRowLastColumn="0"/>
              <w:rPr>
                <w:rFonts w:ascii="Lato" w:hAnsi="Lato"/>
                <w:sz w:val="20"/>
                <w:szCs w:val="20"/>
              </w:rPr>
            </w:pPr>
            <w:r w:rsidRPr="00BC3A61">
              <w:rPr>
                <w:rFonts w:ascii="Lato" w:hAnsi="Lato"/>
                <w:sz w:val="20"/>
                <w:szCs w:val="20"/>
              </w:rPr>
              <w:t>02/10/2043</w:t>
            </w:r>
          </w:p>
        </w:tc>
      </w:tr>
    </w:tbl>
    <w:p w:rsidR="006E66AF" w:rsidRPr="00BC3A61" w:rsidRDefault="006E66AF">
      <w:pPr>
        <w:rPr>
          <w:rFonts w:ascii="Lato" w:eastAsia="Times New Roman" w:hAnsi="Lato"/>
          <w:sz w:val="20"/>
          <w:szCs w:val="20"/>
        </w:rPr>
      </w:pP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t>11.- Calificaciones Otorgadas.</w:t>
      </w:r>
    </w:p>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t>a) Las calificadoras Fitch Ratings, HR Ratings y Moody's ratificaron las evaluaciones crediticias del estado.</w:t>
      </w:r>
    </w:p>
    <w:p w:rsidR="006E66AF" w:rsidRPr="00BC3A61" w:rsidRDefault="006E66AF" w:rsidP="006E66AF">
      <w:pPr>
        <w:pStyle w:val="Prrafodelista"/>
        <w:numPr>
          <w:ilvl w:val="0"/>
          <w:numId w:val="7"/>
        </w:numPr>
        <w:jc w:val="both"/>
        <w:divId w:val="1922986418"/>
        <w:rPr>
          <w:rFonts w:ascii="Lato" w:eastAsia="PMingLiU" w:hAnsi="Lato" w:cs="Soberana Sans"/>
          <w:sz w:val="20"/>
          <w:szCs w:val="20"/>
          <w:lang w:val="es-ES" w:eastAsia="es-ES"/>
        </w:rPr>
      </w:pPr>
      <w:r w:rsidRPr="00BC3A61">
        <w:rPr>
          <w:rFonts w:ascii="Lato" w:eastAsia="PMingLiU" w:hAnsi="Lato" w:cs="Soberana Sans"/>
          <w:sz w:val="20"/>
          <w:szCs w:val="20"/>
          <w:lang w:val="es-ES" w:eastAsia="es-ES"/>
        </w:rPr>
        <w:t>El 25 de marzo de 2026, HR Ratings determinó ratificar la calificación del estado de Yucatán en HR AA+ y modificó la Perspectiva de Estable a Positiva, la calificación refleja la fortaleza de las finanzas públicas, una gestión responsable de la deuda y una sólida posición de liquidez. El cambio de perspectiva reconoce la expectativa de que el Estado mantendrá un desempeño financiero favorable, respaldado por el resultado positivo observado en las métricas de endeudamiento del Estado.</w:t>
      </w:r>
    </w:p>
    <w:p w:rsidR="006E66AF" w:rsidRPr="00BC3A61" w:rsidRDefault="006E66AF" w:rsidP="006E66AF">
      <w:pPr>
        <w:pStyle w:val="Prrafodelista"/>
        <w:jc w:val="both"/>
        <w:divId w:val="1922986418"/>
        <w:rPr>
          <w:rFonts w:ascii="Lato" w:eastAsia="PMingLiU" w:hAnsi="Lato" w:cs="Soberana Sans"/>
          <w:sz w:val="20"/>
          <w:szCs w:val="20"/>
          <w:lang w:val="es-ES" w:eastAsia="es-ES"/>
        </w:rPr>
      </w:pPr>
    </w:p>
    <w:p w:rsidR="006E66AF" w:rsidRPr="00BC3A61" w:rsidRDefault="006E66AF" w:rsidP="006E66AF">
      <w:pPr>
        <w:pStyle w:val="Prrafodelista"/>
        <w:numPr>
          <w:ilvl w:val="0"/>
          <w:numId w:val="7"/>
        </w:numPr>
        <w:jc w:val="both"/>
        <w:divId w:val="1922986418"/>
        <w:rPr>
          <w:rFonts w:ascii="Lato" w:eastAsia="PMingLiU" w:hAnsi="Lato" w:cs="Soberana Sans"/>
          <w:sz w:val="20"/>
          <w:szCs w:val="20"/>
          <w:lang w:val="es-ES" w:eastAsia="es-ES"/>
        </w:rPr>
      </w:pPr>
      <w:r w:rsidRPr="00BC3A61">
        <w:rPr>
          <w:rFonts w:ascii="Lato" w:eastAsia="PMingLiU" w:hAnsi="Lato" w:cs="Soberana Sans"/>
          <w:sz w:val="20"/>
          <w:szCs w:val="20"/>
          <w:lang w:val="es-ES" w:eastAsia="es-ES"/>
        </w:rPr>
        <w:t xml:space="preserve">Por su parte, el 13 de mayo de 2026, Fitch Ratings ratificó la calificación del estado de Yucatán en ‘AA- (mex)’ y revisó a Negativa la perspectiva. La ratificación de la calificación obedece al desempeño adecuado observado en 2025, apoyado por una mayor recaudación y un manejo adecuado de la liquidez y los pasivos. La calificadora destaca un historial de políticas sólidas y un manejo adecuado de la deuda y reconoce las estrategias implementadas para fortalecer la recaudación de ingresos propios. </w:t>
      </w:r>
    </w:p>
    <w:p w:rsidR="006E66AF" w:rsidRPr="00BC3A61" w:rsidRDefault="006E66AF" w:rsidP="006E66AF">
      <w:pPr>
        <w:jc w:val="both"/>
        <w:divId w:val="1922986418"/>
        <w:rPr>
          <w:rFonts w:ascii="Lato" w:eastAsia="PMingLiU" w:hAnsi="Lato" w:cs="Soberana Sans"/>
          <w:sz w:val="20"/>
          <w:szCs w:val="20"/>
          <w:lang w:val="es-ES" w:eastAsia="es-ES"/>
        </w:rPr>
      </w:pPr>
    </w:p>
    <w:p w:rsidR="006E66AF" w:rsidRPr="00BC3A61" w:rsidRDefault="006E66AF" w:rsidP="006E66AF">
      <w:pPr>
        <w:pStyle w:val="Prrafodelista"/>
        <w:numPr>
          <w:ilvl w:val="0"/>
          <w:numId w:val="7"/>
        </w:numPr>
        <w:jc w:val="both"/>
        <w:divId w:val="1922986418"/>
        <w:rPr>
          <w:rFonts w:ascii="Lato" w:eastAsia="PMingLiU" w:hAnsi="Lato" w:cs="Soberana Sans"/>
          <w:sz w:val="20"/>
          <w:szCs w:val="20"/>
          <w:lang w:val="es-ES" w:eastAsia="es-ES"/>
        </w:rPr>
      </w:pPr>
      <w:r w:rsidRPr="00BC3A61">
        <w:rPr>
          <w:rFonts w:ascii="Lato" w:eastAsia="PMingLiU" w:hAnsi="Lato" w:cs="Soberana Sans"/>
          <w:sz w:val="20"/>
          <w:szCs w:val="20"/>
          <w:lang w:val="es-ES" w:eastAsia="es-ES"/>
        </w:rPr>
        <w:t>En el mismo sentido, el 8 de junio de 2026, Moody's Local ratificó la calificación del Estado de Yucatán en AA- con perspectiva a estable, la acción de calificación es el resultado de una adecuada gestión financiera y presupuestal, reflejada en una alta posición de liquidez, niveles moderados de endeudamiento, así como una evolución favorable en la recaudación de ingresos propios. Asimismo, destaca que el Estado de Yucatán ha mostrado un desempeño económico favorable en años recientes, impulsado por mayores niveles de inversión, desarrollo industrial y fortalecimiento de la infraestructura estratégica.</w:t>
      </w:r>
    </w:p>
    <w:p w:rsidR="00E873CD" w:rsidRDefault="00E873CD">
      <w:pPr>
        <w:rPr>
          <w:rFonts w:ascii="Lato" w:eastAsia="Times New Roman" w:hAnsi="Lato"/>
          <w:sz w:val="20"/>
          <w:szCs w:val="20"/>
        </w:rPr>
      </w:pPr>
    </w:p>
    <w:p w:rsidR="00E93349" w:rsidRDefault="00E93349">
      <w:pPr>
        <w:rPr>
          <w:rFonts w:ascii="Lato" w:eastAsia="Times New Roman" w:hAnsi="Lato"/>
          <w:sz w:val="20"/>
          <w:szCs w:val="20"/>
        </w:rPr>
      </w:pPr>
    </w:p>
    <w:p w:rsidR="00E93349" w:rsidRPr="00BC3A61" w:rsidRDefault="00E93349">
      <w:pPr>
        <w:rPr>
          <w:rFonts w:ascii="Lato" w:eastAsia="Times New Roman" w:hAnsi="Lato"/>
          <w:sz w:val="20"/>
          <w:szCs w:val="20"/>
        </w:rPr>
      </w:pPr>
    </w:p>
    <w:p w:rsidR="00E873CD" w:rsidRPr="00BC3A61" w:rsidRDefault="00196B7D">
      <w:pPr>
        <w:ind w:left="600"/>
        <w:rPr>
          <w:rFonts w:ascii="Lato" w:eastAsia="Times New Roman" w:hAnsi="Lato"/>
          <w:sz w:val="20"/>
          <w:szCs w:val="20"/>
        </w:rPr>
      </w:pPr>
      <w:r w:rsidRPr="00BC3A61">
        <w:rPr>
          <w:rStyle w:val="Textoennegrita"/>
          <w:rFonts w:ascii="Lato" w:eastAsia="Times New Roman" w:hAnsi="Lato"/>
          <w:sz w:val="20"/>
          <w:szCs w:val="20"/>
        </w:rPr>
        <w:lastRenderedPageBreak/>
        <w:t>12.- Proceso de Mejora</w:t>
      </w:r>
    </w:p>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t>Se continúa dando seguimiento a temas que por su relevancia se estima importante su revelación ya que los mismos derivan y tienen impacto en los postulados básicos de Contabilidad Gubernamental, como son los de Revelación Suficiente e Importancia Relativa.</w:t>
      </w:r>
    </w:p>
    <w:p w:rsidR="00E873CD" w:rsidRPr="00BC3A61" w:rsidRDefault="00196B7D">
      <w:pPr>
        <w:ind w:left="360"/>
        <w:rPr>
          <w:rFonts w:ascii="Lato" w:eastAsia="Times New Roman" w:hAnsi="Lato"/>
          <w:sz w:val="20"/>
          <w:szCs w:val="20"/>
        </w:rPr>
      </w:pPr>
      <w:r w:rsidRPr="00BC3A61">
        <w:rPr>
          <w:rStyle w:val="Textoennegrita"/>
          <w:rFonts w:ascii="Lato" w:eastAsia="Times New Roman" w:hAnsi="Lato"/>
          <w:sz w:val="20"/>
          <w:szCs w:val="20"/>
        </w:rPr>
        <w:t>RECONOCIMIENTO</w:t>
      </w:r>
    </w:p>
    <w:p w:rsidR="00E25F85" w:rsidRPr="00BC3A61" w:rsidRDefault="00196B7D" w:rsidP="00E25F85">
      <w:pPr>
        <w:pStyle w:val="Prrafodelista"/>
        <w:numPr>
          <w:ilvl w:val="0"/>
          <w:numId w:val="9"/>
        </w:numPr>
        <w:jc w:val="both"/>
        <w:rPr>
          <w:rFonts w:ascii="Lato" w:eastAsia="Times New Roman" w:hAnsi="Lato"/>
          <w:sz w:val="20"/>
          <w:szCs w:val="20"/>
        </w:rPr>
      </w:pPr>
      <w:r w:rsidRPr="00BC3A61">
        <w:rPr>
          <w:rFonts w:ascii="Lato" w:eastAsia="Times New Roman" w:hAnsi="Lato"/>
          <w:sz w:val="20"/>
          <w:szCs w:val="20"/>
        </w:rPr>
        <w:t>En cumplimiento a la Ley de Disciplina Financiera de las Entidades Federativas y los Municipios, el sector central del Poder Ejecutivo del Gobierno del Estado de Yucatán continua presentando dentro de los Estados financieros, en el Informe actualizado de Pasivos Contingentes los rubros de Obligaciones por las Jubilaciones y Pensionados así como las reclamaciones de descuentos indebidos a la nómina de jubilados, así mismo de forma anual y trimestralmente se actualiza la cifra estimada de litigios laborales, contenciosos y amparos directos al Poder Ejecutivo, la cual ha sido modif</w:t>
      </w:r>
      <w:r w:rsidR="00E25F85" w:rsidRPr="00BC3A61">
        <w:rPr>
          <w:rFonts w:ascii="Lato" w:eastAsia="Times New Roman" w:hAnsi="Lato"/>
          <w:sz w:val="20"/>
          <w:szCs w:val="20"/>
        </w:rPr>
        <w:t>icada al 30 de septiembre de 2026</w:t>
      </w:r>
      <w:r w:rsidRPr="00BC3A61">
        <w:rPr>
          <w:rFonts w:ascii="Lato" w:eastAsia="Times New Roman" w:hAnsi="Lato"/>
          <w:sz w:val="20"/>
          <w:szCs w:val="20"/>
        </w:rPr>
        <w:t>.</w:t>
      </w:r>
    </w:p>
    <w:p w:rsidR="00E25F85" w:rsidRPr="00BC3A61" w:rsidRDefault="00E25F85" w:rsidP="00E25F85">
      <w:pPr>
        <w:pStyle w:val="Prrafodelista"/>
        <w:jc w:val="both"/>
        <w:rPr>
          <w:rFonts w:ascii="Lato" w:eastAsia="Times New Roman" w:hAnsi="Lato"/>
          <w:sz w:val="20"/>
          <w:szCs w:val="20"/>
        </w:rPr>
      </w:pPr>
    </w:p>
    <w:p w:rsidR="00E25F85" w:rsidRPr="00BC3A61" w:rsidRDefault="00E25F85" w:rsidP="00E25F85">
      <w:pPr>
        <w:pStyle w:val="Prrafodelista"/>
        <w:jc w:val="both"/>
        <w:rPr>
          <w:rFonts w:ascii="Lato" w:eastAsia="Times New Roman" w:hAnsi="Lato"/>
          <w:sz w:val="20"/>
          <w:szCs w:val="20"/>
        </w:rPr>
      </w:pPr>
      <w:r w:rsidRPr="00BC3A61">
        <w:rPr>
          <w:rFonts w:ascii="Lato" w:eastAsia="PMingLiU" w:hAnsi="Lato" w:cs="Soberana Sans"/>
          <w:sz w:val="20"/>
          <w:szCs w:val="20"/>
          <w:lang w:val="es-ES" w:eastAsia="es-ES"/>
        </w:rPr>
        <w:t>Con fecha 31 de diciembre 2023 se realizaron los más recientes estudios actuariales de los rubros de Obligaciones por las Jubilaciones y Pensiones, así como las reclamaciones de descuentos indebidos a la nómina de jubilados, el detalle de las cifras se presenta en el informe de pasivos contingente</w:t>
      </w:r>
      <w:r w:rsidRPr="00BC3A61">
        <w:rPr>
          <w:rFonts w:ascii="Lato" w:hAnsi="Lato" w:cs="Arial"/>
          <w:sz w:val="20"/>
          <w:szCs w:val="20"/>
        </w:rPr>
        <w:t>.</w:t>
      </w:r>
    </w:p>
    <w:p w:rsidR="00E25F85" w:rsidRPr="00BC3A61" w:rsidRDefault="00E25F85" w:rsidP="00E25F85">
      <w:pPr>
        <w:spacing w:after="200" w:line="240" w:lineRule="auto"/>
        <w:ind w:left="786" w:firstLine="709"/>
        <w:contextualSpacing/>
        <w:jc w:val="both"/>
        <w:rPr>
          <w:rFonts w:ascii="Lato" w:eastAsiaTheme="minorHAnsi" w:hAnsi="Lato" w:cs="Arial"/>
          <w:sz w:val="20"/>
          <w:szCs w:val="20"/>
          <w:lang w:eastAsia="en-US"/>
        </w:rPr>
      </w:pPr>
    </w:p>
    <w:p w:rsidR="00E873CD" w:rsidRPr="00BC3A61" w:rsidRDefault="00196B7D">
      <w:pPr>
        <w:ind w:left="360"/>
        <w:rPr>
          <w:rFonts w:ascii="Lato" w:eastAsia="Times New Roman" w:hAnsi="Lato"/>
          <w:sz w:val="20"/>
          <w:szCs w:val="20"/>
        </w:rPr>
      </w:pPr>
      <w:r w:rsidRPr="00BC3A61">
        <w:rPr>
          <w:rStyle w:val="Textoennegrita"/>
          <w:rFonts w:ascii="Lato" w:eastAsia="Times New Roman" w:hAnsi="Lato"/>
          <w:sz w:val="20"/>
          <w:szCs w:val="20"/>
        </w:rPr>
        <w:t>DEPURACIÓN Y CONCILIACIONES.</w:t>
      </w:r>
    </w:p>
    <w:p w:rsidR="002D0394" w:rsidRPr="00BC3A61" w:rsidRDefault="002D0394" w:rsidP="002D0394">
      <w:pPr>
        <w:pStyle w:val="Prrafodelista"/>
        <w:numPr>
          <w:ilvl w:val="0"/>
          <w:numId w:val="9"/>
        </w:numPr>
        <w:jc w:val="both"/>
        <w:rPr>
          <w:rFonts w:ascii="Lato" w:hAnsi="Lato" w:cs="Arial"/>
          <w:sz w:val="20"/>
          <w:szCs w:val="20"/>
        </w:rPr>
      </w:pPr>
      <w:r w:rsidRPr="00BC3A61">
        <w:rPr>
          <w:rFonts w:ascii="Lato" w:hAnsi="Lato" w:cs="Arial"/>
          <w:sz w:val="20"/>
          <w:szCs w:val="20"/>
        </w:rPr>
        <w:t>A</w:t>
      </w:r>
      <w:r w:rsidRPr="00BC3A61">
        <w:rPr>
          <w:rFonts w:ascii="Lato" w:hAnsi="Lato" w:cs="Arial"/>
          <w:sz w:val="20"/>
          <w:szCs w:val="20"/>
        </w:rPr>
        <w:t>l cierre del mes de septiembre</w:t>
      </w:r>
      <w:r w:rsidRPr="00BC3A61">
        <w:rPr>
          <w:rFonts w:ascii="Lato" w:hAnsi="Lato" w:cs="Arial"/>
          <w:sz w:val="20"/>
          <w:szCs w:val="20"/>
        </w:rPr>
        <w:t xml:space="preserve"> de 2026 las partidas en tránsito, del total de las conciliaciones bancarias suman $</w:t>
      </w:r>
      <w:r w:rsidRPr="00BC3A61">
        <w:rPr>
          <w:rFonts w:ascii="Lato" w:hAnsi="Lato" w:cs="Arial"/>
          <w:sz w:val="20"/>
          <w:szCs w:val="20"/>
        </w:rPr>
        <w:t xml:space="preserve"> 84.9 </w:t>
      </w:r>
      <w:r w:rsidRPr="00BC3A61">
        <w:rPr>
          <w:rFonts w:ascii="Lato" w:hAnsi="Lato" w:cs="Arial"/>
          <w:sz w:val="20"/>
          <w:szCs w:val="20"/>
        </w:rPr>
        <w:t>mdp</w:t>
      </w:r>
      <w:r w:rsidRPr="00BC3A61">
        <w:rPr>
          <w:rFonts w:ascii="Lato" w:hAnsi="Lato" w:cs="Arial"/>
          <w:sz w:val="20"/>
          <w:szCs w:val="20"/>
        </w:rPr>
        <w:t>.</w:t>
      </w:r>
    </w:p>
    <w:p w:rsidR="002D0394" w:rsidRPr="00BC3A61" w:rsidRDefault="002D0394" w:rsidP="002D0394">
      <w:pPr>
        <w:pStyle w:val="Prrafodelista"/>
        <w:numPr>
          <w:ilvl w:val="0"/>
          <w:numId w:val="9"/>
        </w:numPr>
        <w:jc w:val="both"/>
        <w:rPr>
          <w:rFonts w:ascii="Lato" w:hAnsi="Lato" w:cs="Arial"/>
          <w:sz w:val="20"/>
          <w:szCs w:val="20"/>
        </w:rPr>
      </w:pPr>
      <w:r w:rsidRPr="00BC3A61">
        <w:rPr>
          <w:rFonts w:ascii="Lato" w:hAnsi="Lato" w:cs="Arial"/>
          <w:sz w:val="20"/>
          <w:szCs w:val="20"/>
        </w:rPr>
        <w:t>En continuidad con las acciones de mejora, se trabaja en la revisión y actualización de las políticas para el registro de las operaciones, que se elaboraron en conjunto con las áreas que realizan acciones que repercuten en la contabilidad y fueron publicadas en el ejercicio 2024 en la intranet para su difusión y fácil consulta, en complemento con los procedimientos existentes de cada área, que contribuyen al cumplimiento normativo, en el programa de trabajo del ejercicio actual se tiene programado revisarlas para su actualización.</w:t>
      </w:r>
    </w:p>
    <w:p w:rsidR="002D0394" w:rsidRPr="00BC3A61" w:rsidRDefault="002D0394" w:rsidP="002D0394">
      <w:pPr>
        <w:pStyle w:val="Prrafodelista"/>
        <w:ind w:left="786"/>
        <w:jc w:val="both"/>
        <w:rPr>
          <w:rFonts w:ascii="Lato" w:hAnsi="Lato" w:cs="Arial"/>
          <w:sz w:val="20"/>
          <w:szCs w:val="20"/>
        </w:rPr>
      </w:pPr>
    </w:p>
    <w:p w:rsidR="002D0394" w:rsidRPr="00BC3A61" w:rsidRDefault="002D0394" w:rsidP="002D0394">
      <w:pPr>
        <w:pStyle w:val="Prrafodelista"/>
        <w:numPr>
          <w:ilvl w:val="0"/>
          <w:numId w:val="12"/>
        </w:numPr>
        <w:spacing w:after="200"/>
        <w:ind w:hanging="371"/>
        <w:jc w:val="both"/>
        <w:rPr>
          <w:rFonts w:ascii="Lato" w:hAnsi="Lato" w:cs="Arial"/>
          <w:sz w:val="20"/>
          <w:szCs w:val="20"/>
        </w:rPr>
      </w:pPr>
      <w:r w:rsidRPr="00BC3A61">
        <w:rPr>
          <w:rFonts w:ascii="Lato" w:hAnsi="Lato" w:cs="Arial"/>
          <w:color w:val="000000"/>
          <w:sz w:val="20"/>
          <w:szCs w:val="20"/>
        </w:rPr>
        <w:t>Como parte de las acciones de mejora, en relación al tema de depósitos pendientes de registro por desconocer el depositante, se continúan registrando en la cuenta de pasivo como Ingresos por clasificar, con base en la normatividad CONAC.</w:t>
      </w:r>
    </w:p>
    <w:p w:rsidR="002D0394" w:rsidRPr="00BC3A61" w:rsidRDefault="002D0394" w:rsidP="002D0394">
      <w:pPr>
        <w:spacing w:after="200" w:line="240" w:lineRule="auto"/>
        <w:ind w:left="1571"/>
        <w:contextualSpacing/>
        <w:jc w:val="both"/>
        <w:rPr>
          <w:rFonts w:ascii="Lato" w:eastAsiaTheme="minorHAnsi" w:hAnsi="Lato" w:cs="Arial"/>
          <w:sz w:val="20"/>
          <w:szCs w:val="20"/>
          <w:lang w:eastAsia="en-US"/>
        </w:rPr>
      </w:pPr>
    </w:p>
    <w:p w:rsidR="002D0394" w:rsidRPr="00BC3A61" w:rsidRDefault="002D0394" w:rsidP="002D0394">
      <w:pPr>
        <w:spacing w:after="200" w:line="240" w:lineRule="auto"/>
        <w:ind w:left="862" w:firstLine="709"/>
        <w:contextualSpacing/>
        <w:jc w:val="both"/>
        <w:rPr>
          <w:rFonts w:ascii="Lato" w:eastAsiaTheme="minorHAnsi" w:hAnsi="Lato" w:cs="Arial"/>
          <w:color w:val="000000"/>
          <w:sz w:val="20"/>
          <w:szCs w:val="20"/>
        </w:rPr>
      </w:pPr>
      <w:r w:rsidRPr="00BC3A61">
        <w:rPr>
          <w:rFonts w:ascii="Lato" w:eastAsiaTheme="minorHAnsi" w:hAnsi="Lato" w:cs="Arial"/>
          <w:color w:val="000000"/>
          <w:sz w:val="20"/>
          <w:szCs w:val="20"/>
        </w:rPr>
        <w:t xml:space="preserve">Así mismo de manera preventiva la Agencia de Administración Fiscal de Yucatán continua fortaleciendo en coordinación con las instituciones bancarias, con el fin de que todas las operaciones cuenten con una referencia para su identificación, mejorando la herramienta puesta en marcha a partir del año 2019,  que facilita el pago de impuestos presentando declaraciones normales por internet y portal bancario con línea de referencia, igualmente en la AAFY se desarrolló el pago referenciado para derechos, productos y aprovechamientos y se están realizando gestiones para que todas las dependencias del Sector Central adopten esta modalidad, lo anterior ofrece al ciudadano diversos canales  de pago e identificación de los mismos. En el mismo tenor de mejora continua, se sigue avanzando con mecanismos para ahorrar tiempo y dinero, ya que ahora se pueden pagar más de 250 trámites y servicios del Gobierno del Estado de Yucatán en tiendas de autoservicio OXXO, haciendo los procesos más ágiles y sencillos. </w:t>
      </w:r>
    </w:p>
    <w:p w:rsidR="002D0394" w:rsidRPr="00BC3A61" w:rsidRDefault="002D0394" w:rsidP="002D0394">
      <w:pPr>
        <w:spacing w:after="200" w:line="240" w:lineRule="auto"/>
        <w:ind w:left="862" w:firstLine="709"/>
        <w:contextualSpacing/>
        <w:jc w:val="both"/>
        <w:rPr>
          <w:rFonts w:ascii="Lato" w:eastAsiaTheme="minorHAnsi" w:hAnsi="Lato" w:cs="Arial"/>
          <w:sz w:val="20"/>
          <w:szCs w:val="20"/>
          <w:lang w:eastAsia="en-US"/>
        </w:rPr>
      </w:pPr>
    </w:p>
    <w:p w:rsidR="002D0394" w:rsidRPr="00BC3A61" w:rsidRDefault="002D0394" w:rsidP="002D0394">
      <w:pPr>
        <w:numPr>
          <w:ilvl w:val="0"/>
          <w:numId w:val="12"/>
        </w:numPr>
        <w:spacing w:after="200" w:line="240" w:lineRule="auto"/>
        <w:ind w:left="502" w:firstLine="1058"/>
        <w:contextualSpacing/>
        <w:jc w:val="both"/>
        <w:rPr>
          <w:rFonts w:ascii="Lato" w:eastAsiaTheme="minorHAnsi" w:hAnsi="Lato" w:cs="Arial"/>
          <w:sz w:val="20"/>
          <w:szCs w:val="20"/>
          <w:lang w:eastAsia="en-US"/>
        </w:rPr>
      </w:pPr>
      <w:r w:rsidRPr="00BC3A61">
        <w:rPr>
          <w:rFonts w:ascii="Lato" w:eastAsiaTheme="minorHAnsi" w:hAnsi="Lato" w:cs="Arial"/>
          <w:sz w:val="20"/>
          <w:szCs w:val="20"/>
          <w:lang w:eastAsia="en-US"/>
        </w:rPr>
        <w:lastRenderedPageBreak/>
        <w:t>Respecto a cuentas contables distintas a Bancos, se ha concluido la depuración de aquellas que datan del ejercicio 2002 y cuyo importe corresponde a las de mayor relevancia:</w:t>
      </w:r>
    </w:p>
    <w:p w:rsidR="00BB43EC" w:rsidRPr="00BC3A61" w:rsidRDefault="00BB43EC" w:rsidP="00BB43EC">
      <w:pPr>
        <w:pStyle w:val="Prrafodelista"/>
        <w:numPr>
          <w:ilvl w:val="0"/>
          <w:numId w:val="15"/>
        </w:numPr>
        <w:spacing w:after="200"/>
        <w:jc w:val="both"/>
        <w:rPr>
          <w:rFonts w:ascii="Lato" w:hAnsi="Lato" w:cs="Arial"/>
          <w:sz w:val="20"/>
          <w:szCs w:val="20"/>
        </w:rPr>
      </w:pPr>
      <w:r w:rsidRPr="00BC3A61">
        <w:rPr>
          <w:rFonts w:ascii="Lato" w:hAnsi="Lato" w:cs="Arial"/>
          <w:sz w:val="20"/>
          <w:szCs w:val="20"/>
        </w:rPr>
        <w:t>L</w:t>
      </w:r>
      <w:r w:rsidR="002D0394" w:rsidRPr="00BC3A61">
        <w:rPr>
          <w:rFonts w:ascii="Lato" w:hAnsi="Lato" w:cs="Arial"/>
          <w:sz w:val="20"/>
          <w:szCs w:val="20"/>
        </w:rPr>
        <w:t xml:space="preserve">a cuenta de construcciones en proceso, corresponden a proyectos recientes estando a la espera de recibir la documentación para el registro </w:t>
      </w:r>
      <w:r w:rsidRPr="00BC3A61">
        <w:rPr>
          <w:rFonts w:ascii="Lato" w:hAnsi="Lato" w:cs="Arial"/>
          <w:sz w:val="20"/>
          <w:szCs w:val="20"/>
        </w:rPr>
        <w:t>a su</w:t>
      </w:r>
      <w:r w:rsidR="002D0394" w:rsidRPr="00BC3A61">
        <w:rPr>
          <w:rFonts w:ascii="Lato" w:hAnsi="Lato" w:cs="Arial"/>
          <w:sz w:val="20"/>
          <w:szCs w:val="20"/>
        </w:rPr>
        <w:t xml:space="preserve"> conclusión.</w:t>
      </w:r>
    </w:p>
    <w:p w:rsidR="00BB43EC" w:rsidRPr="00BC3A61" w:rsidRDefault="002D0394" w:rsidP="00BB43EC">
      <w:pPr>
        <w:pStyle w:val="Prrafodelista"/>
        <w:numPr>
          <w:ilvl w:val="0"/>
          <w:numId w:val="15"/>
        </w:numPr>
        <w:spacing w:after="200"/>
        <w:jc w:val="both"/>
        <w:rPr>
          <w:rFonts w:ascii="Lato" w:hAnsi="Lato" w:cs="Arial"/>
          <w:sz w:val="20"/>
          <w:szCs w:val="20"/>
        </w:rPr>
      </w:pPr>
      <w:r w:rsidRPr="00BC3A61">
        <w:rPr>
          <w:rFonts w:ascii="Lato" w:hAnsi="Lato" w:cs="Arial"/>
          <w:sz w:val="20"/>
          <w:szCs w:val="20"/>
        </w:rPr>
        <w:t xml:space="preserve">Kantunil Cancún. Inversiones financieras a Largo Plazo, igualmente se realizaron indagaciones ante instancias externas con la finalidad de obtener información, de las aportaciones realizadas a las empresas, fideicomisos y fondos que integran el saldo, así como información sobre si permanecen en funciones, </w:t>
      </w:r>
      <w:r w:rsidR="00BB43EC" w:rsidRPr="00BC3A61">
        <w:rPr>
          <w:rFonts w:ascii="Lato" w:hAnsi="Lato" w:cs="Arial"/>
          <w:sz w:val="20"/>
          <w:szCs w:val="20"/>
        </w:rPr>
        <w:t xml:space="preserve">se </w:t>
      </w:r>
      <w:r w:rsidRPr="00BC3A61">
        <w:rPr>
          <w:rFonts w:ascii="Lato" w:hAnsi="Lato" w:cs="Arial"/>
          <w:sz w:val="20"/>
          <w:szCs w:val="20"/>
        </w:rPr>
        <w:t>continua en indagación con distintas instancias.</w:t>
      </w:r>
    </w:p>
    <w:p w:rsidR="002D0394" w:rsidRPr="00BC3A61" w:rsidRDefault="002D0394" w:rsidP="00BB43EC">
      <w:pPr>
        <w:pStyle w:val="Prrafodelista"/>
        <w:numPr>
          <w:ilvl w:val="0"/>
          <w:numId w:val="15"/>
        </w:numPr>
        <w:spacing w:after="200"/>
        <w:jc w:val="both"/>
        <w:rPr>
          <w:rFonts w:ascii="Lato" w:hAnsi="Lato" w:cs="Arial"/>
          <w:sz w:val="20"/>
          <w:szCs w:val="20"/>
        </w:rPr>
      </w:pPr>
      <w:r w:rsidRPr="00BC3A61">
        <w:rPr>
          <w:rFonts w:ascii="Lato" w:hAnsi="Lato" w:cs="Arial"/>
          <w:sz w:val="20"/>
          <w:szCs w:val="20"/>
        </w:rPr>
        <w:t>Se concluyó la depuración de cuentas que integran el pasivo como: Fonacot, Acreedores Diversos, así mismo se realizó el análisis del saldo de la cuenta de la Hacienda Pública.</w:t>
      </w:r>
    </w:p>
    <w:p w:rsidR="002D0394" w:rsidRPr="00BC3A61" w:rsidRDefault="002D0394" w:rsidP="002D0394">
      <w:pPr>
        <w:spacing w:after="200" w:line="240" w:lineRule="auto"/>
        <w:ind w:left="720" w:firstLine="709"/>
        <w:contextualSpacing/>
        <w:jc w:val="both"/>
        <w:rPr>
          <w:rFonts w:ascii="Lato" w:eastAsiaTheme="minorHAnsi" w:hAnsi="Lato" w:cs="Arial"/>
          <w:b/>
          <w:sz w:val="20"/>
          <w:szCs w:val="20"/>
          <w:lang w:eastAsia="en-US"/>
        </w:rPr>
      </w:pPr>
      <w:r w:rsidRPr="00BC3A61">
        <w:rPr>
          <w:rFonts w:ascii="Lato" w:eastAsiaTheme="minorHAnsi" w:hAnsi="Lato" w:cs="Arial"/>
          <w:b/>
          <w:sz w:val="20"/>
          <w:szCs w:val="20"/>
          <w:lang w:eastAsia="en-US"/>
        </w:rPr>
        <w:t xml:space="preserve">MEJORAS EN REGISTROS DEL PATRIMONIO </w:t>
      </w:r>
    </w:p>
    <w:p w:rsidR="002D0394" w:rsidRPr="00BC3A61" w:rsidRDefault="002D0394" w:rsidP="00BB43EC">
      <w:pPr>
        <w:numPr>
          <w:ilvl w:val="0"/>
          <w:numId w:val="12"/>
        </w:numPr>
        <w:spacing w:after="200" w:line="240" w:lineRule="auto"/>
        <w:ind w:left="502" w:firstLine="1058"/>
        <w:contextualSpacing/>
        <w:jc w:val="both"/>
        <w:rPr>
          <w:rFonts w:ascii="Lato" w:eastAsiaTheme="minorHAnsi" w:hAnsi="Lato" w:cs="Arial"/>
          <w:sz w:val="20"/>
          <w:szCs w:val="20"/>
          <w:lang w:eastAsia="en-US"/>
        </w:rPr>
      </w:pPr>
      <w:r w:rsidRPr="00BC3A61">
        <w:rPr>
          <w:rFonts w:ascii="Lato" w:eastAsiaTheme="minorHAnsi" w:hAnsi="Lato" w:cs="Arial"/>
          <w:sz w:val="20"/>
          <w:szCs w:val="20"/>
          <w:lang w:eastAsia="en-US"/>
        </w:rPr>
        <w:t>En el proceso de conciliación de los saldos contables por familia de los bienes muebles, se esta integrando la información en patrimonio y contabilidad de la Secretaría de Educación, debido a que en el Sistema Integral del Gobierno del Estado de Yucatán no se encuentra la información de los bienes muebles de las escuelas de la Secretaría de Educación, que se controlan y registran en un sistema propio de la Secretaría de Educación y cuyas altas y bajas de bienes muebles de escuelas se integran al sistema de contabilidad por medio de registro manual, la Secretaría de Educación realizó gestiones solicitando que los reportes de bienes muebles que se generan de su sistema se reconozcan y adicionen a los reportes del Sistema de Control Patrimonial para realizar la integración de los bienes muebles.</w:t>
      </w:r>
    </w:p>
    <w:p w:rsidR="002D0394" w:rsidRPr="00BC3A61" w:rsidRDefault="002D0394" w:rsidP="002D0394">
      <w:pPr>
        <w:spacing w:after="200" w:line="240" w:lineRule="auto"/>
        <w:ind w:left="502" w:firstLine="709"/>
        <w:contextualSpacing/>
        <w:jc w:val="both"/>
        <w:rPr>
          <w:rFonts w:ascii="Lato" w:eastAsiaTheme="minorHAnsi" w:hAnsi="Lato" w:cs="Arial"/>
          <w:sz w:val="20"/>
          <w:szCs w:val="20"/>
          <w:lang w:eastAsia="en-US"/>
        </w:rPr>
      </w:pPr>
    </w:p>
    <w:p w:rsidR="002D0394" w:rsidRPr="00BC3A61" w:rsidRDefault="002D0394" w:rsidP="002D0394">
      <w:pPr>
        <w:numPr>
          <w:ilvl w:val="0"/>
          <w:numId w:val="12"/>
        </w:numPr>
        <w:spacing w:after="0" w:line="240" w:lineRule="auto"/>
        <w:ind w:left="502" w:firstLine="709"/>
        <w:contextualSpacing/>
        <w:jc w:val="both"/>
        <w:rPr>
          <w:rFonts w:ascii="Lato" w:eastAsiaTheme="minorHAnsi" w:hAnsi="Lato" w:cs="Arial"/>
          <w:sz w:val="20"/>
          <w:szCs w:val="20"/>
          <w:lang w:eastAsia="en-US"/>
        </w:rPr>
      </w:pPr>
      <w:r w:rsidRPr="00BC3A61">
        <w:rPr>
          <w:rFonts w:ascii="Lato" w:eastAsiaTheme="minorHAnsi" w:hAnsi="Lato" w:cs="Arial"/>
          <w:sz w:val="20"/>
          <w:szCs w:val="20"/>
          <w:lang w:eastAsia="en-US"/>
        </w:rPr>
        <w:t>En el mes de junio de 2024 se inició el uso del módulo de Almacenes, en el sistema integral.  Los ejecutores del gasto que tengan almacenes con existencia de materiales y suministros de consumo para e</w:t>
      </w:r>
      <w:r w:rsidR="00BB43EC" w:rsidRPr="00BC3A61">
        <w:rPr>
          <w:rFonts w:ascii="Lato" w:eastAsiaTheme="minorHAnsi" w:hAnsi="Lato" w:cs="Arial"/>
          <w:sz w:val="20"/>
          <w:szCs w:val="20"/>
          <w:lang w:eastAsia="en-US"/>
        </w:rPr>
        <w:t xml:space="preserve">l desempeño de sus actividades registran, </w:t>
      </w:r>
      <w:r w:rsidRPr="00BC3A61">
        <w:rPr>
          <w:rFonts w:ascii="Lato" w:eastAsiaTheme="minorHAnsi" w:hAnsi="Lato" w:cs="Arial"/>
          <w:sz w:val="20"/>
          <w:szCs w:val="20"/>
          <w:lang w:eastAsia="en-US"/>
        </w:rPr>
        <w:t>para dar cumplimiento a la normatividad establecida por la Dirección General de Control Patrimonial, Inmobiliario y Almacenes.</w:t>
      </w:r>
    </w:p>
    <w:p w:rsidR="002D0394" w:rsidRPr="00BC3A61" w:rsidRDefault="002D0394" w:rsidP="002D0394">
      <w:pPr>
        <w:spacing w:after="0" w:line="240" w:lineRule="auto"/>
        <w:ind w:left="720" w:firstLine="709"/>
        <w:contextualSpacing/>
        <w:jc w:val="both"/>
        <w:rPr>
          <w:rFonts w:ascii="Lato" w:eastAsiaTheme="minorHAnsi" w:hAnsi="Lato" w:cs="Arial"/>
          <w:sz w:val="20"/>
          <w:szCs w:val="20"/>
          <w:lang w:eastAsia="en-US"/>
        </w:rPr>
      </w:pPr>
    </w:p>
    <w:p w:rsidR="002D0394" w:rsidRPr="00BC3A61" w:rsidRDefault="002D0394" w:rsidP="002D0394">
      <w:pPr>
        <w:pStyle w:val="Prrafodelista"/>
        <w:numPr>
          <w:ilvl w:val="0"/>
          <w:numId w:val="12"/>
        </w:numPr>
        <w:spacing w:after="200"/>
        <w:ind w:left="1701"/>
        <w:jc w:val="both"/>
        <w:rPr>
          <w:rFonts w:ascii="Lato" w:hAnsi="Lato" w:cs="Arial"/>
          <w:b/>
          <w:sz w:val="20"/>
          <w:szCs w:val="20"/>
        </w:rPr>
      </w:pPr>
      <w:r w:rsidRPr="00BC3A61">
        <w:rPr>
          <w:rFonts w:ascii="Lato" w:hAnsi="Lato" w:cs="Arial"/>
          <w:b/>
          <w:sz w:val="20"/>
          <w:szCs w:val="20"/>
        </w:rPr>
        <w:t xml:space="preserve">DEL GASTO DE INVERSION Y DE LAS APORTACIONES. </w:t>
      </w:r>
    </w:p>
    <w:p w:rsidR="002D0394" w:rsidRPr="00BC3A61" w:rsidRDefault="002D0394" w:rsidP="002D0394">
      <w:pPr>
        <w:spacing w:after="200" w:line="240" w:lineRule="auto"/>
        <w:ind w:left="502" w:firstLine="709"/>
        <w:contextualSpacing/>
        <w:jc w:val="both"/>
        <w:rPr>
          <w:rFonts w:ascii="Lato" w:eastAsiaTheme="minorHAnsi" w:hAnsi="Lato" w:cs="Arial"/>
          <w:sz w:val="20"/>
          <w:szCs w:val="20"/>
          <w:lang w:eastAsia="en-US"/>
        </w:rPr>
      </w:pPr>
      <w:r w:rsidRPr="00BC3A61">
        <w:rPr>
          <w:rFonts w:ascii="Lato" w:eastAsiaTheme="minorHAnsi" w:hAnsi="Lato" w:cs="Arial"/>
          <w:sz w:val="20"/>
          <w:szCs w:val="20"/>
          <w:lang w:eastAsia="en-US"/>
        </w:rPr>
        <w:t>Debido a que se identificaron áreas de oportunidad en los registros de las aportaciones de capital realizadas a las empresas de participación mayoritaria estatal, se procedió a la integración, depuración y conciliación de la totalidad del saldo de la cuenta. Resultado de la depuración se advirtió que en los casos del Aeropuerto de Chichen Itzá, S.A. de C.V. y del Sistema Tele Yucatán de C.V., empresas de participación mayoritaria estatal, las aportaciones realizadas en años anteriores, se encontraban registradas parcialmente en Participaciones y Aportaciones de Capital.</w:t>
      </w:r>
    </w:p>
    <w:p w:rsidR="002D0394" w:rsidRPr="00BC3A61" w:rsidRDefault="002D0394" w:rsidP="002D0394">
      <w:pPr>
        <w:spacing w:after="200" w:line="240" w:lineRule="auto"/>
        <w:ind w:left="502" w:firstLine="709"/>
        <w:contextualSpacing/>
        <w:jc w:val="both"/>
        <w:rPr>
          <w:rFonts w:ascii="Lato" w:eastAsiaTheme="minorHAnsi" w:hAnsi="Lato" w:cs="Arial"/>
          <w:sz w:val="20"/>
          <w:szCs w:val="20"/>
          <w:lang w:eastAsia="en-US"/>
        </w:rPr>
      </w:pPr>
      <w:r w:rsidRPr="00BC3A61">
        <w:rPr>
          <w:rFonts w:ascii="Lato" w:eastAsiaTheme="minorHAnsi" w:hAnsi="Lato" w:cs="Arial"/>
          <w:sz w:val="20"/>
          <w:szCs w:val="20"/>
          <w:lang w:eastAsia="en-US"/>
        </w:rPr>
        <w:t xml:space="preserve"> Se realizaron aportaciones a la empresa Aeropuerto de Chichen Itzá, S.A. de C.V. por un importe de $1.6 mdp durante el ejercicio 2020 y durante los ejercicios 2021, 2022 y 2023 se aportaron $1.1 mdp en cada uno de los años, en los ejercicios 2024 y 2025 se aportaron $1.3 mdp, durante el presente ejercicio se</w:t>
      </w:r>
      <w:r w:rsidR="00BB43EC" w:rsidRPr="00BC3A61">
        <w:rPr>
          <w:rFonts w:ascii="Lato" w:eastAsiaTheme="minorHAnsi" w:hAnsi="Lato" w:cs="Arial"/>
          <w:sz w:val="20"/>
          <w:szCs w:val="20"/>
          <w:lang w:eastAsia="en-US"/>
        </w:rPr>
        <w:t xml:space="preserve"> han aportado $ .9</w:t>
      </w:r>
      <w:r w:rsidRPr="00BC3A61">
        <w:rPr>
          <w:rFonts w:ascii="Lato" w:eastAsiaTheme="minorHAnsi" w:hAnsi="Lato" w:cs="Arial"/>
          <w:sz w:val="20"/>
          <w:szCs w:val="20"/>
          <w:lang w:eastAsia="en-US"/>
        </w:rPr>
        <w:t>mdp, aportaciones para incrementar el capital, e</w:t>
      </w:r>
      <w:r w:rsidR="00194A0D" w:rsidRPr="00BC3A61">
        <w:rPr>
          <w:rFonts w:ascii="Lato" w:eastAsiaTheme="minorHAnsi" w:hAnsi="Lato" w:cs="Arial"/>
          <w:sz w:val="20"/>
          <w:szCs w:val="20"/>
          <w:lang w:eastAsia="en-US"/>
        </w:rPr>
        <w:t xml:space="preserve">xiten </w:t>
      </w:r>
      <w:r w:rsidRPr="00BC3A61">
        <w:rPr>
          <w:rFonts w:ascii="Lato" w:eastAsiaTheme="minorHAnsi" w:hAnsi="Lato" w:cs="Arial"/>
          <w:sz w:val="20"/>
          <w:szCs w:val="20"/>
          <w:lang w:eastAsia="en-US"/>
        </w:rPr>
        <w:t xml:space="preserve">aportaciones </w:t>
      </w:r>
      <w:r w:rsidR="00194A0D" w:rsidRPr="00BC3A61">
        <w:rPr>
          <w:rFonts w:ascii="Lato" w:eastAsiaTheme="minorHAnsi" w:hAnsi="Lato" w:cs="Arial"/>
          <w:sz w:val="20"/>
          <w:szCs w:val="20"/>
          <w:lang w:eastAsia="en-US"/>
        </w:rPr>
        <w:t xml:space="preserve">que </w:t>
      </w:r>
      <w:r w:rsidRPr="00BC3A61">
        <w:rPr>
          <w:rFonts w:ascii="Lato" w:eastAsiaTheme="minorHAnsi" w:hAnsi="Lato" w:cs="Arial"/>
          <w:sz w:val="20"/>
          <w:szCs w:val="20"/>
          <w:lang w:eastAsia="en-US"/>
        </w:rPr>
        <w:t xml:space="preserve">se encuentran pendientes de formalizar. </w:t>
      </w:r>
    </w:p>
    <w:p w:rsidR="002D0394" w:rsidRPr="00BC3A61" w:rsidRDefault="002D0394" w:rsidP="002D0394">
      <w:pPr>
        <w:spacing w:after="200" w:line="240" w:lineRule="auto"/>
        <w:ind w:left="567" w:firstLine="709"/>
        <w:jc w:val="both"/>
        <w:rPr>
          <w:rFonts w:ascii="Lato" w:hAnsi="Lato" w:cs="Arial"/>
          <w:sz w:val="20"/>
          <w:szCs w:val="20"/>
        </w:rPr>
      </w:pPr>
      <w:r w:rsidRPr="00BC3A61">
        <w:rPr>
          <w:rFonts w:ascii="Lato" w:hAnsi="Lato" w:cs="Arial"/>
          <w:sz w:val="20"/>
          <w:szCs w:val="20"/>
        </w:rPr>
        <w:t xml:space="preserve"> A la empresa Portuaria Yucateca, SA de CV, durante el ejercicio 2021 se le aportaron $560,000.00. para incremento de su capital, con lo aportado originalmente, hacen un total de 6.1 md. en proceso de suscripción.</w:t>
      </w:r>
    </w:p>
    <w:p w:rsidR="002D0394" w:rsidRPr="00BC3A61" w:rsidRDefault="002D0394" w:rsidP="002D0394">
      <w:pPr>
        <w:spacing w:after="200" w:line="240" w:lineRule="auto"/>
        <w:ind w:left="567" w:firstLine="709"/>
        <w:jc w:val="both"/>
        <w:rPr>
          <w:rFonts w:ascii="Lato" w:hAnsi="Lato" w:cs="Arial"/>
          <w:sz w:val="20"/>
          <w:szCs w:val="20"/>
        </w:rPr>
      </w:pPr>
      <w:r w:rsidRPr="00BC3A61">
        <w:rPr>
          <w:rFonts w:ascii="Lato" w:hAnsi="Lato" w:cs="Arial"/>
          <w:sz w:val="20"/>
          <w:szCs w:val="20"/>
        </w:rPr>
        <w:t>Se ha realizadó una aportación al capital a la Operadora Energética y Maritima de Yucatán, S.A. de C.V. por la cantidad de $255,000.00</w:t>
      </w:r>
    </w:p>
    <w:p w:rsidR="002D0394" w:rsidRPr="00BC3A61" w:rsidRDefault="002D0394" w:rsidP="002D0394">
      <w:pPr>
        <w:spacing w:after="200" w:line="240" w:lineRule="auto"/>
        <w:ind w:left="567" w:firstLine="709"/>
        <w:jc w:val="both"/>
        <w:rPr>
          <w:rFonts w:ascii="Lato" w:hAnsi="Lato" w:cs="Arial"/>
          <w:sz w:val="20"/>
          <w:szCs w:val="20"/>
        </w:rPr>
      </w:pPr>
      <w:r w:rsidRPr="00BC3A61">
        <w:rPr>
          <w:rFonts w:ascii="Lato" w:hAnsi="Lato" w:cs="Arial"/>
          <w:sz w:val="20"/>
          <w:szCs w:val="20"/>
        </w:rPr>
        <w:lastRenderedPageBreak/>
        <w:tab/>
        <w:t xml:space="preserve">Por su parte en el rubro de Fideicomisos, desde el ejercicio de 2014 la Secretaría de Administración y Finanzas refleja en la contabilidad del Poder Ejecutivo los importes de los Fideicomisos sin estructura orgánica como una medida de control respecto a la transparencia y rendición de cuentas; con independencia del tipo de ente público que lo controla, ya sean Dependencias Centralizadas, Organismos Autónomos o Paraestatales. </w:t>
      </w:r>
    </w:p>
    <w:p w:rsidR="002D0394" w:rsidRPr="00BC3A61" w:rsidRDefault="002D0394" w:rsidP="002D0394">
      <w:pPr>
        <w:spacing w:after="200" w:line="240" w:lineRule="auto"/>
        <w:ind w:left="567" w:firstLine="709"/>
        <w:jc w:val="both"/>
        <w:rPr>
          <w:rFonts w:ascii="Lato" w:hAnsi="Lato" w:cs="Arial"/>
          <w:sz w:val="20"/>
          <w:szCs w:val="20"/>
        </w:rPr>
      </w:pPr>
      <w:r w:rsidRPr="00BC3A61">
        <w:rPr>
          <w:rFonts w:ascii="Lato" w:hAnsi="Lato" w:cs="Arial"/>
          <w:sz w:val="20"/>
          <w:szCs w:val="20"/>
        </w:rPr>
        <w:t xml:space="preserve">Sin embargo, durante el ejercicio 2023 se realizó una revisión integral de forma interna, ubicando que una de las principales áreas de oportunidad radica en que ahora se tiene que realizar la distinción del ente público que lo controla. </w:t>
      </w:r>
    </w:p>
    <w:p w:rsidR="002D0394" w:rsidRPr="00BC3A61" w:rsidRDefault="002D0394" w:rsidP="002D0394">
      <w:pPr>
        <w:spacing w:after="200" w:line="240" w:lineRule="auto"/>
        <w:ind w:left="567" w:firstLine="709"/>
        <w:jc w:val="both"/>
        <w:rPr>
          <w:rFonts w:ascii="Lato" w:hAnsi="Lato" w:cs="Arial"/>
          <w:sz w:val="20"/>
          <w:szCs w:val="20"/>
        </w:rPr>
      </w:pPr>
      <w:r w:rsidRPr="00BC3A61">
        <w:rPr>
          <w:rFonts w:ascii="Lato" w:hAnsi="Lato" w:cs="Arial"/>
          <w:sz w:val="20"/>
          <w:szCs w:val="20"/>
        </w:rPr>
        <w:t xml:space="preserve">Con base en lo anterior, se tiene conocimiento de 3 modalidades de fideicomisos conforme a la clasificación del ente público que lo controla, que son los siguientes: </w:t>
      </w:r>
    </w:p>
    <w:p w:rsidR="002D0394" w:rsidRPr="00BC3A61" w:rsidRDefault="002D0394" w:rsidP="002D0394">
      <w:pPr>
        <w:spacing w:after="200" w:line="240" w:lineRule="auto"/>
        <w:ind w:left="567" w:firstLine="709"/>
        <w:jc w:val="both"/>
        <w:rPr>
          <w:rFonts w:ascii="Lato" w:hAnsi="Lato" w:cs="Arial"/>
          <w:sz w:val="20"/>
          <w:szCs w:val="20"/>
        </w:rPr>
      </w:pPr>
      <w:r w:rsidRPr="00BC3A61">
        <w:rPr>
          <w:rFonts w:ascii="Lato" w:hAnsi="Lato" w:cs="Arial"/>
          <w:sz w:val="20"/>
          <w:szCs w:val="20"/>
        </w:rPr>
        <w:t xml:space="preserve">a) Tratándose de los fideicomisos que corresponden a la Secretaría de Administración y Finanzas, estos tienen cierto impacto tanto en los ingresos como en los egresos; por lo que, se elaboró un procedimiento con la finalidad de estandarizar los registros y delimitar las acciones entre las áreas de Deuda Pública y la Dirección de Consolidación de la Información Financiera. </w:t>
      </w:r>
    </w:p>
    <w:p w:rsidR="002D0394" w:rsidRPr="00BC3A61" w:rsidRDefault="002D0394" w:rsidP="002D0394">
      <w:pPr>
        <w:spacing w:line="240" w:lineRule="auto"/>
        <w:ind w:left="567" w:firstLine="709"/>
        <w:jc w:val="both"/>
        <w:rPr>
          <w:rFonts w:ascii="Lato" w:hAnsi="Lato" w:cs="Arial"/>
          <w:sz w:val="20"/>
          <w:szCs w:val="20"/>
        </w:rPr>
      </w:pPr>
      <w:r w:rsidRPr="00BC3A61">
        <w:rPr>
          <w:rFonts w:ascii="Lato" w:hAnsi="Lato" w:cs="Arial"/>
          <w:sz w:val="20"/>
          <w:szCs w:val="20"/>
        </w:rPr>
        <w:t xml:space="preserve">b) En el caso de los fideicomisos de las Dependencias Centralizadas, con base en un comunicado oficial realizado por los directores administrativos, se realizan registros que derivan en un efecto neto, pero faltando el registro especifico de los ingresos que reciban por vías distintas de la Secretaría de Administración y Finanzas, así como gastos y productos financieros que se hubieran generado. </w:t>
      </w:r>
    </w:p>
    <w:p w:rsidR="002D0394" w:rsidRPr="00BC3A61" w:rsidRDefault="002D0394" w:rsidP="002D0394">
      <w:pPr>
        <w:spacing w:line="240" w:lineRule="auto"/>
        <w:ind w:left="567" w:firstLine="709"/>
        <w:jc w:val="both"/>
        <w:rPr>
          <w:rFonts w:ascii="Lato" w:hAnsi="Lato" w:cs="Arial"/>
          <w:sz w:val="20"/>
          <w:szCs w:val="20"/>
        </w:rPr>
      </w:pPr>
      <w:r w:rsidRPr="00BC3A61">
        <w:rPr>
          <w:rFonts w:ascii="Lato" w:hAnsi="Lato" w:cs="Arial"/>
          <w:sz w:val="20"/>
          <w:szCs w:val="20"/>
        </w:rPr>
        <w:t xml:space="preserve">c) En el caso de los fideicomisos que corresponden a Organismos Autónomos y Paraestatales, estos no deberían presentarse en la contabilidad del Ejecutivo, lo anterior de conformidad con lo establecido en los lineamientos emitidos por el CONAC; </w:t>
      </w:r>
      <w:r w:rsidR="00E036F5" w:rsidRPr="00BC3A61">
        <w:rPr>
          <w:rFonts w:ascii="Lato" w:hAnsi="Lato" w:cs="Arial"/>
          <w:sz w:val="20"/>
          <w:szCs w:val="20"/>
        </w:rPr>
        <w:t xml:space="preserve">por lo anterior </w:t>
      </w:r>
      <w:r w:rsidRPr="00BC3A61">
        <w:rPr>
          <w:rFonts w:ascii="Lato" w:hAnsi="Lato" w:cs="Arial"/>
          <w:sz w:val="20"/>
          <w:szCs w:val="20"/>
        </w:rPr>
        <w:t>en el ejercicio 2025 se realizaron los ajustes, para que estos fideicomisos no formen parte de los Estados Financieros del sector centralizado del Poder Ejecutivo.</w:t>
      </w:r>
    </w:p>
    <w:p w:rsidR="002D0394" w:rsidRPr="00BC3A61" w:rsidRDefault="002D0394" w:rsidP="002D0394">
      <w:pPr>
        <w:spacing w:after="200" w:line="240" w:lineRule="auto"/>
        <w:ind w:left="567" w:firstLine="709"/>
        <w:jc w:val="both"/>
        <w:rPr>
          <w:rFonts w:ascii="Lato" w:hAnsi="Lato" w:cs="Arial"/>
          <w:sz w:val="20"/>
          <w:szCs w:val="20"/>
        </w:rPr>
      </w:pPr>
      <w:r w:rsidRPr="00BC3A61">
        <w:rPr>
          <w:rFonts w:ascii="Lato" w:hAnsi="Lato" w:cs="Arial"/>
          <w:sz w:val="20"/>
          <w:szCs w:val="20"/>
        </w:rPr>
        <w:tab/>
        <w:t xml:space="preserve">En caso específico del Fideicomiso para el desarrollo regional del Sur Sureste FIDESUR, formamos parte del Fideicomiso, en el que participan diversos estados de la región, en el ejercicio 2025 se conlcuyó su extinción. </w:t>
      </w:r>
    </w:p>
    <w:p w:rsidR="002D0394" w:rsidRPr="00BC3A61" w:rsidRDefault="002D0394" w:rsidP="002D0394">
      <w:pPr>
        <w:spacing w:after="200" w:line="240" w:lineRule="auto"/>
        <w:ind w:left="567" w:firstLine="709"/>
        <w:jc w:val="both"/>
        <w:rPr>
          <w:rFonts w:ascii="Lato" w:hAnsi="Lato" w:cs="Arial"/>
          <w:sz w:val="20"/>
          <w:szCs w:val="20"/>
        </w:rPr>
      </w:pPr>
      <w:r w:rsidRPr="00BC3A61">
        <w:rPr>
          <w:rFonts w:ascii="Lato" w:hAnsi="Lato" w:cs="Arial"/>
          <w:sz w:val="20"/>
          <w:szCs w:val="20"/>
        </w:rPr>
        <w:t>Las cifras del Sector Centralizado del Poder Ejecutivo del Estado de Yucatán, que se presentan en los Estados Financieros y en estas notas que son parte integrante de los mismos, son cifras previas de la Cuenta Pública 2026.</w:t>
      </w:r>
    </w:p>
    <w:p w:rsidR="002D0394" w:rsidRDefault="002D0394" w:rsidP="002D0394">
      <w:pPr>
        <w:rPr>
          <w:rFonts w:ascii="Lato" w:eastAsiaTheme="minorHAnsi" w:hAnsi="Lato" w:cs="Arial"/>
          <w:sz w:val="20"/>
          <w:szCs w:val="20"/>
          <w:lang w:eastAsia="en-US"/>
        </w:rPr>
      </w:pPr>
      <w:r w:rsidRPr="00BC3A61">
        <w:rPr>
          <w:rFonts w:ascii="Lato" w:eastAsiaTheme="minorHAnsi" w:hAnsi="Lato" w:cs="Arial"/>
          <w:sz w:val="20"/>
          <w:szCs w:val="20"/>
          <w:lang w:eastAsia="en-US"/>
        </w:rPr>
        <w:t>En lo que respecta a la plataforma administrativa del Gobierno del Estado, se continúa en la etapa de implementación de nuevos módulos al Sistema integral de Gestión Gubernamental, con el fin de continuar con la transición del sistema.</w:t>
      </w:r>
    </w:p>
    <w:p w:rsidR="00E873CD" w:rsidRPr="00BC3A61" w:rsidRDefault="00196B7D">
      <w:pPr>
        <w:ind w:left="600"/>
        <w:rPr>
          <w:rFonts w:ascii="Lato" w:eastAsia="Times New Roman" w:hAnsi="Lato"/>
          <w:sz w:val="20"/>
          <w:szCs w:val="20"/>
        </w:rPr>
      </w:pPr>
      <w:r w:rsidRPr="00BC3A61">
        <w:rPr>
          <w:rStyle w:val="Textoennegrita"/>
          <w:rFonts w:ascii="Lato" w:eastAsia="Times New Roman" w:hAnsi="Lato"/>
          <w:sz w:val="20"/>
          <w:szCs w:val="20"/>
        </w:rPr>
        <w:t>13.- Información por Segmentos, No aplica.</w:t>
      </w:r>
    </w:p>
    <w:p w:rsidR="00E873CD" w:rsidRPr="00BC3A61" w:rsidRDefault="00196B7D">
      <w:pPr>
        <w:ind w:left="600"/>
        <w:rPr>
          <w:rFonts w:ascii="Lato" w:eastAsia="Times New Roman" w:hAnsi="Lato"/>
          <w:sz w:val="20"/>
          <w:szCs w:val="20"/>
        </w:rPr>
      </w:pPr>
      <w:r w:rsidRPr="00BC3A61">
        <w:rPr>
          <w:rStyle w:val="Textoennegrita"/>
          <w:rFonts w:ascii="Lato" w:eastAsia="Times New Roman" w:hAnsi="Lato"/>
          <w:sz w:val="20"/>
          <w:szCs w:val="20"/>
        </w:rPr>
        <w:t>14.- Eventos Posteriores. No aplica.</w:t>
      </w:r>
    </w:p>
    <w:p w:rsidR="00E873CD" w:rsidRPr="00BC3A61" w:rsidRDefault="00196B7D">
      <w:pPr>
        <w:ind w:left="600"/>
        <w:rPr>
          <w:rFonts w:ascii="Lato" w:eastAsia="Times New Roman" w:hAnsi="Lato"/>
          <w:sz w:val="20"/>
          <w:szCs w:val="20"/>
        </w:rPr>
      </w:pPr>
      <w:r w:rsidRPr="00BC3A61">
        <w:rPr>
          <w:rStyle w:val="Textoennegrita"/>
          <w:rFonts w:ascii="Lato" w:eastAsia="Times New Roman" w:hAnsi="Lato"/>
          <w:sz w:val="20"/>
          <w:szCs w:val="20"/>
        </w:rPr>
        <w:t>15.- Partes Relacionadas, No aplica.</w:t>
      </w:r>
    </w:p>
    <w:p w:rsidR="00E873CD" w:rsidRPr="00BC3A61" w:rsidRDefault="00E873CD">
      <w:pPr>
        <w:rPr>
          <w:rFonts w:ascii="Lato" w:eastAsia="Times New Roman" w:hAnsi="Lato"/>
          <w:sz w:val="20"/>
          <w:szCs w:val="20"/>
        </w:rPr>
      </w:pPr>
    </w:p>
    <w:p w:rsidR="00E873CD" w:rsidRPr="00BC3A61" w:rsidRDefault="00196B7D">
      <w:pPr>
        <w:ind w:left="600"/>
        <w:rPr>
          <w:rFonts w:ascii="Lato" w:eastAsia="Times New Roman" w:hAnsi="Lato"/>
          <w:sz w:val="20"/>
          <w:szCs w:val="20"/>
        </w:rPr>
      </w:pPr>
      <w:r w:rsidRPr="00BC3A61">
        <w:rPr>
          <w:rStyle w:val="Textoennegrita"/>
          <w:rFonts w:ascii="Lato" w:eastAsia="Times New Roman" w:hAnsi="Lato"/>
          <w:sz w:val="20"/>
          <w:szCs w:val="20"/>
        </w:rPr>
        <w:lastRenderedPageBreak/>
        <w:t>B) NOTAS DE DESGLOCE</w:t>
      </w: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t>I) NOTAS AL ESTADO DE ACTIVIDADES</w:t>
      </w: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t>Ingresos de Gestión</w:t>
      </w:r>
    </w:p>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t>Representa el monto de los ingresos recaudados durante el ejercicio fiscal y que se previeron en la Ley de Ingresos del Estado de Yucatán, así como de los recursos que el Poder Ejecutivo recibió del Gobierno Federal, por concepto de Participaciones en Ingresos Federales, Aportaciones y Convenios, como se muestra a continuación:</w:t>
      </w:r>
    </w:p>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t>1.- Las cuentas que integran los ingresos de la gestión, presentan los siguientes saldos:</w:t>
      </w:r>
    </w:p>
    <w:tbl>
      <w:tblPr>
        <w:tblW w:w="2571" w:type="pct"/>
        <w:tblCellSpacing w:w="15" w:type="dxa"/>
        <w:tblCellMar>
          <w:top w:w="15" w:type="dxa"/>
          <w:left w:w="15" w:type="dxa"/>
          <w:bottom w:w="15" w:type="dxa"/>
          <w:right w:w="15" w:type="dxa"/>
        </w:tblCellMar>
        <w:tblLook w:val="04A0" w:firstRow="1" w:lastRow="0" w:firstColumn="1" w:lastColumn="0" w:noHBand="0" w:noVBand="1"/>
      </w:tblPr>
      <w:tblGrid>
        <w:gridCol w:w="4548"/>
        <w:gridCol w:w="2116"/>
      </w:tblGrid>
      <w:tr w:rsidR="00E873CD" w:rsidRPr="00BC3A61" w:rsidTr="00E93349">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INGRESOS DE GESTIÓN</w:t>
            </w:r>
          </w:p>
        </w:tc>
        <w:tc>
          <w:tcPr>
            <w:tcW w:w="1575" w:type="pct"/>
            <w:vAlign w:val="center"/>
            <w:hideMark/>
          </w:tcPr>
          <w:p w:rsidR="00E873CD" w:rsidRPr="00BC3A61" w:rsidRDefault="00E873CD">
            <w:pPr>
              <w:rPr>
                <w:rFonts w:ascii="Lato" w:eastAsia="Times New Roman" w:hAnsi="Lato"/>
                <w:sz w:val="20"/>
                <w:szCs w:val="20"/>
              </w:rPr>
            </w:pPr>
          </w:p>
        </w:tc>
      </w:tr>
      <w:tr w:rsidR="00E873CD" w:rsidRPr="00BC3A61" w:rsidTr="00E93349">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IMPUESTOS</w:t>
            </w:r>
          </w:p>
        </w:tc>
        <w:tc>
          <w:tcPr>
            <w:tcW w:w="1575" w:type="pct"/>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3,972,609,958.00</w:t>
            </w:r>
          </w:p>
        </w:tc>
      </w:tr>
      <w:tr w:rsidR="00E873CD" w:rsidRPr="00BC3A61" w:rsidTr="00E93349">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DERECHOS</w:t>
            </w:r>
          </w:p>
        </w:tc>
        <w:tc>
          <w:tcPr>
            <w:tcW w:w="1575" w:type="pct"/>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1,862,970,746.08</w:t>
            </w:r>
          </w:p>
        </w:tc>
      </w:tr>
      <w:tr w:rsidR="00E873CD" w:rsidRPr="00BC3A61" w:rsidTr="00E93349">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PRODUCTOS</w:t>
            </w:r>
          </w:p>
        </w:tc>
        <w:tc>
          <w:tcPr>
            <w:tcW w:w="1575" w:type="pct"/>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140,157,352.09</w:t>
            </w:r>
          </w:p>
        </w:tc>
      </w:tr>
      <w:tr w:rsidR="00E873CD" w:rsidRPr="00BC3A61" w:rsidTr="00E93349">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APROVECHAMIENTOS</w:t>
            </w:r>
          </w:p>
        </w:tc>
        <w:tc>
          <w:tcPr>
            <w:tcW w:w="1575" w:type="pct"/>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147,511,252.39</w:t>
            </w:r>
          </w:p>
        </w:tc>
      </w:tr>
      <w:tr w:rsidR="00E873CD" w:rsidRPr="00BC3A61" w:rsidTr="00E93349">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1575" w:type="pct"/>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6,123,249,308.56</w:t>
            </w:r>
          </w:p>
        </w:tc>
      </w:tr>
    </w:tbl>
    <w:p w:rsidR="00E873CD" w:rsidRPr="00BC3A61" w:rsidRDefault="00E873CD">
      <w:pPr>
        <w:rPr>
          <w:rFonts w:ascii="Lato" w:eastAsia="Times New Roman" w:hAnsi="Lato"/>
          <w:sz w:val="20"/>
          <w:szCs w:val="20"/>
        </w:rPr>
      </w:pPr>
    </w:p>
    <w:p w:rsidR="00E873CD" w:rsidRDefault="00196B7D">
      <w:pPr>
        <w:jc w:val="both"/>
        <w:divId w:val="1922986418"/>
        <w:rPr>
          <w:rFonts w:ascii="Lato" w:eastAsia="Times New Roman" w:hAnsi="Lato"/>
          <w:sz w:val="20"/>
          <w:szCs w:val="20"/>
        </w:rPr>
      </w:pPr>
      <w:r w:rsidRPr="00BC3A61">
        <w:rPr>
          <w:rFonts w:ascii="Lato" w:eastAsia="Times New Roman" w:hAnsi="Lato"/>
          <w:sz w:val="20"/>
          <w:szCs w:val="20"/>
        </w:rPr>
        <w:t>2.- Las cuentas que integran los ingresos por participaciones, aportaciones, convenios, incentivos derivados de la colaboración fiscal, fondos distintos de aportaciones, transferencias, asignaciones, subsidios y otras ayudas presentan los siguientes saldos:</w:t>
      </w:r>
    </w:p>
    <w:p w:rsidR="00E93349" w:rsidRPr="00BC3A61" w:rsidRDefault="00E93349">
      <w:pPr>
        <w:jc w:val="both"/>
        <w:divId w:val="1922986418"/>
        <w:rPr>
          <w:rFonts w:ascii="Lato" w:eastAsia="Times New Roman" w:hAnsi="Lato"/>
          <w:sz w:val="20"/>
          <w:szCs w:val="20"/>
        </w:rPr>
      </w:pPr>
    </w:p>
    <w:tbl>
      <w:tblPr>
        <w:tblW w:w="4000" w:type="pct"/>
        <w:tblCellSpacing w:w="15" w:type="dxa"/>
        <w:tblCellMar>
          <w:top w:w="15" w:type="dxa"/>
          <w:left w:w="15" w:type="dxa"/>
          <w:bottom w:w="15" w:type="dxa"/>
          <w:right w:w="15" w:type="dxa"/>
        </w:tblCellMar>
        <w:tblLook w:val="04A0" w:firstRow="1" w:lastRow="0" w:firstColumn="1" w:lastColumn="0" w:noHBand="0" w:noVBand="1"/>
      </w:tblPr>
      <w:tblGrid>
        <w:gridCol w:w="8597"/>
        <w:gridCol w:w="1771"/>
      </w:tblGrid>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PARTICIPACIONES, APORTACIONES, CONVENIOS, INCENTIVOS DERIVADOS DE LA COLABORACIÓN FISCAL, FONDOS DISTINTOS DE APORTACIONES, TRANSFERENCIAS, ASIGNACIONES, SUBCIDIOS Y SUBVENCIONES, Y PENSIONES Y JUBILACIONES</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PARTICIPACIONES, APORTACIONES, CONVENIOS, INCENTIVOS DERIVADOS DE LA COLABORACIÓN FISCAL, FONDOS DISTINTOS DE APORTACIONES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36,177,091,486.70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lastRenderedPageBreak/>
              <w:t>TRANSFERENCIAS, ASIGNACIONES, SUBSIDIOS Y SUBVENCIONES, Y PENSIONES Y JUBILACIONES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2,336,042,000.00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38,513,133,486.70</w:t>
            </w:r>
          </w:p>
        </w:tc>
      </w:tr>
    </w:tbl>
    <w:p w:rsidR="00E873CD" w:rsidRPr="00BC3A61" w:rsidRDefault="00E873CD">
      <w:pPr>
        <w:rPr>
          <w:rFonts w:ascii="Lato" w:eastAsia="Times New Roman" w:hAnsi="Lato"/>
          <w:sz w:val="20"/>
          <w:szCs w:val="20"/>
        </w:rPr>
      </w:pP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t>Gastos y Otras Pérdidas</w:t>
      </w:r>
    </w:p>
    <w:p w:rsidR="00E873CD" w:rsidRPr="00BC3A61" w:rsidRDefault="00196B7D">
      <w:pPr>
        <w:rPr>
          <w:rFonts w:ascii="Lato" w:eastAsia="Times New Roman" w:hAnsi="Lato"/>
          <w:sz w:val="20"/>
          <w:szCs w:val="20"/>
        </w:rPr>
      </w:pPr>
      <w:r w:rsidRPr="00BC3A61">
        <w:rPr>
          <w:rFonts w:ascii="Lato" w:eastAsia="Times New Roman" w:hAnsi="Lato"/>
          <w:sz w:val="20"/>
          <w:szCs w:val="20"/>
        </w:rPr>
        <w:t>1.- Los gastos más relevantes en relación al total del gasto se integran a continuación:</w:t>
      </w:r>
    </w:p>
    <w:tbl>
      <w:tblPr>
        <w:tblW w:w="3000" w:type="pct"/>
        <w:tblCellSpacing w:w="15" w:type="dxa"/>
        <w:tblCellMar>
          <w:top w:w="15" w:type="dxa"/>
          <w:left w:w="15" w:type="dxa"/>
          <w:bottom w:w="15" w:type="dxa"/>
          <w:right w:w="15" w:type="dxa"/>
        </w:tblCellMar>
        <w:tblLook w:val="04A0" w:firstRow="1" w:lastRow="0" w:firstColumn="1" w:lastColumn="0" w:noHBand="0" w:noVBand="1"/>
      </w:tblPr>
      <w:tblGrid>
        <w:gridCol w:w="4948"/>
        <w:gridCol w:w="2828"/>
      </w:tblGrid>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GASTOS DE FUNCIONAMIENTO</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SERVICIOS PERSONALES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12,994,292,929.20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MATERIALES Y SUMINISTROS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849,490,891.59</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SERVICIOS GENERALES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3,297,794,614.00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17,141,578,434.79</w:t>
            </w:r>
          </w:p>
        </w:tc>
      </w:tr>
    </w:tbl>
    <w:p w:rsidR="00E873CD" w:rsidRPr="00BC3A61" w:rsidRDefault="00E873CD">
      <w:pPr>
        <w:rPr>
          <w:rFonts w:ascii="Lato" w:eastAsia="Times New Roman" w:hAnsi="Lato"/>
          <w:sz w:val="20"/>
          <w:szCs w:val="20"/>
        </w:rPr>
      </w:pPr>
    </w:p>
    <w:tbl>
      <w:tblPr>
        <w:tblW w:w="3000" w:type="pct"/>
        <w:tblCellSpacing w:w="15" w:type="dxa"/>
        <w:tblCellMar>
          <w:top w:w="15" w:type="dxa"/>
          <w:left w:w="15" w:type="dxa"/>
          <w:bottom w:w="15" w:type="dxa"/>
          <w:right w:w="15" w:type="dxa"/>
        </w:tblCellMar>
        <w:tblLook w:val="04A0" w:firstRow="1" w:lastRow="0" w:firstColumn="1" w:lastColumn="0" w:noHBand="0" w:noVBand="1"/>
      </w:tblPr>
      <w:tblGrid>
        <w:gridCol w:w="6005"/>
        <w:gridCol w:w="1771"/>
      </w:tblGrid>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TRANSFERENCIAS, ASIGNACIONES, SUBSIDIOS Y OTRAS AYUDAS</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TRANSFERENCIAS INTERNAS Y ASIGNACIONES AL SECTOR PÚBLICO</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14,986,901,953.09</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TRANSFERENCIAS AL RESTO DEL SECTOR PÚBLICO</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25,404,300.87</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SUBSIDIOS Y SUBVENCIONES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338,167,226.61</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AYUDAS SOCIALES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729,948,869.58</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PENSIONES Y JUBILACIONES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1,306,638,627.40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lastRenderedPageBreak/>
              <w:t>TRANSFERENCIAS A FIDEICOMISOS, MANDATOS Y OTROS ANÁLOGOS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195,018,458.69</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DONATIVOS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16,525,000.00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17,598,604,436.24</w:t>
            </w:r>
          </w:p>
        </w:tc>
      </w:tr>
    </w:tbl>
    <w:p w:rsidR="00E873CD" w:rsidRPr="00BC3A61" w:rsidRDefault="00E873CD">
      <w:pPr>
        <w:rPr>
          <w:rFonts w:ascii="Lato" w:eastAsia="Times New Roman" w:hAnsi="Lato"/>
          <w:sz w:val="20"/>
          <w:szCs w:val="20"/>
        </w:rPr>
      </w:pPr>
    </w:p>
    <w:tbl>
      <w:tblPr>
        <w:tblW w:w="4000" w:type="pct"/>
        <w:tblCellSpacing w:w="15" w:type="dxa"/>
        <w:tblCellMar>
          <w:top w:w="15" w:type="dxa"/>
          <w:left w:w="15" w:type="dxa"/>
          <w:bottom w:w="15" w:type="dxa"/>
          <w:right w:w="15" w:type="dxa"/>
        </w:tblCellMar>
        <w:tblLook w:val="04A0" w:firstRow="1" w:lastRow="0" w:firstColumn="1" w:lastColumn="0" w:noHBand="0" w:noVBand="1"/>
      </w:tblPr>
      <w:tblGrid>
        <w:gridCol w:w="7071"/>
        <w:gridCol w:w="91"/>
        <w:gridCol w:w="1568"/>
        <w:gridCol w:w="30"/>
        <w:gridCol w:w="1608"/>
      </w:tblGrid>
      <w:tr w:rsidR="00E873CD" w:rsidRPr="00BC3A61" w:rsidTr="00E93349">
        <w:trPr>
          <w:gridAfter w:val="2"/>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PARTICIPACIONES Y APORTACIONES</w:t>
            </w:r>
          </w:p>
        </w:tc>
        <w:tc>
          <w:tcPr>
            <w:tcW w:w="785" w:type="pct"/>
            <w:gridSpan w:val="2"/>
            <w:vAlign w:val="center"/>
            <w:hideMark/>
          </w:tcPr>
          <w:p w:rsidR="00E873CD" w:rsidRPr="00BC3A61" w:rsidRDefault="00E873CD">
            <w:pPr>
              <w:rPr>
                <w:rFonts w:ascii="Lato" w:eastAsia="Times New Roman" w:hAnsi="Lato"/>
                <w:sz w:val="20"/>
                <w:szCs w:val="20"/>
              </w:rPr>
            </w:pPr>
          </w:p>
        </w:tc>
      </w:tr>
      <w:tr w:rsidR="00E873CD" w:rsidRPr="00BC3A61" w:rsidTr="00E93349">
        <w:trPr>
          <w:gridAfter w:val="2"/>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PARTICIPACIONES</w:t>
            </w:r>
          </w:p>
        </w:tc>
        <w:tc>
          <w:tcPr>
            <w:tcW w:w="785" w:type="pct"/>
            <w:gridSpan w:val="2"/>
            <w:vAlign w:val="center"/>
            <w:hideMark/>
          </w:tcPr>
          <w:p w:rsidR="00E873CD" w:rsidRPr="00BC3A61" w:rsidRDefault="00196B7D" w:rsidP="003F0ABE">
            <w:pPr>
              <w:ind w:right="-213"/>
              <w:jc w:val="right"/>
              <w:rPr>
                <w:rFonts w:ascii="Lato" w:eastAsia="Times New Roman" w:hAnsi="Lato"/>
                <w:sz w:val="20"/>
                <w:szCs w:val="20"/>
              </w:rPr>
            </w:pPr>
            <w:r w:rsidRPr="00BC3A61">
              <w:rPr>
                <w:rFonts w:ascii="Lato" w:eastAsia="Times New Roman" w:hAnsi="Lato"/>
                <w:color w:val="000000"/>
                <w:sz w:val="20"/>
                <w:szCs w:val="20"/>
              </w:rPr>
              <w:t>4,325,420,863.80</w:t>
            </w:r>
          </w:p>
        </w:tc>
      </w:tr>
      <w:tr w:rsidR="00E873CD" w:rsidRPr="00BC3A61" w:rsidTr="00E93349">
        <w:trPr>
          <w:gridAfter w:val="2"/>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APORTACIONES</w:t>
            </w:r>
          </w:p>
        </w:tc>
        <w:tc>
          <w:tcPr>
            <w:tcW w:w="785" w:type="pct"/>
            <w:gridSpan w:val="2"/>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3,282,252,264.00</w:t>
            </w:r>
          </w:p>
        </w:tc>
      </w:tr>
      <w:tr w:rsidR="00E873CD" w:rsidRPr="00BC3A61" w:rsidTr="00E93349">
        <w:trPr>
          <w:gridAfter w:val="2"/>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785" w:type="pct"/>
            <w:gridSpan w:val="2"/>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7,607,673,127.80</w:t>
            </w:r>
          </w:p>
        </w:tc>
      </w:tr>
      <w:tr w:rsidR="00E873CD" w:rsidRPr="00BC3A61" w:rsidTr="00E93349">
        <w:trPr>
          <w:gridAfter w:val="2"/>
          <w:divId w:val="1922986418"/>
          <w:tblCellSpacing w:w="15" w:type="dxa"/>
        </w:trPr>
        <w:tc>
          <w:tcPr>
            <w:tcW w:w="0" w:type="auto"/>
            <w:gridSpan w:val="2"/>
            <w:vAlign w:val="center"/>
            <w:hideMark/>
          </w:tcPr>
          <w:p w:rsidR="00F40E4B" w:rsidRPr="00BC3A61" w:rsidRDefault="00F40E4B">
            <w:pPr>
              <w:rPr>
                <w:rStyle w:val="Textoennegrita"/>
                <w:rFonts w:ascii="Lato" w:eastAsia="Times New Roman" w:hAnsi="Lato"/>
                <w:color w:val="000000"/>
                <w:sz w:val="20"/>
                <w:szCs w:val="20"/>
              </w:rPr>
            </w:pPr>
          </w:p>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INTERESES, COMISIONES Y OTROS GASTOS DE LA DEUDA PUBLICA</w:t>
            </w:r>
          </w:p>
        </w:tc>
        <w:tc>
          <w:tcPr>
            <w:tcW w:w="755" w:type="pct"/>
            <w:vAlign w:val="center"/>
            <w:hideMark/>
          </w:tcPr>
          <w:p w:rsidR="00E873CD" w:rsidRPr="00BC3A61" w:rsidRDefault="00E873CD">
            <w:pPr>
              <w:rPr>
                <w:rFonts w:ascii="Lato" w:eastAsia="Times New Roman" w:hAnsi="Lato"/>
                <w:sz w:val="20"/>
                <w:szCs w:val="20"/>
              </w:rPr>
            </w:pPr>
          </w:p>
        </w:tc>
      </w:tr>
      <w:tr w:rsidR="00E873CD" w:rsidRPr="00BC3A61" w:rsidTr="00E93349">
        <w:trPr>
          <w:gridAfter w:val="2"/>
          <w:divId w:val="1922986418"/>
          <w:tblCellSpacing w:w="15" w:type="dxa"/>
        </w:trPr>
        <w:tc>
          <w:tcPr>
            <w:tcW w:w="0" w:type="auto"/>
            <w:gridSpan w:val="2"/>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INTERESES DE LA DEUDA PÚBLICA</w:t>
            </w:r>
          </w:p>
        </w:tc>
        <w:tc>
          <w:tcPr>
            <w:tcW w:w="755" w:type="pct"/>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516,642,338.97</w:t>
            </w:r>
          </w:p>
        </w:tc>
      </w:tr>
      <w:tr w:rsidR="00E873CD" w:rsidRPr="00BC3A61" w:rsidTr="00E93349">
        <w:trPr>
          <w:gridAfter w:val="2"/>
          <w:divId w:val="1922986418"/>
          <w:tblCellSpacing w:w="15" w:type="dxa"/>
        </w:trPr>
        <w:tc>
          <w:tcPr>
            <w:tcW w:w="0" w:type="auto"/>
            <w:gridSpan w:val="2"/>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GASTOS DE LA DEUDA PÚBLICA</w:t>
            </w:r>
          </w:p>
        </w:tc>
        <w:tc>
          <w:tcPr>
            <w:tcW w:w="755" w:type="pct"/>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354,438.90</w:t>
            </w:r>
          </w:p>
        </w:tc>
      </w:tr>
      <w:tr w:rsidR="00E873CD" w:rsidRPr="00BC3A61" w:rsidTr="00E93349">
        <w:trPr>
          <w:gridAfter w:val="2"/>
          <w:divId w:val="1922986418"/>
          <w:tblCellSpacing w:w="15" w:type="dxa"/>
        </w:trPr>
        <w:tc>
          <w:tcPr>
            <w:tcW w:w="0" w:type="auto"/>
            <w:gridSpan w:val="2"/>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COSTO POR COBERTURAS</w:t>
            </w:r>
          </w:p>
        </w:tc>
        <w:tc>
          <w:tcPr>
            <w:tcW w:w="755" w:type="pct"/>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36,298,195.27</w:t>
            </w:r>
          </w:p>
        </w:tc>
      </w:tr>
      <w:tr w:rsidR="00E873CD" w:rsidRPr="00BC3A61" w:rsidTr="00E93349">
        <w:trPr>
          <w:gridAfter w:val="2"/>
          <w:divId w:val="1922986418"/>
          <w:tblCellSpacing w:w="15" w:type="dxa"/>
        </w:trPr>
        <w:tc>
          <w:tcPr>
            <w:tcW w:w="0" w:type="auto"/>
            <w:gridSpan w:val="2"/>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755" w:type="pct"/>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553,294,973.14</w:t>
            </w:r>
          </w:p>
        </w:tc>
      </w:tr>
      <w:tr w:rsidR="00E873CD" w:rsidRPr="00BC3A61" w:rsidTr="00E93349">
        <w:trPr>
          <w:divId w:val="1922986418"/>
          <w:tblCellSpacing w:w="15" w:type="dxa"/>
        </w:trPr>
        <w:tc>
          <w:tcPr>
            <w:tcW w:w="0" w:type="auto"/>
            <w:gridSpan w:val="4"/>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OTROS GASTOS Y PERDIDAS EXTRAORDINARIAS</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rsidTr="00E93349">
        <w:trPr>
          <w:divId w:val="1922986418"/>
          <w:tblCellSpacing w:w="15" w:type="dxa"/>
        </w:trPr>
        <w:tc>
          <w:tcPr>
            <w:tcW w:w="0" w:type="auto"/>
            <w:gridSpan w:val="4"/>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ESTIMACIONES, DEPRECIACIONES, DETERIOROS, OBSOLESCENCIA Y AMORTIZACIONES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291,159,688.07</w:t>
            </w:r>
          </w:p>
        </w:tc>
      </w:tr>
      <w:tr w:rsidR="00E873CD" w:rsidRPr="00BC3A61" w:rsidTr="00E93349">
        <w:trPr>
          <w:divId w:val="1922986418"/>
          <w:tblCellSpacing w:w="15" w:type="dxa"/>
        </w:trPr>
        <w:tc>
          <w:tcPr>
            <w:tcW w:w="0" w:type="auto"/>
            <w:gridSpan w:val="4"/>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OTROS GASTOS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11,178,512.65</w:t>
            </w:r>
          </w:p>
        </w:tc>
      </w:tr>
      <w:tr w:rsidR="00E873CD" w:rsidRPr="00BC3A61" w:rsidTr="00E93349">
        <w:trPr>
          <w:divId w:val="1922986418"/>
          <w:tblCellSpacing w:w="15" w:type="dxa"/>
        </w:trPr>
        <w:tc>
          <w:tcPr>
            <w:tcW w:w="0" w:type="auto"/>
            <w:gridSpan w:val="4"/>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302,338,200.72</w:t>
            </w:r>
          </w:p>
        </w:tc>
      </w:tr>
    </w:tbl>
    <w:p w:rsidR="00E873CD" w:rsidRPr="00BC3A61" w:rsidRDefault="00E873CD">
      <w:pPr>
        <w:rPr>
          <w:rFonts w:ascii="Lato" w:eastAsia="Times New Roman" w:hAnsi="Lato"/>
          <w:sz w:val="20"/>
          <w:szCs w:val="20"/>
        </w:rPr>
      </w:pPr>
    </w:p>
    <w:p w:rsidR="00E873CD" w:rsidRPr="00BC3A61" w:rsidRDefault="00196B7D">
      <w:pPr>
        <w:ind w:left="360"/>
        <w:jc w:val="both"/>
        <w:rPr>
          <w:rFonts w:ascii="Lato" w:eastAsia="Times New Roman" w:hAnsi="Lato"/>
          <w:sz w:val="20"/>
          <w:szCs w:val="20"/>
        </w:rPr>
      </w:pPr>
      <w:r w:rsidRPr="00BC3A61">
        <w:rPr>
          <w:rFonts w:ascii="Lato" w:eastAsia="Times New Roman" w:hAnsi="Lato"/>
          <w:sz w:val="20"/>
          <w:szCs w:val="20"/>
        </w:rPr>
        <w:t>A. La cuenta de “Servicios</w:t>
      </w:r>
      <w:r w:rsidR="00044659" w:rsidRPr="00BC3A61">
        <w:rPr>
          <w:rFonts w:ascii="Lato" w:eastAsia="Times New Roman" w:hAnsi="Lato"/>
          <w:sz w:val="20"/>
          <w:szCs w:val="20"/>
        </w:rPr>
        <w:t xml:space="preserve"> Personales” representa el 30.08</w:t>
      </w:r>
      <w:r w:rsidRPr="00BC3A61">
        <w:rPr>
          <w:rFonts w:ascii="Lato" w:eastAsia="Times New Roman" w:hAnsi="Lato"/>
          <w:sz w:val="20"/>
          <w:szCs w:val="20"/>
        </w:rPr>
        <w:t>%, el cual corresponde</w:t>
      </w:r>
      <w:r w:rsidR="00044659" w:rsidRPr="00BC3A61">
        <w:rPr>
          <w:rFonts w:ascii="Lato" w:eastAsia="Times New Roman" w:hAnsi="Lato"/>
          <w:sz w:val="20"/>
          <w:szCs w:val="20"/>
        </w:rPr>
        <w:t xml:space="preserve"> al pago el capítulo 1000 de 18 </w:t>
      </w:r>
      <w:r w:rsidRPr="00BC3A61">
        <w:rPr>
          <w:rFonts w:ascii="Lato" w:eastAsia="Times New Roman" w:hAnsi="Lato"/>
          <w:sz w:val="20"/>
          <w:szCs w:val="20"/>
        </w:rPr>
        <w:t xml:space="preserve">dependencias centralizadas del Poder Ejecutivo. </w:t>
      </w:r>
    </w:p>
    <w:p w:rsidR="00E873CD" w:rsidRPr="00BC3A61" w:rsidRDefault="00196B7D">
      <w:pPr>
        <w:rPr>
          <w:rFonts w:ascii="Lato" w:eastAsia="Times New Roman" w:hAnsi="Lato"/>
          <w:sz w:val="20"/>
          <w:szCs w:val="20"/>
        </w:rPr>
      </w:pPr>
      <w:r w:rsidRPr="00BC3A61">
        <w:rPr>
          <w:rFonts w:ascii="Lato" w:eastAsia="Times New Roman" w:hAnsi="Lato"/>
          <w:sz w:val="20"/>
          <w:szCs w:val="20"/>
        </w:rPr>
        <w:t>Son los recursos empleados para cubrir las remuneraciones del personal al servicio de las Dependencias y Órganos Desconcentrados, que integran el Poder Ejecutivo, encargados de ofrecer a la ciudadanía servicios de seguridad pública y justicia, salud, educación, entre otros.</w:t>
      </w:r>
    </w:p>
    <w:p w:rsidR="00E873CD" w:rsidRPr="00BC3A61" w:rsidRDefault="00196B7D">
      <w:pPr>
        <w:ind w:left="360"/>
        <w:jc w:val="both"/>
        <w:rPr>
          <w:rFonts w:ascii="Lato" w:eastAsia="Times New Roman" w:hAnsi="Lato"/>
          <w:sz w:val="20"/>
          <w:szCs w:val="20"/>
        </w:rPr>
      </w:pPr>
      <w:r w:rsidRPr="00BC3A61">
        <w:rPr>
          <w:rFonts w:ascii="Lato" w:eastAsia="Times New Roman" w:hAnsi="Lato"/>
          <w:sz w:val="20"/>
          <w:szCs w:val="20"/>
        </w:rPr>
        <w:t>B. Las cuentas de “Transferencias, Asignaciones, Subsidio</w:t>
      </w:r>
      <w:r w:rsidR="00044659" w:rsidRPr="00BC3A61">
        <w:rPr>
          <w:rFonts w:ascii="Lato" w:eastAsia="Times New Roman" w:hAnsi="Lato"/>
          <w:sz w:val="20"/>
          <w:szCs w:val="20"/>
        </w:rPr>
        <w:t>s y Ayudas”, representa el 40.73</w:t>
      </w:r>
      <w:r w:rsidRPr="00BC3A61">
        <w:rPr>
          <w:rFonts w:ascii="Lato" w:eastAsia="Times New Roman" w:hAnsi="Lato"/>
          <w:sz w:val="20"/>
          <w:szCs w:val="20"/>
        </w:rPr>
        <w:t>% del total de otros gastos, dicho importe corresponde a los recursos transferidos a las demás entidades del sector público.</w:t>
      </w:r>
    </w:p>
    <w:p w:rsidR="00E873CD" w:rsidRPr="00BC3A61" w:rsidRDefault="00196B7D">
      <w:pPr>
        <w:ind w:left="360"/>
        <w:jc w:val="both"/>
        <w:rPr>
          <w:rFonts w:ascii="Lato" w:eastAsia="Times New Roman" w:hAnsi="Lato"/>
          <w:sz w:val="20"/>
          <w:szCs w:val="20"/>
        </w:rPr>
      </w:pPr>
      <w:r w:rsidRPr="00BC3A61">
        <w:rPr>
          <w:rFonts w:ascii="Lato" w:eastAsia="Times New Roman" w:hAnsi="Lato"/>
          <w:sz w:val="20"/>
          <w:szCs w:val="20"/>
        </w:rPr>
        <w:t>C. Las cuentas de “Participaciones y Ap</w:t>
      </w:r>
      <w:r w:rsidR="00044659" w:rsidRPr="00BC3A61">
        <w:rPr>
          <w:rFonts w:ascii="Lato" w:eastAsia="Times New Roman" w:hAnsi="Lato"/>
          <w:sz w:val="20"/>
          <w:szCs w:val="20"/>
        </w:rPr>
        <w:t>ortaciones”, representa el 17.61</w:t>
      </w:r>
      <w:r w:rsidRPr="00BC3A61">
        <w:rPr>
          <w:rFonts w:ascii="Lato" w:eastAsia="Times New Roman" w:hAnsi="Lato"/>
          <w:sz w:val="20"/>
          <w:szCs w:val="20"/>
        </w:rPr>
        <w:t>% del total de los recursos transferidos a los municipios.</w:t>
      </w: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t>II) NOTAS AL ESTADO DE SITUACIÓN FINANCIERA.</w:t>
      </w: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t xml:space="preserve">Activo </w:t>
      </w: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t>Efectivo y Equivalentes</w:t>
      </w:r>
    </w:p>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t>1.- La cuenta de bancos y la de inversiones</w:t>
      </w:r>
      <w:r w:rsidR="00044659" w:rsidRPr="00BC3A61">
        <w:rPr>
          <w:rFonts w:ascii="Lato" w:eastAsia="Times New Roman" w:hAnsi="Lato"/>
          <w:sz w:val="20"/>
          <w:szCs w:val="20"/>
        </w:rPr>
        <w:t xml:space="preserve"> temporales que integra el 91.91</w:t>
      </w:r>
      <w:r w:rsidRPr="00BC3A61">
        <w:rPr>
          <w:rFonts w:ascii="Lato" w:eastAsia="Times New Roman" w:hAnsi="Lato"/>
          <w:sz w:val="20"/>
          <w:szCs w:val="20"/>
        </w:rPr>
        <w:t xml:space="preserve"> % de la cuenta de efectivo y equivalentes se encuentra integrada por tipo de cuenta bancaria de la siguiente manera:</w:t>
      </w:r>
    </w:p>
    <w:tbl>
      <w:tblPr>
        <w:tblW w:w="2000" w:type="pct"/>
        <w:tblCellSpacing w:w="15" w:type="dxa"/>
        <w:tblCellMar>
          <w:top w:w="15" w:type="dxa"/>
          <w:left w:w="15" w:type="dxa"/>
          <w:bottom w:w="15" w:type="dxa"/>
          <w:right w:w="15" w:type="dxa"/>
        </w:tblCellMar>
        <w:tblLook w:val="04A0" w:firstRow="1" w:lastRow="0" w:firstColumn="1" w:lastColumn="0" w:noHBand="0" w:noVBand="1"/>
      </w:tblPr>
      <w:tblGrid>
        <w:gridCol w:w="1351"/>
        <w:gridCol w:w="1642"/>
        <w:gridCol w:w="2191"/>
      </w:tblGrid>
      <w:tr w:rsidR="00E873CD" w:rsidRPr="00BC3A61">
        <w:trPr>
          <w:divId w:val="1922986418"/>
          <w:tblCellSpacing w:w="15" w:type="dxa"/>
        </w:trPr>
        <w:tc>
          <w:tcPr>
            <w:tcW w:w="0" w:type="auto"/>
            <w:vAlign w:val="center"/>
            <w:hideMark/>
          </w:tcPr>
          <w:p w:rsidR="00E873CD" w:rsidRPr="00BC3A61" w:rsidRDefault="00196B7D">
            <w:pPr>
              <w:jc w:val="center"/>
              <w:rPr>
                <w:rFonts w:ascii="Lato" w:eastAsia="Times New Roman" w:hAnsi="Lato"/>
                <w:sz w:val="20"/>
                <w:szCs w:val="20"/>
              </w:rPr>
            </w:pPr>
            <w:r w:rsidRPr="00BC3A61">
              <w:rPr>
                <w:rStyle w:val="Textoennegrita"/>
                <w:rFonts w:ascii="Lato" w:eastAsia="Times New Roman" w:hAnsi="Lato"/>
                <w:color w:val="000000"/>
                <w:sz w:val="20"/>
                <w:szCs w:val="20"/>
              </w:rPr>
              <w:t>Tipo de Banco</w:t>
            </w:r>
          </w:p>
        </w:tc>
        <w:tc>
          <w:tcPr>
            <w:tcW w:w="0" w:type="auto"/>
            <w:vAlign w:val="center"/>
            <w:hideMark/>
          </w:tcPr>
          <w:p w:rsidR="00E873CD" w:rsidRPr="00BC3A61" w:rsidRDefault="00196B7D">
            <w:pPr>
              <w:jc w:val="center"/>
              <w:rPr>
                <w:rFonts w:ascii="Lato" w:eastAsia="Times New Roman" w:hAnsi="Lato"/>
                <w:sz w:val="20"/>
                <w:szCs w:val="20"/>
              </w:rPr>
            </w:pPr>
            <w:r w:rsidRPr="00BC3A61">
              <w:rPr>
                <w:rStyle w:val="Textoennegrita"/>
                <w:rFonts w:ascii="Lato" w:eastAsia="Times New Roman" w:hAnsi="Lato"/>
                <w:color w:val="000000"/>
                <w:sz w:val="20"/>
                <w:szCs w:val="20"/>
              </w:rPr>
              <w:t>Bancos</w:t>
            </w:r>
          </w:p>
        </w:tc>
        <w:tc>
          <w:tcPr>
            <w:tcW w:w="0" w:type="auto"/>
            <w:vAlign w:val="center"/>
            <w:hideMark/>
          </w:tcPr>
          <w:p w:rsidR="00E873CD" w:rsidRPr="00BC3A61" w:rsidRDefault="00196B7D">
            <w:pPr>
              <w:jc w:val="center"/>
              <w:rPr>
                <w:rFonts w:ascii="Lato" w:eastAsia="Times New Roman" w:hAnsi="Lato"/>
                <w:sz w:val="20"/>
                <w:szCs w:val="20"/>
              </w:rPr>
            </w:pPr>
            <w:r w:rsidRPr="00BC3A61">
              <w:rPr>
                <w:rStyle w:val="Textoennegrita"/>
                <w:rFonts w:ascii="Lato" w:eastAsia="Times New Roman" w:hAnsi="Lato"/>
                <w:color w:val="000000"/>
                <w:sz w:val="20"/>
                <w:szCs w:val="20"/>
              </w:rPr>
              <w:t>Inversiones Temporales</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2,443,797,051.19</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1,622,205,645.81</w:t>
            </w:r>
          </w:p>
        </w:tc>
      </w:tr>
    </w:tbl>
    <w:p w:rsidR="00E873CD" w:rsidRPr="00BC3A61" w:rsidRDefault="00E873CD">
      <w:pPr>
        <w:rPr>
          <w:rFonts w:ascii="Lato" w:eastAsia="Times New Roman" w:hAnsi="Lato"/>
          <w:sz w:val="20"/>
          <w:szCs w:val="20"/>
        </w:rPr>
      </w:pPr>
    </w:p>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t>Esta información resulta de las operaciones sobre los recursos disponibles en cuentas bancarias, del ente público y que están asociadas a los recursos financieros que el Poder Ejecutivo, concentra, custodia y administra principalmente en la Secretaría de Administración y Finanzas y en menor medida, aquellos que están en poder de las Unidades Ejecutoras del Gasto del Sector Central.</w:t>
      </w: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t>Derechos a Recibir Efectivo y Equivalentes y Bienes y Servicios a Recibir</w:t>
      </w:r>
    </w:p>
    <w:p w:rsidR="00E873CD" w:rsidRPr="00BC3A61" w:rsidRDefault="00196B7D">
      <w:pPr>
        <w:rPr>
          <w:rFonts w:ascii="Lato" w:eastAsia="Times New Roman" w:hAnsi="Lato"/>
          <w:sz w:val="20"/>
          <w:szCs w:val="20"/>
        </w:rPr>
      </w:pPr>
      <w:r w:rsidRPr="00BC3A61">
        <w:rPr>
          <w:rFonts w:ascii="Lato" w:eastAsia="Times New Roman" w:hAnsi="Lato"/>
          <w:sz w:val="20"/>
          <w:szCs w:val="20"/>
        </w:rPr>
        <w:t>2.- El saldo final de la cuenta 1.1.2.4.1 Carteras Agencia de Administración Fiscal, es de $ 0.00.</w:t>
      </w:r>
    </w:p>
    <w:p w:rsidR="00E873CD" w:rsidRDefault="00196B7D">
      <w:pPr>
        <w:rPr>
          <w:rFonts w:ascii="Lato" w:eastAsia="Times New Roman" w:hAnsi="Lato"/>
          <w:sz w:val="20"/>
          <w:szCs w:val="20"/>
        </w:rPr>
      </w:pPr>
      <w:r w:rsidRPr="00BC3A61">
        <w:rPr>
          <w:rFonts w:ascii="Lato" w:eastAsia="Times New Roman" w:hAnsi="Lato"/>
          <w:sz w:val="20"/>
          <w:szCs w:val="20"/>
        </w:rPr>
        <w:t>3.- La cuenta derechos a recibir efectivo o equivalentes, presenta cuentas por cobrar las cuales, se encuentran integradas de la siguiente manera:</w:t>
      </w:r>
    </w:p>
    <w:p w:rsidR="00E93349" w:rsidRPr="00BC3A61" w:rsidRDefault="00E93349">
      <w:pPr>
        <w:rPr>
          <w:rFonts w:ascii="Lato" w:eastAsia="Times New Roman" w:hAnsi="Lato"/>
          <w:sz w:val="20"/>
          <w:szCs w:val="20"/>
        </w:rPr>
      </w:pPr>
    </w:p>
    <w:tbl>
      <w:tblPr>
        <w:tblW w:w="3000" w:type="pct"/>
        <w:tblCellSpacing w:w="15" w:type="dxa"/>
        <w:tblCellMar>
          <w:top w:w="15" w:type="dxa"/>
          <w:left w:w="15" w:type="dxa"/>
          <w:bottom w:w="15" w:type="dxa"/>
          <w:right w:w="15" w:type="dxa"/>
        </w:tblCellMar>
        <w:tblLook w:val="04A0" w:firstRow="1" w:lastRow="0" w:firstColumn="1" w:lastColumn="0" w:noHBand="0" w:noVBand="1"/>
      </w:tblPr>
      <w:tblGrid>
        <w:gridCol w:w="6283"/>
        <w:gridCol w:w="1493"/>
      </w:tblGrid>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lastRenderedPageBreak/>
              <w:t>DERECHOS A RECIBIR EFECTIVO O EQUIVALENTES</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CUENTAS POR COBRAR A CORTO PLAZO</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CUENTAS POR COBRAR A MUNICIPIOS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1,334,490.00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CUENTAS POR COBRAR POR VENTA DE BIENES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-1,350,000.00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DEUDORES DIVERSOS POR COBRAR A CORTO PLAZO</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CRÉDITOS PUENTE</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22,750,000.00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SUBSIDIO AL EMPLEO</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2,375,168.89</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DEUDORES DIVERSOS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27,657,473.41</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OTROS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13,002,239.00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PRÉSTAMOS OTORGADOS A CORTO PLAZO</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CRÉDITOS OTORGADOS POR ENTIDADES FEDERATIVAS Y MUNICIPIOS AL SECTOR SOCIAL Y PRIVADO PARA EL FOMENTO DE ACTIVIDADES PRODUCTIVAS.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44,578,505.00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110,347,876.30</w:t>
            </w:r>
          </w:p>
        </w:tc>
      </w:tr>
    </w:tbl>
    <w:p w:rsidR="00E873CD" w:rsidRPr="00BC3A61" w:rsidRDefault="00E873CD">
      <w:pPr>
        <w:rPr>
          <w:rFonts w:ascii="Lato" w:eastAsia="Times New Roman" w:hAnsi="Lato"/>
          <w:sz w:val="20"/>
          <w:szCs w:val="20"/>
        </w:rPr>
      </w:pPr>
    </w:p>
    <w:p w:rsidR="00E873CD" w:rsidRPr="00BC3A61" w:rsidRDefault="00196B7D">
      <w:pPr>
        <w:ind w:left="360"/>
        <w:rPr>
          <w:rFonts w:ascii="Lato" w:eastAsia="Times New Roman" w:hAnsi="Lato"/>
          <w:sz w:val="20"/>
          <w:szCs w:val="20"/>
        </w:rPr>
      </w:pPr>
      <w:r w:rsidRPr="00BC3A61">
        <w:rPr>
          <w:rStyle w:val="Textoennegrita"/>
          <w:rFonts w:ascii="Lato" w:eastAsia="Times New Roman" w:hAnsi="Lato"/>
          <w:sz w:val="20"/>
          <w:szCs w:val="20"/>
        </w:rPr>
        <w:t>Bienes Disponibles para su Transformación o Consumo (Inventarios)</w:t>
      </w:r>
    </w:p>
    <w:p w:rsidR="00E873CD" w:rsidRPr="00BC3A61" w:rsidRDefault="00196B7D">
      <w:pPr>
        <w:rPr>
          <w:rFonts w:ascii="Lato" w:eastAsia="Times New Roman" w:hAnsi="Lato"/>
          <w:sz w:val="20"/>
          <w:szCs w:val="20"/>
        </w:rPr>
      </w:pPr>
      <w:r w:rsidRPr="00BC3A61">
        <w:rPr>
          <w:rFonts w:ascii="Lato" w:eastAsia="Times New Roman" w:hAnsi="Lato"/>
          <w:sz w:val="20"/>
          <w:szCs w:val="20"/>
        </w:rPr>
        <w:t>4.- El Poder Ejecutivo no realiza ningún proceso de transformación y/o elaboración de bienes.</w:t>
      </w:r>
    </w:p>
    <w:p w:rsidR="00044659" w:rsidRPr="00BC3A61" w:rsidRDefault="00044659" w:rsidP="00044659">
      <w:pPr>
        <w:rPr>
          <w:rFonts w:ascii="Lato" w:eastAsia="Times New Roman" w:hAnsi="Lato"/>
          <w:sz w:val="20"/>
          <w:szCs w:val="20"/>
        </w:rPr>
      </w:pPr>
      <w:r w:rsidRPr="00BC3A61">
        <w:rPr>
          <w:rFonts w:ascii="Lato" w:eastAsia="Times New Roman" w:hAnsi="Lato"/>
          <w:sz w:val="20"/>
          <w:szCs w:val="20"/>
        </w:rPr>
        <w:t xml:space="preserve">5.- El Poder Ejecutivo a partir del 19 de junio de 2024, realiza mediante el sistema integral, el registro a la cuenta de Almacenes </w:t>
      </w:r>
      <w:r w:rsidRPr="00BC3A61">
        <w:rPr>
          <w:rFonts w:ascii="Lato" w:hAnsi="Lato"/>
          <w:sz w:val="20"/>
          <w:szCs w:val="20"/>
        </w:rPr>
        <w:t>de Materiales y Suministros de Consumo</w:t>
      </w:r>
      <w:r w:rsidRPr="00BC3A61">
        <w:rPr>
          <w:rFonts w:ascii="Lato" w:eastAsia="Times New Roman" w:hAnsi="Lato"/>
          <w:sz w:val="20"/>
          <w:szCs w:val="20"/>
        </w:rPr>
        <w:t>.</w:t>
      </w:r>
    </w:p>
    <w:p w:rsidR="00E873CD" w:rsidRDefault="00196B7D">
      <w:pPr>
        <w:rPr>
          <w:rFonts w:ascii="Lato" w:eastAsia="Times New Roman" w:hAnsi="Lato"/>
          <w:sz w:val="20"/>
          <w:szCs w:val="20"/>
        </w:rPr>
      </w:pPr>
      <w:r w:rsidRPr="00BC3A61">
        <w:rPr>
          <w:rFonts w:ascii="Lato" w:eastAsia="Times New Roman" w:hAnsi="Lato"/>
          <w:sz w:val="20"/>
          <w:szCs w:val="20"/>
        </w:rPr>
        <w:t>6.- El saldo del rubro de Inversiones Financieras, se integra como sigue:</w:t>
      </w:r>
    </w:p>
    <w:p w:rsidR="00E93349" w:rsidRPr="00BC3A61" w:rsidRDefault="00E93349">
      <w:pPr>
        <w:rPr>
          <w:rFonts w:ascii="Lato" w:eastAsia="Times New Roman" w:hAnsi="Lato"/>
          <w:sz w:val="20"/>
          <w:szCs w:val="20"/>
        </w:rPr>
      </w:pPr>
    </w:p>
    <w:tbl>
      <w:tblPr>
        <w:tblW w:w="3000" w:type="pct"/>
        <w:tblCellSpacing w:w="15" w:type="dxa"/>
        <w:tblCellMar>
          <w:top w:w="15" w:type="dxa"/>
          <w:left w:w="15" w:type="dxa"/>
          <w:bottom w:w="15" w:type="dxa"/>
          <w:right w:w="15" w:type="dxa"/>
        </w:tblCellMar>
        <w:tblLook w:val="04A0" w:firstRow="1" w:lastRow="0" w:firstColumn="1" w:lastColumn="0" w:noHBand="0" w:noVBand="1"/>
      </w:tblPr>
      <w:tblGrid>
        <w:gridCol w:w="6121"/>
        <w:gridCol w:w="1655"/>
      </w:tblGrid>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lastRenderedPageBreak/>
              <w:t>INVERSIONES FINANCIERAS A LARGO PLAZO</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INVERSIONES A LARGO PLAZO</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INVERSIONES EN ACCIONES</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SOCIEDAD COOPERATIVA DE PROD. LECHERA S.C.L.</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453,748.92</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PROCESADORA DE BEBIDAS DE YUCATAN, SA DE CV.</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3,000,000.00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INVERSIONES EN FIDEICOMISOS Y FONDOS</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FIDEICOMISO CONST-AUTOP.KANTUNIL-CANCÚN</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87,531,686.00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FONDO ESTATAL PARA EL FOMENTO DEL EMPLEO</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14,802,000.00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FONDO DE APOYO PRODUCTIVIDAD AGROP. DEL ESTADO DE YUCATÁN</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11,695,336.26</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FIDEICOMISOS, MANDATOS Y CONTRATOS ANÁLOGOS</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FIDEICOMISOS, MANDATOS Y CONTRATIOS ÁNALOGOS DEL PODER EJECUTIVO</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SECRETARÍA DE DESARROLLO RURAL</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33,784,918.79</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SECRETARÍA DE ECONOMÍA Y TRABAJO</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83,089,005.07</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SECRETARÍA DE FOMENTO TURÍSTICO</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26,305,182.64</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SECRETARÍA GENERAL DE GOBIERNO</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12,993,773.49</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SECRETARÍA DE ADMINISTRACIÓN Y FINANZAS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707,634,718.35</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SECRETARÍA DE CIENCIA, HUMANIDADES, TECNOLOGÍA E INNOVACIÓN</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18,844,254.31</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lastRenderedPageBreak/>
              <w:t>SECRETARÍA DE INFRAESTRUCTURA PARA EL BIENESTAR</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55,148,833.78</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FIDEICOMISOS, MANDATOS Y CONTRATOS ANALOGOS PÚBLICOS NO EMPRESARIALES Y NO FINANCIEROS</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1,055,283,457.61</w:t>
            </w:r>
          </w:p>
        </w:tc>
      </w:tr>
    </w:tbl>
    <w:p w:rsidR="00E873CD" w:rsidRPr="00BC3A61" w:rsidRDefault="00E873CD">
      <w:pPr>
        <w:rPr>
          <w:rFonts w:ascii="Lato" w:eastAsia="Times New Roman" w:hAnsi="Lato"/>
          <w:sz w:val="20"/>
          <w:szCs w:val="20"/>
        </w:rPr>
      </w:pPr>
    </w:p>
    <w:p w:rsidR="00E873CD" w:rsidRDefault="00196B7D">
      <w:pPr>
        <w:rPr>
          <w:rFonts w:ascii="Lato" w:eastAsia="Times New Roman" w:hAnsi="Lato"/>
          <w:sz w:val="20"/>
          <w:szCs w:val="20"/>
        </w:rPr>
      </w:pPr>
      <w:r w:rsidRPr="00BC3A61">
        <w:rPr>
          <w:rFonts w:ascii="Lato" w:eastAsia="Times New Roman" w:hAnsi="Lato"/>
          <w:sz w:val="20"/>
          <w:szCs w:val="20"/>
        </w:rPr>
        <w:t>7.- El saldo del rubro de Participaciones y aportaciones de capital:</w:t>
      </w:r>
    </w:p>
    <w:tbl>
      <w:tblPr>
        <w:tblW w:w="8840" w:type="dxa"/>
        <w:tblCellMar>
          <w:left w:w="70" w:type="dxa"/>
          <w:right w:w="70" w:type="dxa"/>
        </w:tblCellMar>
        <w:tblLook w:val="04A0" w:firstRow="1" w:lastRow="0" w:firstColumn="1" w:lastColumn="0" w:noHBand="0" w:noVBand="1"/>
      </w:tblPr>
      <w:tblGrid>
        <w:gridCol w:w="7140"/>
        <w:gridCol w:w="1700"/>
      </w:tblGrid>
      <w:tr w:rsidR="00FA0DCE" w:rsidRPr="00FA0DCE" w:rsidTr="00FA0DCE">
        <w:trPr>
          <w:trHeight w:val="300"/>
        </w:trPr>
        <w:tc>
          <w:tcPr>
            <w:tcW w:w="7140" w:type="dxa"/>
            <w:tcBorders>
              <w:top w:val="nil"/>
              <w:left w:val="nil"/>
              <w:bottom w:val="nil"/>
              <w:right w:val="nil"/>
            </w:tcBorders>
            <w:shd w:val="clear" w:color="auto" w:fill="auto"/>
            <w:noWrap/>
            <w:vAlign w:val="bottom"/>
            <w:hideMark/>
          </w:tcPr>
          <w:p w:rsidR="00FA0DCE" w:rsidRPr="00FA0DCE" w:rsidRDefault="00FA0DCE" w:rsidP="00FA0DCE">
            <w:pPr>
              <w:spacing w:after="0" w:line="240" w:lineRule="auto"/>
              <w:rPr>
                <w:rFonts w:ascii="Calibri" w:eastAsia="Times New Roman" w:hAnsi="Calibri" w:cs="Calibri"/>
                <w:b/>
                <w:bCs/>
                <w:color w:val="000000"/>
              </w:rPr>
            </w:pPr>
            <w:r w:rsidRPr="00FA0DCE">
              <w:rPr>
                <w:rFonts w:ascii="Calibri" w:eastAsia="Times New Roman" w:hAnsi="Calibri" w:cs="Calibri"/>
                <w:b/>
                <w:bCs/>
                <w:color w:val="000000"/>
              </w:rPr>
              <w:t>PARTICIPACIONES Y APORTACIONES DE CAPITAL</w:t>
            </w:r>
          </w:p>
        </w:tc>
        <w:tc>
          <w:tcPr>
            <w:tcW w:w="1700" w:type="dxa"/>
            <w:tcBorders>
              <w:top w:val="nil"/>
              <w:left w:val="nil"/>
              <w:bottom w:val="nil"/>
              <w:right w:val="nil"/>
            </w:tcBorders>
            <w:shd w:val="clear" w:color="auto" w:fill="auto"/>
            <w:noWrap/>
            <w:vAlign w:val="bottom"/>
            <w:hideMark/>
          </w:tcPr>
          <w:p w:rsidR="00FA0DCE" w:rsidRPr="00FA0DCE" w:rsidRDefault="00FA0DCE" w:rsidP="00FA0DCE">
            <w:pPr>
              <w:spacing w:after="0" w:line="240" w:lineRule="auto"/>
              <w:rPr>
                <w:rFonts w:ascii="Calibri" w:eastAsia="Times New Roman" w:hAnsi="Calibri" w:cs="Calibri"/>
                <w:b/>
                <w:bCs/>
                <w:color w:val="000000"/>
              </w:rPr>
            </w:pPr>
          </w:p>
        </w:tc>
      </w:tr>
      <w:tr w:rsidR="00FA0DCE" w:rsidRPr="00FA0DCE" w:rsidTr="00FA0DCE">
        <w:trPr>
          <w:trHeight w:val="300"/>
        </w:trPr>
        <w:tc>
          <w:tcPr>
            <w:tcW w:w="7140" w:type="dxa"/>
            <w:tcBorders>
              <w:top w:val="nil"/>
              <w:left w:val="nil"/>
              <w:bottom w:val="nil"/>
              <w:right w:val="nil"/>
            </w:tcBorders>
            <w:shd w:val="clear" w:color="auto" w:fill="auto"/>
            <w:noWrap/>
            <w:vAlign w:val="bottom"/>
            <w:hideMark/>
          </w:tcPr>
          <w:p w:rsidR="00FA0DCE" w:rsidRPr="00FA0DCE" w:rsidRDefault="00FA0DCE" w:rsidP="00FA0DCE">
            <w:pPr>
              <w:spacing w:after="0" w:line="240" w:lineRule="auto"/>
              <w:rPr>
                <w:rFonts w:ascii="Calibri" w:eastAsia="Times New Roman" w:hAnsi="Calibri" w:cs="Calibri"/>
                <w:color w:val="000000"/>
              </w:rPr>
            </w:pPr>
            <w:r w:rsidRPr="00FA0DCE">
              <w:rPr>
                <w:rFonts w:ascii="Calibri" w:eastAsia="Times New Roman" w:hAnsi="Calibri" w:cs="Calibri"/>
                <w:color w:val="000000"/>
              </w:rPr>
              <w:t>PARTICIPACIONES Y APORTACIONES DE CAPITAL A LP EN EL SECTOR PÚBLICO</w:t>
            </w:r>
          </w:p>
        </w:tc>
        <w:tc>
          <w:tcPr>
            <w:tcW w:w="1700" w:type="dxa"/>
            <w:tcBorders>
              <w:top w:val="nil"/>
              <w:left w:val="nil"/>
              <w:bottom w:val="nil"/>
              <w:right w:val="nil"/>
            </w:tcBorders>
            <w:shd w:val="clear" w:color="auto" w:fill="auto"/>
            <w:noWrap/>
            <w:vAlign w:val="bottom"/>
            <w:hideMark/>
          </w:tcPr>
          <w:p w:rsidR="00FA0DCE" w:rsidRPr="00FA0DCE" w:rsidRDefault="00FA0DCE" w:rsidP="00FA0DCE">
            <w:pPr>
              <w:spacing w:after="0" w:line="240" w:lineRule="auto"/>
              <w:jc w:val="right"/>
              <w:rPr>
                <w:rFonts w:ascii="Calibri" w:eastAsia="Times New Roman" w:hAnsi="Calibri" w:cs="Calibri"/>
                <w:color w:val="000000"/>
              </w:rPr>
            </w:pPr>
            <w:r w:rsidRPr="00FA0DCE">
              <w:rPr>
                <w:rFonts w:ascii="Calibri" w:eastAsia="Times New Roman" w:hAnsi="Calibri" w:cs="Calibri"/>
                <w:color w:val="000000"/>
              </w:rPr>
              <w:t>430,562,098.00</w:t>
            </w:r>
          </w:p>
        </w:tc>
      </w:tr>
      <w:tr w:rsidR="00FA0DCE" w:rsidRPr="00FA0DCE" w:rsidTr="00FA0DCE">
        <w:trPr>
          <w:trHeight w:val="315"/>
        </w:trPr>
        <w:tc>
          <w:tcPr>
            <w:tcW w:w="7140" w:type="dxa"/>
            <w:tcBorders>
              <w:top w:val="nil"/>
              <w:left w:val="nil"/>
              <w:bottom w:val="nil"/>
              <w:right w:val="nil"/>
            </w:tcBorders>
            <w:shd w:val="clear" w:color="auto" w:fill="auto"/>
            <w:noWrap/>
            <w:vAlign w:val="bottom"/>
            <w:hideMark/>
          </w:tcPr>
          <w:p w:rsidR="00FA0DCE" w:rsidRPr="00FA0DCE" w:rsidRDefault="00FA0DCE" w:rsidP="00FA0DCE">
            <w:pPr>
              <w:spacing w:after="0" w:line="240" w:lineRule="auto"/>
              <w:rPr>
                <w:rFonts w:ascii="Calibri" w:eastAsia="Times New Roman" w:hAnsi="Calibri" w:cs="Calibri"/>
                <w:color w:val="000000"/>
              </w:rPr>
            </w:pPr>
            <w:r w:rsidRPr="00FA0DCE">
              <w:rPr>
                <w:rFonts w:ascii="Calibri" w:eastAsia="Times New Roman" w:hAnsi="Calibri" w:cs="Calibri"/>
                <w:color w:val="000000"/>
              </w:rPr>
              <w:t>TOTAL</w:t>
            </w:r>
          </w:p>
        </w:tc>
        <w:tc>
          <w:tcPr>
            <w:tcW w:w="1700" w:type="dxa"/>
            <w:tcBorders>
              <w:top w:val="single" w:sz="4" w:space="0" w:color="auto"/>
              <w:left w:val="nil"/>
              <w:bottom w:val="double" w:sz="6" w:space="0" w:color="auto"/>
              <w:right w:val="nil"/>
            </w:tcBorders>
            <w:shd w:val="clear" w:color="auto" w:fill="auto"/>
            <w:noWrap/>
            <w:vAlign w:val="bottom"/>
            <w:hideMark/>
          </w:tcPr>
          <w:p w:rsidR="00FA0DCE" w:rsidRPr="00FA0DCE" w:rsidRDefault="00FA0DCE" w:rsidP="00FA0DCE">
            <w:pPr>
              <w:spacing w:after="0" w:line="240" w:lineRule="auto"/>
              <w:jc w:val="right"/>
              <w:rPr>
                <w:rFonts w:ascii="Calibri" w:eastAsia="Times New Roman" w:hAnsi="Calibri" w:cs="Calibri"/>
                <w:b/>
                <w:bCs/>
                <w:color w:val="000000"/>
              </w:rPr>
            </w:pPr>
            <w:r w:rsidRPr="00FA0DCE">
              <w:rPr>
                <w:rFonts w:ascii="Calibri" w:eastAsia="Times New Roman" w:hAnsi="Calibri" w:cs="Calibri"/>
                <w:b/>
                <w:bCs/>
                <w:color w:val="000000"/>
              </w:rPr>
              <w:t>430,562,098.00</w:t>
            </w:r>
          </w:p>
        </w:tc>
      </w:tr>
    </w:tbl>
    <w:tbl>
      <w:tblPr>
        <w:tblW w:w="3000" w:type="pct"/>
        <w:tblCellSpacing w:w="15" w:type="dxa"/>
        <w:tblCellMar>
          <w:top w:w="15" w:type="dxa"/>
          <w:left w:w="15" w:type="dxa"/>
          <w:bottom w:w="15" w:type="dxa"/>
          <w:right w:w="15" w:type="dxa"/>
        </w:tblCellMar>
        <w:tblLook w:val="04A0" w:firstRow="1" w:lastRow="0" w:firstColumn="1" w:lastColumn="0" w:noHBand="0" w:noVBand="1"/>
      </w:tblPr>
      <w:tblGrid>
        <w:gridCol w:w="3888"/>
        <w:gridCol w:w="3888"/>
      </w:tblGrid>
      <w:tr w:rsidR="00EF6E52" w:rsidRPr="00BC3A61" w:rsidTr="001127DC">
        <w:trPr>
          <w:divId w:val="1922986418"/>
          <w:tblCellSpacing w:w="15" w:type="dxa"/>
        </w:trPr>
        <w:tc>
          <w:tcPr>
            <w:tcW w:w="0" w:type="auto"/>
            <w:shd w:val="clear" w:color="auto" w:fill="auto"/>
            <w:vAlign w:val="center"/>
          </w:tcPr>
          <w:p w:rsidR="00EF6E52" w:rsidRPr="00BC3A61" w:rsidRDefault="00EF6E52" w:rsidP="001127DC">
            <w:pPr>
              <w:rPr>
                <w:rFonts w:ascii="Lato" w:eastAsia="Times New Roman" w:hAnsi="Lato"/>
                <w:b/>
                <w:bCs/>
                <w:color w:val="000000"/>
                <w:sz w:val="20"/>
                <w:szCs w:val="20"/>
              </w:rPr>
            </w:pPr>
          </w:p>
        </w:tc>
        <w:tc>
          <w:tcPr>
            <w:tcW w:w="0" w:type="auto"/>
            <w:shd w:val="clear" w:color="auto" w:fill="auto"/>
            <w:vAlign w:val="center"/>
          </w:tcPr>
          <w:p w:rsidR="00EF6E52" w:rsidRPr="00BC3A61" w:rsidRDefault="00EF6E52" w:rsidP="001127DC">
            <w:pPr>
              <w:rPr>
                <w:rFonts w:ascii="Lato" w:eastAsia="Times New Roman" w:hAnsi="Lato"/>
                <w:sz w:val="20"/>
                <w:szCs w:val="20"/>
              </w:rPr>
            </w:pPr>
          </w:p>
        </w:tc>
      </w:tr>
    </w:tbl>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t>8.- El saldo del rubro Bienes muebles e inmuebles que figura en el Estado de situación financiera, se integra como sigue:</w:t>
      </w:r>
    </w:p>
    <w:tbl>
      <w:tblPr>
        <w:tblW w:w="11740" w:type="dxa"/>
        <w:tblCellMar>
          <w:left w:w="70" w:type="dxa"/>
          <w:right w:w="70" w:type="dxa"/>
        </w:tblCellMar>
        <w:tblLook w:val="04A0" w:firstRow="1" w:lastRow="0" w:firstColumn="1" w:lastColumn="0" w:noHBand="0" w:noVBand="1"/>
      </w:tblPr>
      <w:tblGrid>
        <w:gridCol w:w="5980"/>
        <w:gridCol w:w="1920"/>
        <w:gridCol w:w="1920"/>
        <w:gridCol w:w="1920"/>
      </w:tblGrid>
      <w:tr w:rsidR="00B27D4C" w:rsidRPr="00BC3A61" w:rsidTr="00B27D4C">
        <w:trPr>
          <w:divId w:val="1922986418"/>
          <w:trHeight w:val="600"/>
        </w:trPr>
        <w:tc>
          <w:tcPr>
            <w:tcW w:w="598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BIENES MUEBLES</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IMPORTE</w:t>
            </w:r>
          </w:p>
        </w:tc>
        <w:tc>
          <w:tcPr>
            <w:tcW w:w="192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DEPRECIACIÓN DEL EJERCICIO</w:t>
            </w:r>
          </w:p>
        </w:tc>
        <w:tc>
          <w:tcPr>
            <w:tcW w:w="192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DEPRECIACIÓN ACUMULADA</w:t>
            </w:r>
          </w:p>
        </w:tc>
      </w:tr>
      <w:tr w:rsidR="00B27D4C" w:rsidRPr="00BC3A61" w:rsidTr="00B27D4C">
        <w:trPr>
          <w:divId w:val="1922986418"/>
          <w:trHeight w:val="300"/>
        </w:trPr>
        <w:tc>
          <w:tcPr>
            <w:tcW w:w="598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center"/>
              <w:rPr>
                <w:rFonts w:ascii="Lato" w:eastAsia="Times New Roman" w:hAnsi="Lato" w:cs="Calibri"/>
                <w:b/>
                <w:bCs/>
                <w:color w:val="000000"/>
                <w:sz w:val="20"/>
                <w:szCs w:val="20"/>
              </w:rPr>
            </w:pP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Times New Roman"/>
                <w:sz w:val="20"/>
                <w:szCs w:val="20"/>
              </w:rPr>
            </w:pP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Times New Roman"/>
                <w:sz w:val="20"/>
                <w:szCs w:val="20"/>
              </w:rPr>
            </w:pP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Times New Roman"/>
                <w:sz w:val="20"/>
                <w:szCs w:val="20"/>
              </w:rPr>
            </w:pP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MOBILIARIO Y EQUIPO DE ADMINISTRACIÓN</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Calibri"/>
                <w:color w:val="000000"/>
                <w:sz w:val="20"/>
                <w:szCs w:val="20"/>
              </w:rPr>
            </w:pP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Times New Roman"/>
                <w:sz w:val="20"/>
                <w:szCs w:val="20"/>
              </w:rPr>
            </w:pP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Times New Roman"/>
                <w:sz w:val="20"/>
                <w:szCs w:val="20"/>
              </w:rPr>
            </w:pP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MUEBLES DE OFICINA Y ESTANTERÍA</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585,003,278.22</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14,838,252.19</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159,096,522.36</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MUEBLES, EXCEPTO DE OFICINA Y ESTANTERÍA</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13,558,057.63</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675,967.72</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7,423,676.60</w:t>
            </w:r>
          </w:p>
        </w:tc>
      </w:tr>
      <w:tr w:rsidR="00B27D4C" w:rsidRPr="00BC3A61" w:rsidTr="00B27D4C">
        <w:trPr>
          <w:divId w:val="1922986418"/>
          <w:trHeight w:val="315"/>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EQUIPO DE CÓMPUTO Y DE TECNOLOGÍAS DE LA INFORMACIÓN</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979,318,156.66</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43,332,239.05</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1,201,029,964.95</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OTROS MOBILIARIOS Y EQUIPOS DE ADMINISTRACIÓN</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115,402,076.89</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3,564,434.72</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88,076,956.82</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MOBILIARIO Y EQUIPO EDUCACIONAL Y RECREATIVO</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Calibri"/>
                <w:color w:val="000000"/>
                <w:sz w:val="20"/>
                <w:szCs w:val="20"/>
              </w:rPr>
            </w:pP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Times New Roman"/>
                <w:sz w:val="20"/>
                <w:szCs w:val="20"/>
              </w:rPr>
            </w:pP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Times New Roman"/>
                <w:sz w:val="20"/>
                <w:szCs w:val="20"/>
              </w:rPr>
            </w:pP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EQUIPOS Y APARATOS AUDIOVISUALES</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438,541,962.43</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6,362,909.59</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418,032,486.28</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APARATOS DEPORTIVOS</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1,454,796.00</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10,801.83</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1,272,762.50</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CÁMARAS FOTOGRÁFICAS Y DE VIDEO</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36,753,828.69</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1,729,653.81</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33,945,430.28</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OTRO MOBILIARIO Y EQUIPO EDUCACIONAL Y RECREATIVO</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141,935,042.36</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4,908,403.52</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48,954,573.69</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EQUIPO E INSTRUMENTAL MÉDICO Y DE LABORATORIO</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Calibri"/>
                <w:color w:val="000000"/>
                <w:sz w:val="20"/>
                <w:szCs w:val="20"/>
              </w:rPr>
            </w:pP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Times New Roman"/>
                <w:sz w:val="20"/>
                <w:szCs w:val="20"/>
              </w:rPr>
            </w:pP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Times New Roman"/>
                <w:sz w:val="20"/>
                <w:szCs w:val="20"/>
              </w:rPr>
            </w:pP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EQUIPO MÉDICO Y DE LABORATORIO</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35,564,548.23</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1,101,098.31</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29,407,721.50</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lastRenderedPageBreak/>
              <w:t>INSTRUMENTAL MÉDICO Y DE LABORATORIO</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8,400,428.77</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116,242.80</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6,989,748.05</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VEHÍCULOS Y EQUIPO DE TRANSPORTE</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Calibri"/>
                <w:color w:val="000000"/>
                <w:sz w:val="20"/>
                <w:szCs w:val="20"/>
              </w:rPr>
            </w:pP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Times New Roman"/>
                <w:sz w:val="20"/>
                <w:szCs w:val="20"/>
              </w:rPr>
            </w:pP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Times New Roman"/>
                <w:sz w:val="20"/>
                <w:szCs w:val="20"/>
              </w:rPr>
            </w:pP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VEHÍCULOS Y EQUIPO DE TERRESTRE</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553,645,684.69</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46,125,230.45</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526,819,126.52</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CARROCERÍAS Y REMOLQUES</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32,572,101.51</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1,897,790.39</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25,321,736.52</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EQUIPO AEROESPACIAL</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17,767,074.16</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25,839.00</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17,692,428.12</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EQUIPO FERROVIARIO</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EMBARCACIONES</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86,081,445.94</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5,835,068.96</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56,909,316.87</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OTROS EQUIPOS DE TRANSPORTE</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87,213,277.31</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9,297,155.53</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68,007,574.37</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EQUIPO DE DEFENSA Y SEGURIDAD</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135,867,471.88</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8,686,998.14</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57,904,394.23</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MAQUINARIA, OTROS EQUIPOS Y HERRAMIENTAS</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Calibri"/>
                <w:color w:val="000000"/>
                <w:sz w:val="20"/>
                <w:szCs w:val="20"/>
              </w:rPr>
            </w:pP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Times New Roman"/>
                <w:sz w:val="20"/>
                <w:szCs w:val="20"/>
              </w:rPr>
            </w:pP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Times New Roman"/>
                <w:sz w:val="20"/>
                <w:szCs w:val="20"/>
              </w:rPr>
            </w:pP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MAQUINARIA Y EQUIPO AGROPECUARIO</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16,474,312.73</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1,081,860.90</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4,521,862.52</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MAQUINARIA Y EQUIPO INDUSTRIAL</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23,271,868.07</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990,662.05</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16,610,839.07</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MAQUINARIA Y EQUIPO DE CONSTRUCCIÓN</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2,597,925.02</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7,054.85</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2,785,568.94</w:t>
            </w:r>
          </w:p>
        </w:tc>
      </w:tr>
      <w:tr w:rsidR="00B27D4C" w:rsidRPr="00BC3A61" w:rsidTr="00B27D4C">
        <w:trPr>
          <w:divId w:val="1922986418"/>
          <w:trHeight w:val="6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SISTEMAS DE AIRE ACONDICIONADO, CALEFACCIÓN Y DE REFRIGERACIÓN INDUSTRIAL Y COMERCIAL</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90,183,836.30</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4,662,835.97</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53,879,947.21</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EQUIPO DE COMUNICACIÓN Y TELECOMUNICACIÓN</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125,161,565.00</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5,048,007.64</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90,019,628.48</w:t>
            </w:r>
          </w:p>
        </w:tc>
      </w:tr>
      <w:tr w:rsidR="00B27D4C" w:rsidRPr="00BC3A61" w:rsidTr="00B27D4C">
        <w:trPr>
          <w:divId w:val="1922986418"/>
          <w:trHeight w:val="6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EQUIPOS DE GENERACIÓN ELÉCTRICA, APARATOS Y ACCESORIOS ELÉCTRICOS</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69,653,380.79</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4,350,343.11</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37,716,130.90</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HERRAMIENTAS Y MÁQUINAS-HERRAMIENTA</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35,084,786.44</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1,632,797.34</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16,285,536.08</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OTROS EQUIPOS</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31,846,064.38</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2,031,763.43</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17,623,917.35</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COLECCIONES, OBRAS DE ARTE Y OBJETOS VALIOSOS</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Calibri"/>
                <w:color w:val="000000"/>
                <w:sz w:val="20"/>
                <w:szCs w:val="20"/>
              </w:rPr>
            </w:pP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Times New Roman"/>
                <w:sz w:val="20"/>
                <w:szCs w:val="20"/>
              </w:rPr>
            </w:pP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Times New Roman"/>
                <w:sz w:val="20"/>
                <w:szCs w:val="20"/>
              </w:rPr>
            </w:pP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BIENES ARTÍSTICOS, CULTURALES Y CIENTÍFICOS</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25,206,456.54</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286,267.77</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882,988.20</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OBJETOS DE VALOR</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7,102,220.95</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167,358.15</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478,233.94</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ACTIVOS BIOLÓGICOS</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Calibri"/>
                <w:color w:val="000000"/>
                <w:sz w:val="20"/>
                <w:szCs w:val="20"/>
              </w:rPr>
            </w:pP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Times New Roman"/>
                <w:sz w:val="20"/>
                <w:szCs w:val="20"/>
              </w:rPr>
            </w:pP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rPr>
                <w:rFonts w:ascii="Lato" w:eastAsia="Times New Roman" w:hAnsi="Lato" w:cs="Times New Roman"/>
                <w:sz w:val="20"/>
                <w:szCs w:val="20"/>
              </w:rPr>
            </w:pP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OVINOS Y CAPRINOS</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PECES Y ACUICULTURA</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9,960.00</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9,960.00</w:t>
            </w:r>
          </w:p>
        </w:tc>
      </w:tr>
      <w:tr w:rsidR="00B27D4C" w:rsidRPr="00BC3A61" w:rsidTr="00B27D4C">
        <w:trPr>
          <w:divId w:val="1922986418"/>
          <w:trHeight w:val="300"/>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ESPECIES MENORES Y DE ZOOLÓGICO</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1,140,280.00</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w:t>
            </w:r>
          </w:p>
        </w:tc>
        <w:tc>
          <w:tcPr>
            <w:tcW w:w="1920" w:type="dxa"/>
            <w:tcBorders>
              <w:top w:val="nil"/>
              <w:left w:val="nil"/>
              <w:bottom w:val="nil"/>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1,139,719.32</w:t>
            </w:r>
          </w:p>
        </w:tc>
      </w:tr>
      <w:tr w:rsidR="00B27D4C" w:rsidRPr="00BC3A61" w:rsidTr="00B27D4C">
        <w:trPr>
          <w:divId w:val="1922986418"/>
          <w:trHeight w:val="315"/>
        </w:trPr>
        <w:tc>
          <w:tcPr>
            <w:tcW w:w="5980" w:type="dxa"/>
            <w:tcBorders>
              <w:top w:val="nil"/>
              <w:left w:val="nil"/>
              <w:bottom w:val="nil"/>
              <w:right w:val="nil"/>
            </w:tcBorders>
            <w:shd w:val="clear" w:color="auto" w:fill="auto"/>
            <w:vAlign w:val="bottom"/>
            <w:hideMark/>
          </w:tcPr>
          <w:p w:rsidR="00B27D4C" w:rsidRPr="00BC3A61" w:rsidRDefault="00B27D4C" w:rsidP="00B27D4C">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TOTAL</w:t>
            </w:r>
          </w:p>
        </w:tc>
        <w:tc>
          <w:tcPr>
            <w:tcW w:w="1920" w:type="dxa"/>
            <w:tcBorders>
              <w:top w:val="single" w:sz="4" w:space="0" w:color="auto"/>
              <w:left w:val="nil"/>
              <w:bottom w:val="double" w:sz="6" w:space="0" w:color="auto"/>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3,696,811,887.59</w:t>
            </w:r>
          </w:p>
        </w:tc>
        <w:tc>
          <w:tcPr>
            <w:tcW w:w="1920" w:type="dxa"/>
            <w:tcBorders>
              <w:top w:val="single" w:sz="4" w:space="0" w:color="auto"/>
              <w:left w:val="nil"/>
              <w:bottom w:val="double" w:sz="6" w:space="0" w:color="auto"/>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168,767,037.22</w:t>
            </w:r>
          </w:p>
        </w:tc>
        <w:tc>
          <w:tcPr>
            <w:tcW w:w="1920" w:type="dxa"/>
            <w:tcBorders>
              <w:top w:val="single" w:sz="4" w:space="0" w:color="auto"/>
              <w:left w:val="nil"/>
              <w:bottom w:val="double" w:sz="6" w:space="0" w:color="auto"/>
              <w:right w:val="nil"/>
            </w:tcBorders>
            <w:shd w:val="clear" w:color="auto" w:fill="auto"/>
            <w:noWrap/>
            <w:vAlign w:val="bottom"/>
            <w:hideMark/>
          </w:tcPr>
          <w:p w:rsidR="00B27D4C" w:rsidRPr="00BC3A61" w:rsidRDefault="00B27D4C" w:rsidP="00B27D4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2,988,838,751.67</w:t>
            </w:r>
          </w:p>
        </w:tc>
      </w:tr>
    </w:tbl>
    <w:p w:rsidR="00E873CD" w:rsidRPr="00BC3A61" w:rsidRDefault="00E873CD">
      <w:pPr>
        <w:rPr>
          <w:rFonts w:ascii="Lato" w:eastAsia="Times New Roman" w:hAnsi="Lato"/>
          <w:sz w:val="20"/>
          <w:szCs w:val="20"/>
        </w:rPr>
      </w:pPr>
    </w:p>
    <w:tbl>
      <w:tblPr>
        <w:tblW w:w="11740" w:type="dxa"/>
        <w:tblCellMar>
          <w:left w:w="70" w:type="dxa"/>
          <w:right w:w="70" w:type="dxa"/>
        </w:tblCellMar>
        <w:tblLook w:val="04A0" w:firstRow="1" w:lastRow="0" w:firstColumn="1" w:lastColumn="0" w:noHBand="0" w:noVBand="1"/>
      </w:tblPr>
      <w:tblGrid>
        <w:gridCol w:w="5980"/>
        <w:gridCol w:w="1920"/>
        <w:gridCol w:w="1920"/>
        <w:gridCol w:w="1920"/>
      </w:tblGrid>
      <w:tr w:rsidR="00A6364B" w:rsidRPr="00BC3A61" w:rsidTr="00A6364B">
        <w:trPr>
          <w:trHeight w:val="510"/>
        </w:trPr>
        <w:tc>
          <w:tcPr>
            <w:tcW w:w="598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lastRenderedPageBreak/>
              <w:t>BIENES INMUEBLES</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IMPORTE</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DEPRECIACIÓN DEL EJERCICIO</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DEPRECIACIÓN ACUMULADA</w:t>
            </w:r>
          </w:p>
        </w:tc>
      </w:tr>
      <w:tr w:rsidR="00A6364B" w:rsidRPr="00BC3A61" w:rsidTr="00A6364B">
        <w:trPr>
          <w:trHeight w:val="300"/>
        </w:trPr>
        <w:tc>
          <w:tcPr>
            <w:tcW w:w="598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TERRENOS</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3,873,685,289.45</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A6364B" w:rsidRPr="00BC3A61" w:rsidTr="00A6364B">
        <w:trPr>
          <w:trHeight w:val="300"/>
        </w:trPr>
        <w:tc>
          <w:tcPr>
            <w:tcW w:w="598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VIVIENDAS</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7,377,529.82</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A6364B" w:rsidRPr="00BC3A61" w:rsidTr="00A6364B">
        <w:trPr>
          <w:trHeight w:val="300"/>
        </w:trPr>
        <w:tc>
          <w:tcPr>
            <w:tcW w:w="598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EDIFICIOS NO HABITACIONALES</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2,013,093,750.42</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78,874,849.13</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1,473,250,607.55</w:t>
            </w:r>
          </w:p>
        </w:tc>
      </w:tr>
      <w:tr w:rsidR="00A6364B" w:rsidRPr="00BC3A61" w:rsidTr="00A6364B">
        <w:trPr>
          <w:trHeight w:val="300"/>
        </w:trPr>
        <w:tc>
          <w:tcPr>
            <w:tcW w:w="598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INFRAESTRUCTURA</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66,320,694.92</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A6364B" w:rsidRPr="00BC3A61" w:rsidTr="00A6364B">
        <w:trPr>
          <w:trHeight w:val="510"/>
        </w:trPr>
        <w:tc>
          <w:tcPr>
            <w:tcW w:w="598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CONSTRUCCIONES EN PROCESO EN BIENES DE DOMINIO PÚBLICO</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34,455,624.71</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A6364B" w:rsidRPr="00BC3A61" w:rsidTr="00A6364B">
        <w:trPr>
          <w:trHeight w:val="315"/>
        </w:trPr>
        <w:tc>
          <w:tcPr>
            <w:tcW w:w="598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CONSTRUCCIONES EN PROCESO EN BIENES PROPIOS</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37,349,419.08</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c>
          <w:tcPr>
            <w:tcW w:w="192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A6364B" w:rsidRPr="00BC3A61" w:rsidTr="00A6364B">
        <w:trPr>
          <w:trHeight w:val="330"/>
        </w:trPr>
        <w:tc>
          <w:tcPr>
            <w:tcW w:w="5980" w:type="dxa"/>
            <w:tcBorders>
              <w:top w:val="nil"/>
              <w:left w:val="nil"/>
              <w:bottom w:val="nil"/>
              <w:right w:val="nil"/>
            </w:tcBorders>
            <w:shd w:val="clear" w:color="auto" w:fill="auto"/>
            <w:vAlign w:val="center"/>
            <w:hideMark/>
          </w:tcPr>
          <w:p w:rsidR="00A6364B" w:rsidRPr="00BC3A61" w:rsidRDefault="00A6364B" w:rsidP="00A6364B">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TOTAL</w:t>
            </w:r>
          </w:p>
        </w:tc>
        <w:tc>
          <w:tcPr>
            <w:tcW w:w="1920" w:type="dxa"/>
            <w:tcBorders>
              <w:top w:val="single" w:sz="12" w:space="0" w:color="000000"/>
              <w:left w:val="nil"/>
              <w:bottom w:val="single" w:sz="12" w:space="0" w:color="000000"/>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6,032,282,308.40</w:t>
            </w:r>
          </w:p>
        </w:tc>
        <w:tc>
          <w:tcPr>
            <w:tcW w:w="1920" w:type="dxa"/>
            <w:tcBorders>
              <w:top w:val="single" w:sz="12" w:space="0" w:color="000000"/>
              <w:left w:val="nil"/>
              <w:bottom w:val="single" w:sz="12" w:space="0" w:color="000000"/>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78,874,849.13</w:t>
            </w:r>
          </w:p>
        </w:tc>
        <w:tc>
          <w:tcPr>
            <w:tcW w:w="1920" w:type="dxa"/>
            <w:tcBorders>
              <w:top w:val="single" w:sz="12" w:space="0" w:color="000000"/>
              <w:left w:val="nil"/>
              <w:bottom w:val="single" w:sz="12" w:space="0" w:color="000000"/>
              <w:right w:val="nil"/>
            </w:tcBorders>
            <w:shd w:val="clear" w:color="auto" w:fill="auto"/>
            <w:vAlign w:val="center"/>
            <w:hideMark/>
          </w:tcPr>
          <w:p w:rsidR="00A6364B" w:rsidRPr="00BC3A61" w:rsidRDefault="00A6364B" w:rsidP="00A6364B">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1,473,250,607.55</w:t>
            </w:r>
          </w:p>
        </w:tc>
      </w:tr>
    </w:tbl>
    <w:p w:rsidR="00ED5A9E" w:rsidRPr="00BC3A61" w:rsidRDefault="00ED5A9E">
      <w:pPr>
        <w:rPr>
          <w:rFonts w:ascii="Lato" w:eastAsia="Times New Roman" w:hAnsi="Lato"/>
          <w:sz w:val="20"/>
          <w:szCs w:val="20"/>
        </w:rPr>
      </w:pPr>
    </w:p>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t xml:space="preserve">Los saldos registrados en el rubro de Bienes Muebles e Inmuebles, representan el monto de la inversión realizada por el Poder Ejecutivo en Propiedades, Mobiliario y Equipo, para el desempeño de sus actividades administrativas, así como para la prestación de bienes y servicios a los habitantes del Estado de Yucatán. </w:t>
      </w:r>
    </w:p>
    <w:p w:rsidR="00E873CD" w:rsidRPr="00BC3A61" w:rsidRDefault="00196B7D">
      <w:pPr>
        <w:rPr>
          <w:rFonts w:ascii="Lato" w:eastAsia="Times New Roman" w:hAnsi="Lato"/>
          <w:sz w:val="20"/>
          <w:szCs w:val="20"/>
        </w:rPr>
      </w:pPr>
      <w:r w:rsidRPr="00BC3A61">
        <w:rPr>
          <w:rFonts w:ascii="Lato" w:eastAsia="Times New Roman" w:hAnsi="Lato"/>
          <w:sz w:val="20"/>
          <w:szCs w:val="20"/>
        </w:rPr>
        <w:t>Respecto a la depreciación se indica lo siguiente:</w:t>
      </w:r>
    </w:p>
    <w:p w:rsidR="00E873CD" w:rsidRPr="00BC3A61" w:rsidRDefault="00196B7D">
      <w:pPr>
        <w:ind w:left="840"/>
        <w:rPr>
          <w:rFonts w:ascii="Lato" w:eastAsia="Times New Roman" w:hAnsi="Lato"/>
          <w:sz w:val="20"/>
          <w:szCs w:val="20"/>
        </w:rPr>
      </w:pPr>
      <w:r w:rsidRPr="00BC3A61">
        <w:rPr>
          <w:rFonts w:ascii="Lato" w:eastAsia="Times New Roman" w:hAnsi="Lato" w:cs="Times New Roman"/>
          <w:sz w:val="20"/>
          <w:szCs w:val="20"/>
        </w:rPr>
        <w:t>●</w:t>
      </w:r>
      <w:r w:rsidRPr="00BC3A61">
        <w:rPr>
          <w:rFonts w:ascii="Lato" w:eastAsia="Times New Roman" w:hAnsi="Lato"/>
          <w:sz w:val="20"/>
          <w:szCs w:val="20"/>
        </w:rPr>
        <w:t xml:space="preserve"> Para el c</w:t>
      </w:r>
      <w:r w:rsidRPr="00BC3A61">
        <w:rPr>
          <w:rFonts w:ascii="Lato" w:eastAsia="Times New Roman" w:hAnsi="Lato" w:cs="Barlow"/>
          <w:sz w:val="20"/>
          <w:szCs w:val="20"/>
        </w:rPr>
        <w:t>á</w:t>
      </w:r>
      <w:r w:rsidRPr="00BC3A61">
        <w:rPr>
          <w:rFonts w:ascii="Lato" w:eastAsia="Times New Roman" w:hAnsi="Lato"/>
          <w:sz w:val="20"/>
          <w:szCs w:val="20"/>
        </w:rPr>
        <w:t>lculo de la depreciaci</w:t>
      </w:r>
      <w:r w:rsidRPr="00BC3A61">
        <w:rPr>
          <w:rFonts w:ascii="Lato" w:eastAsia="Times New Roman" w:hAnsi="Lato" w:cs="Barlow"/>
          <w:sz w:val="20"/>
          <w:szCs w:val="20"/>
        </w:rPr>
        <w:t>ó</w:t>
      </w:r>
      <w:r w:rsidRPr="00BC3A61">
        <w:rPr>
          <w:rFonts w:ascii="Lato" w:eastAsia="Times New Roman" w:hAnsi="Lato"/>
          <w:sz w:val="20"/>
          <w:szCs w:val="20"/>
        </w:rPr>
        <w:t>n se utiliza el m</w:t>
      </w:r>
      <w:r w:rsidRPr="00BC3A61">
        <w:rPr>
          <w:rFonts w:ascii="Lato" w:eastAsia="Times New Roman" w:hAnsi="Lato" w:cs="Barlow"/>
          <w:sz w:val="20"/>
          <w:szCs w:val="20"/>
        </w:rPr>
        <w:t>é</w:t>
      </w:r>
      <w:r w:rsidRPr="00BC3A61">
        <w:rPr>
          <w:rFonts w:ascii="Lato" w:eastAsia="Times New Roman" w:hAnsi="Lato"/>
          <w:sz w:val="20"/>
          <w:szCs w:val="20"/>
        </w:rPr>
        <w:t>todo establecido por el CONAC mediante las Reglas Espec</w:t>
      </w:r>
      <w:r w:rsidRPr="00BC3A61">
        <w:rPr>
          <w:rFonts w:ascii="Lato" w:eastAsia="Times New Roman" w:hAnsi="Lato" w:cs="Barlow"/>
          <w:sz w:val="20"/>
          <w:szCs w:val="20"/>
        </w:rPr>
        <w:t>í</w:t>
      </w:r>
      <w:r w:rsidRPr="00BC3A61">
        <w:rPr>
          <w:rFonts w:ascii="Lato" w:eastAsia="Times New Roman" w:hAnsi="Lato"/>
          <w:sz w:val="20"/>
          <w:szCs w:val="20"/>
        </w:rPr>
        <w:t>ficas del Registro y Valoraci</w:t>
      </w:r>
      <w:r w:rsidRPr="00BC3A61">
        <w:rPr>
          <w:rFonts w:ascii="Lato" w:eastAsia="Times New Roman" w:hAnsi="Lato" w:cs="Barlow"/>
          <w:sz w:val="20"/>
          <w:szCs w:val="20"/>
        </w:rPr>
        <w:t>ó</w:t>
      </w:r>
      <w:r w:rsidRPr="00BC3A61">
        <w:rPr>
          <w:rFonts w:ascii="Lato" w:eastAsia="Times New Roman" w:hAnsi="Lato"/>
          <w:sz w:val="20"/>
          <w:szCs w:val="20"/>
        </w:rPr>
        <w:t>n del Activo.</w:t>
      </w:r>
    </w:p>
    <w:p w:rsidR="00E873CD" w:rsidRPr="00BC3A61" w:rsidRDefault="00196B7D">
      <w:pPr>
        <w:rPr>
          <w:rFonts w:ascii="Lato" w:eastAsia="Times New Roman" w:hAnsi="Lato"/>
          <w:sz w:val="20"/>
          <w:szCs w:val="20"/>
        </w:rPr>
      </w:pPr>
      <w:r w:rsidRPr="00BC3A61">
        <w:rPr>
          <w:rFonts w:ascii="Lato" w:eastAsia="Times New Roman" w:hAnsi="Lato"/>
          <w:sz w:val="20"/>
          <w:szCs w:val="20"/>
        </w:rPr>
        <w:t>9.- El saldo en Bienes Intangibles y diferidos se integra como sigue:</w:t>
      </w:r>
    </w:p>
    <w:tbl>
      <w:tblPr>
        <w:tblW w:w="11740" w:type="dxa"/>
        <w:tblCellMar>
          <w:left w:w="70" w:type="dxa"/>
          <w:right w:w="70" w:type="dxa"/>
        </w:tblCellMar>
        <w:tblLook w:val="04A0" w:firstRow="1" w:lastRow="0" w:firstColumn="1" w:lastColumn="0" w:noHBand="0" w:noVBand="1"/>
      </w:tblPr>
      <w:tblGrid>
        <w:gridCol w:w="5980"/>
        <w:gridCol w:w="1920"/>
        <w:gridCol w:w="1920"/>
        <w:gridCol w:w="1920"/>
      </w:tblGrid>
      <w:tr w:rsidR="008C758C" w:rsidRPr="00BC3A61" w:rsidTr="008C758C">
        <w:trPr>
          <w:trHeight w:val="510"/>
        </w:trPr>
        <w:tc>
          <w:tcPr>
            <w:tcW w:w="5980" w:type="dxa"/>
            <w:tcBorders>
              <w:top w:val="nil"/>
              <w:left w:val="nil"/>
              <w:bottom w:val="nil"/>
              <w:right w:val="nil"/>
            </w:tcBorders>
            <w:shd w:val="clear" w:color="auto" w:fill="auto"/>
            <w:vAlign w:val="center"/>
            <w:hideMark/>
          </w:tcPr>
          <w:p w:rsidR="008C758C" w:rsidRPr="00BC3A61" w:rsidRDefault="008C758C" w:rsidP="008C758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ACTIVOS INTANGIBLES Y DIFERIDOS</w:t>
            </w:r>
          </w:p>
        </w:tc>
        <w:tc>
          <w:tcPr>
            <w:tcW w:w="1920" w:type="dxa"/>
            <w:tcBorders>
              <w:top w:val="nil"/>
              <w:left w:val="nil"/>
              <w:bottom w:val="nil"/>
              <w:right w:val="nil"/>
            </w:tcBorders>
            <w:shd w:val="clear" w:color="auto" w:fill="auto"/>
            <w:vAlign w:val="center"/>
            <w:hideMark/>
          </w:tcPr>
          <w:p w:rsidR="008C758C" w:rsidRPr="00BC3A61" w:rsidRDefault="008C758C" w:rsidP="008C758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IMPORTE</w:t>
            </w:r>
          </w:p>
        </w:tc>
        <w:tc>
          <w:tcPr>
            <w:tcW w:w="1920" w:type="dxa"/>
            <w:tcBorders>
              <w:top w:val="nil"/>
              <w:left w:val="nil"/>
              <w:bottom w:val="nil"/>
              <w:right w:val="nil"/>
            </w:tcBorders>
            <w:shd w:val="clear" w:color="auto" w:fill="auto"/>
            <w:vAlign w:val="center"/>
            <w:hideMark/>
          </w:tcPr>
          <w:p w:rsidR="008C758C" w:rsidRPr="00BC3A61" w:rsidRDefault="008C758C" w:rsidP="008C758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AMORTIZACIÓN DEL EJERCICIO</w:t>
            </w:r>
          </w:p>
        </w:tc>
        <w:tc>
          <w:tcPr>
            <w:tcW w:w="1920" w:type="dxa"/>
            <w:tcBorders>
              <w:top w:val="nil"/>
              <w:left w:val="nil"/>
              <w:bottom w:val="nil"/>
              <w:right w:val="nil"/>
            </w:tcBorders>
            <w:shd w:val="clear" w:color="auto" w:fill="auto"/>
            <w:vAlign w:val="center"/>
            <w:hideMark/>
          </w:tcPr>
          <w:p w:rsidR="008C758C" w:rsidRPr="00BC3A61" w:rsidRDefault="008C758C" w:rsidP="008C758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AMORTIZACIÓN ACUMULADA</w:t>
            </w:r>
          </w:p>
        </w:tc>
      </w:tr>
      <w:tr w:rsidR="008C758C" w:rsidRPr="00BC3A61" w:rsidTr="008C758C">
        <w:trPr>
          <w:trHeight w:val="300"/>
        </w:trPr>
        <w:tc>
          <w:tcPr>
            <w:tcW w:w="598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ACTIVOS INTANGIBLES</w:t>
            </w:r>
          </w:p>
        </w:tc>
        <w:tc>
          <w:tcPr>
            <w:tcW w:w="192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rPr>
                <w:rFonts w:ascii="Lato" w:eastAsia="Times New Roman" w:hAnsi="Lato" w:cs="Calibri"/>
                <w:color w:val="000000"/>
                <w:sz w:val="20"/>
                <w:szCs w:val="20"/>
              </w:rPr>
            </w:pPr>
          </w:p>
        </w:tc>
        <w:tc>
          <w:tcPr>
            <w:tcW w:w="192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rPr>
                <w:rFonts w:ascii="Lato" w:eastAsia="Times New Roman" w:hAnsi="Lato" w:cs="Times New Roman"/>
                <w:sz w:val="20"/>
                <w:szCs w:val="20"/>
              </w:rPr>
            </w:pPr>
          </w:p>
        </w:tc>
        <w:tc>
          <w:tcPr>
            <w:tcW w:w="192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rPr>
                <w:rFonts w:ascii="Lato" w:eastAsia="Times New Roman" w:hAnsi="Lato" w:cs="Times New Roman"/>
                <w:sz w:val="20"/>
                <w:szCs w:val="20"/>
              </w:rPr>
            </w:pPr>
          </w:p>
        </w:tc>
      </w:tr>
      <w:tr w:rsidR="008C758C" w:rsidRPr="00BC3A61" w:rsidTr="008C758C">
        <w:trPr>
          <w:trHeight w:val="300"/>
        </w:trPr>
        <w:tc>
          <w:tcPr>
            <w:tcW w:w="598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SOFTWARE</w:t>
            </w:r>
          </w:p>
        </w:tc>
        <w:tc>
          <w:tcPr>
            <w:tcW w:w="192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65,147,471.31</w:t>
            </w:r>
          </w:p>
        </w:tc>
        <w:tc>
          <w:tcPr>
            <w:tcW w:w="192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8,754,771.72</w:t>
            </w:r>
          </w:p>
        </w:tc>
        <w:tc>
          <w:tcPr>
            <w:tcW w:w="192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74,325,475.43</w:t>
            </w:r>
          </w:p>
        </w:tc>
      </w:tr>
      <w:tr w:rsidR="008C758C" w:rsidRPr="00BC3A61" w:rsidTr="008C758C">
        <w:trPr>
          <w:trHeight w:val="300"/>
        </w:trPr>
        <w:tc>
          <w:tcPr>
            <w:tcW w:w="598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LICENCIAS</w:t>
            </w:r>
          </w:p>
        </w:tc>
        <w:tc>
          <w:tcPr>
            <w:tcW w:w="192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rPr>
                <w:rFonts w:ascii="Lato" w:eastAsia="Times New Roman" w:hAnsi="Lato" w:cs="Calibri"/>
                <w:color w:val="000000"/>
                <w:sz w:val="20"/>
                <w:szCs w:val="20"/>
              </w:rPr>
            </w:pPr>
          </w:p>
        </w:tc>
        <w:tc>
          <w:tcPr>
            <w:tcW w:w="192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rPr>
                <w:rFonts w:ascii="Lato" w:eastAsia="Times New Roman" w:hAnsi="Lato" w:cs="Times New Roman"/>
                <w:sz w:val="20"/>
                <w:szCs w:val="20"/>
              </w:rPr>
            </w:pPr>
          </w:p>
        </w:tc>
        <w:tc>
          <w:tcPr>
            <w:tcW w:w="192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rPr>
                <w:rFonts w:ascii="Lato" w:eastAsia="Times New Roman" w:hAnsi="Lato" w:cs="Times New Roman"/>
                <w:sz w:val="20"/>
                <w:szCs w:val="20"/>
              </w:rPr>
            </w:pPr>
          </w:p>
        </w:tc>
      </w:tr>
      <w:tr w:rsidR="008C758C" w:rsidRPr="00BC3A61" w:rsidTr="008C758C">
        <w:trPr>
          <w:trHeight w:val="300"/>
        </w:trPr>
        <w:tc>
          <w:tcPr>
            <w:tcW w:w="598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LICENCIAS INFORMATICAS E INTELECTULES</w:t>
            </w:r>
          </w:p>
        </w:tc>
        <w:tc>
          <w:tcPr>
            <w:tcW w:w="192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251,993,163.83</w:t>
            </w:r>
          </w:p>
        </w:tc>
        <w:tc>
          <w:tcPr>
            <w:tcW w:w="192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34,760,806.62</w:t>
            </w:r>
          </w:p>
        </w:tc>
        <w:tc>
          <w:tcPr>
            <w:tcW w:w="192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159,852,815.09</w:t>
            </w:r>
          </w:p>
        </w:tc>
      </w:tr>
      <w:tr w:rsidR="008C758C" w:rsidRPr="00BC3A61" w:rsidTr="008C758C">
        <w:trPr>
          <w:trHeight w:val="300"/>
        </w:trPr>
        <w:tc>
          <w:tcPr>
            <w:tcW w:w="598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ACTIVOS DIFERIDOS</w:t>
            </w:r>
          </w:p>
        </w:tc>
        <w:tc>
          <w:tcPr>
            <w:tcW w:w="192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rPr>
                <w:rFonts w:ascii="Lato" w:eastAsia="Times New Roman" w:hAnsi="Lato" w:cs="Calibri"/>
                <w:color w:val="000000"/>
                <w:sz w:val="20"/>
                <w:szCs w:val="20"/>
              </w:rPr>
            </w:pPr>
          </w:p>
        </w:tc>
        <w:tc>
          <w:tcPr>
            <w:tcW w:w="192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rPr>
                <w:rFonts w:ascii="Lato" w:eastAsia="Times New Roman" w:hAnsi="Lato" w:cs="Times New Roman"/>
                <w:sz w:val="20"/>
                <w:szCs w:val="20"/>
              </w:rPr>
            </w:pPr>
          </w:p>
        </w:tc>
        <w:tc>
          <w:tcPr>
            <w:tcW w:w="192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rPr>
                <w:rFonts w:ascii="Lato" w:eastAsia="Times New Roman" w:hAnsi="Lato" w:cs="Times New Roman"/>
                <w:sz w:val="20"/>
                <w:szCs w:val="20"/>
              </w:rPr>
            </w:pPr>
          </w:p>
        </w:tc>
      </w:tr>
      <w:tr w:rsidR="008C758C" w:rsidRPr="00BC3A61" w:rsidTr="008C758C">
        <w:trPr>
          <w:trHeight w:val="315"/>
        </w:trPr>
        <w:tc>
          <w:tcPr>
            <w:tcW w:w="598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GASTOS PAGADOS POR ADELANTADO A LARGO PLAZO</w:t>
            </w:r>
          </w:p>
        </w:tc>
        <w:tc>
          <w:tcPr>
            <w:tcW w:w="1920" w:type="dxa"/>
            <w:tcBorders>
              <w:top w:val="nil"/>
              <w:left w:val="nil"/>
              <w:bottom w:val="nil"/>
              <w:right w:val="nil"/>
            </w:tcBorders>
            <w:shd w:val="clear" w:color="auto" w:fill="auto"/>
            <w:noWrap/>
            <w:vAlign w:val="bottom"/>
            <w:hideMark/>
          </w:tcPr>
          <w:p w:rsidR="008C758C" w:rsidRPr="00BC3A61" w:rsidRDefault="008C758C" w:rsidP="008C758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1,921,538.91</w:t>
            </w:r>
          </w:p>
        </w:tc>
        <w:tc>
          <w:tcPr>
            <w:tcW w:w="1920" w:type="dxa"/>
            <w:tcBorders>
              <w:top w:val="nil"/>
              <w:left w:val="nil"/>
              <w:bottom w:val="nil"/>
              <w:right w:val="nil"/>
            </w:tcBorders>
            <w:shd w:val="clear" w:color="auto" w:fill="auto"/>
            <w:vAlign w:val="center"/>
            <w:hideMark/>
          </w:tcPr>
          <w:p w:rsidR="008C758C" w:rsidRPr="00BC3A61" w:rsidRDefault="008C758C" w:rsidP="008C758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c>
          <w:tcPr>
            <w:tcW w:w="1920" w:type="dxa"/>
            <w:tcBorders>
              <w:top w:val="nil"/>
              <w:left w:val="nil"/>
              <w:bottom w:val="nil"/>
              <w:right w:val="nil"/>
            </w:tcBorders>
            <w:shd w:val="clear" w:color="auto" w:fill="auto"/>
            <w:vAlign w:val="center"/>
            <w:hideMark/>
          </w:tcPr>
          <w:p w:rsidR="008C758C" w:rsidRPr="00BC3A61" w:rsidRDefault="008C758C" w:rsidP="008C758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8C758C" w:rsidRPr="00BC3A61" w:rsidTr="008C758C">
        <w:trPr>
          <w:trHeight w:val="330"/>
        </w:trPr>
        <w:tc>
          <w:tcPr>
            <w:tcW w:w="5980" w:type="dxa"/>
            <w:tcBorders>
              <w:top w:val="nil"/>
              <w:left w:val="nil"/>
              <w:bottom w:val="nil"/>
              <w:right w:val="nil"/>
            </w:tcBorders>
            <w:shd w:val="clear" w:color="auto" w:fill="auto"/>
            <w:vAlign w:val="center"/>
            <w:hideMark/>
          </w:tcPr>
          <w:p w:rsidR="008C758C" w:rsidRPr="00BC3A61" w:rsidRDefault="008C758C" w:rsidP="008C758C">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TOTAL</w:t>
            </w:r>
          </w:p>
        </w:tc>
        <w:tc>
          <w:tcPr>
            <w:tcW w:w="1920" w:type="dxa"/>
            <w:tcBorders>
              <w:top w:val="single" w:sz="12" w:space="0" w:color="000000"/>
              <w:left w:val="nil"/>
              <w:bottom w:val="single" w:sz="12" w:space="0" w:color="000000"/>
              <w:right w:val="nil"/>
            </w:tcBorders>
            <w:shd w:val="clear" w:color="auto" w:fill="auto"/>
            <w:vAlign w:val="center"/>
            <w:hideMark/>
          </w:tcPr>
          <w:p w:rsidR="008C758C" w:rsidRPr="00BC3A61" w:rsidRDefault="008C758C" w:rsidP="008C758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319,062,174.05</w:t>
            </w:r>
          </w:p>
        </w:tc>
        <w:tc>
          <w:tcPr>
            <w:tcW w:w="1920" w:type="dxa"/>
            <w:tcBorders>
              <w:top w:val="single" w:sz="12" w:space="0" w:color="000000"/>
              <w:left w:val="nil"/>
              <w:bottom w:val="single" w:sz="12" w:space="0" w:color="000000"/>
              <w:right w:val="nil"/>
            </w:tcBorders>
            <w:shd w:val="clear" w:color="auto" w:fill="auto"/>
            <w:vAlign w:val="center"/>
            <w:hideMark/>
          </w:tcPr>
          <w:p w:rsidR="008C758C" w:rsidRPr="00BC3A61" w:rsidRDefault="008C758C" w:rsidP="008C758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43,515,578.34</w:t>
            </w:r>
          </w:p>
        </w:tc>
        <w:tc>
          <w:tcPr>
            <w:tcW w:w="1920" w:type="dxa"/>
            <w:tcBorders>
              <w:top w:val="single" w:sz="12" w:space="0" w:color="000000"/>
              <w:left w:val="nil"/>
              <w:bottom w:val="single" w:sz="12" w:space="0" w:color="000000"/>
              <w:right w:val="nil"/>
            </w:tcBorders>
            <w:shd w:val="clear" w:color="auto" w:fill="auto"/>
            <w:vAlign w:val="center"/>
            <w:hideMark/>
          </w:tcPr>
          <w:p w:rsidR="008C758C" w:rsidRPr="00BC3A61" w:rsidRDefault="008C758C" w:rsidP="008C758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234,178,290.52</w:t>
            </w:r>
          </w:p>
        </w:tc>
      </w:tr>
    </w:tbl>
    <w:p w:rsidR="008C758C" w:rsidRPr="00BC3A61" w:rsidRDefault="008C758C">
      <w:pPr>
        <w:rPr>
          <w:rFonts w:ascii="Lato" w:eastAsia="Times New Roman" w:hAnsi="Lato"/>
          <w:sz w:val="20"/>
          <w:szCs w:val="20"/>
        </w:rPr>
      </w:pPr>
    </w:p>
    <w:p w:rsidR="00830713" w:rsidRDefault="00830713">
      <w:pPr>
        <w:rPr>
          <w:rStyle w:val="Textoennegrita"/>
          <w:rFonts w:ascii="Lato" w:eastAsia="Times New Roman" w:hAnsi="Lato"/>
          <w:sz w:val="20"/>
          <w:szCs w:val="20"/>
        </w:rPr>
      </w:pP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lastRenderedPageBreak/>
        <w:t>Estimaciones y Deterioros</w:t>
      </w:r>
    </w:p>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t>10.- El Poder Ejecutivo no realizó al 30 de septiembre de 2026, la determinación de estimaciones de cuentas incobrables, inversiones deterioro de activos biológicos, etc.</w:t>
      </w: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t>Otros Activos</w:t>
      </w:r>
    </w:p>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t>11.- El Poder Ejecutivo registra en este rubro</w:t>
      </w:r>
      <w:r w:rsidR="00111BC3" w:rsidRPr="00BC3A61">
        <w:rPr>
          <w:rFonts w:ascii="Lato" w:eastAsia="Times New Roman" w:hAnsi="Lato"/>
          <w:sz w:val="20"/>
          <w:szCs w:val="20"/>
        </w:rPr>
        <w:t xml:space="preserve"> de</w:t>
      </w:r>
      <w:r w:rsidRPr="00BC3A61">
        <w:rPr>
          <w:rFonts w:ascii="Lato" w:eastAsia="Times New Roman" w:hAnsi="Lato"/>
          <w:sz w:val="20"/>
          <w:szCs w:val="20"/>
        </w:rPr>
        <w:t xml:space="preserve"> activo circulante derivado de embargos realizados por la agencia de administración fiscal.</w:t>
      </w:r>
    </w:p>
    <w:tbl>
      <w:tblPr>
        <w:tblW w:w="7900" w:type="dxa"/>
        <w:tblCellMar>
          <w:left w:w="70" w:type="dxa"/>
          <w:right w:w="70" w:type="dxa"/>
        </w:tblCellMar>
        <w:tblLook w:val="04A0" w:firstRow="1" w:lastRow="0" w:firstColumn="1" w:lastColumn="0" w:noHBand="0" w:noVBand="1"/>
      </w:tblPr>
      <w:tblGrid>
        <w:gridCol w:w="5980"/>
        <w:gridCol w:w="1920"/>
      </w:tblGrid>
      <w:tr w:rsidR="007E785D" w:rsidRPr="00BC3A61" w:rsidTr="007E785D">
        <w:trPr>
          <w:divId w:val="1922986418"/>
          <w:trHeight w:val="300"/>
        </w:trPr>
        <w:tc>
          <w:tcPr>
            <w:tcW w:w="598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OTROS ACTIVOS CIRCULANTES</w:t>
            </w:r>
          </w:p>
        </w:tc>
        <w:tc>
          <w:tcPr>
            <w:tcW w:w="192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rPr>
                <w:rFonts w:ascii="Lato" w:eastAsia="Times New Roman" w:hAnsi="Lato" w:cs="Calibri"/>
                <w:b/>
                <w:bCs/>
                <w:color w:val="000000"/>
                <w:sz w:val="20"/>
                <w:szCs w:val="20"/>
              </w:rPr>
            </w:pPr>
          </w:p>
        </w:tc>
      </w:tr>
      <w:tr w:rsidR="007E785D" w:rsidRPr="00BC3A61" w:rsidTr="007E785D">
        <w:trPr>
          <w:divId w:val="1922986418"/>
          <w:trHeight w:val="525"/>
        </w:trPr>
        <w:tc>
          <w:tcPr>
            <w:tcW w:w="5980" w:type="dxa"/>
            <w:tcBorders>
              <w:top w:val="nil"/>
              <w:left w:val="nil"/>
              <w:bottom w:val="nil"/>
              <w:right w:val="nil"/>
            </w:tcBorders>
            <w:shd w:val="clear" w:color="auto" w:fill="auto"/>
            <w:vAlign w:val="bottom"/>
            <w:hideMark/>
          </w:tcPr>
          <w:p w:rsidR="007E785D" w:rsidRPr="00BC3A61" w:rsidRDefault="007E785D" w:rsidP="007E785D">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BIENES DERIVADOS DE EMBARGOS, DECOMISOS, ASEGURAMIENTOS Y DACIÓN EN PAGO</w:t>
            </w:r>
          </w:p>
        </w:tc>
        <w:tc>
          <w:tcPr>
            <w:tcW w:w="192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rPr>
                <w:rFonts w:ascii="Lato" w:eastAsia="Times New Roman" w:hAnsi="Lato" w:cs="Calibri"/>
                <w:b/>
                <w:bCs/>
                <w:color w:val="000000"/>
                <w:sz w:val="20"/>
                <w:szCs w:val="20"/>
              </w:rPr>
            </w:pPr>
          </w:p>
        </w:tc>
      </w:tr>
      <w:tr w:rsidR="007E785D" w:rsidRPr="00BC3A61" w:rsidTr="007E785D">
        <w:trPr>
          <w:divId w:val="1922986418"/>
          <w:trHeight w:val="300"/>
        </w:trPr>
        <w:tc>
          <w:tcPr>
            <w:tcW w:w="598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BIENES INMUEBLES</w:t>
            </w:r>
          </w:p>
        </w:tc>
        <w:tc>
          <w:tcPr>
            <w:tcW w:w="192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rPr>
                <w:rFonts w:ascii="Lato" w:eastAsia="Times New Roman" w:hAnsi="Lato" w:cs="Calibri"/>
                <w:b/>
                <w:bCs/>
                <w:color w:val="000000"/>
                <w:sz w:val="20"/>
                <w:szCs w:val="20"/>
              </w:rPr>
            </w:pPr>
          </w:p>
        </w:tc>
      </w:tr>
      <w:tr w:rsidR="007E785D" w:rsidRPr="00BC3A61" w:rsidTr="007E785D">
        <w:trPr>
          <w:divId w:val="1922986418"/>
          <w:trHeight w:val="300"/>
        </w:trPr>
        <w:tc>
          <w:tcPr>
            <w:tcW w:w="598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TERRENOS</w:t>
            </w:r>
          </w:p>
        </w:tc>
        <w:tc>
          <w:tcPr>
            <w:tcW w:w="192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4,515,842.00</w:t>
            </w:r>
          </w:p>
        </w:tc>
      </w:tr>
      <w:tr w:rsidR="007E785D" w:rsidRPr="00BC3A61" w:rsidTr="007E785D">
        <w:trPr>
          <w:divId w:val="1922986418"/>
          <w:trHeight w:val="300"/>
        </w:trPr>
        <w:tc>
          <w:tcPr>
            <w:tcW w:w="598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VIVIENDAS</w:t>
            </w:r>
          </w:p>
        </w:tc>
        <w:tc>
          <w:tcPr>
            <w:tcW w:w="192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1,809,879.00</w:t>
            </w:r>
          </w:p>
        </w:tc>
      </w:tr>
      <w:tr w:rsidR="007E785D" w:rsidRPr="00BC3A61" w:rsidTr="007E785D">
        <w:trPr>
          <w:divId w:val="1922986418"/>
          <w:trHeight w:val="300"/>
        </w:trPr>
        <w:tc>
          <w:tcPr>
            <w:tcW w:w="598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BIENES MUEBLES</w:t>
            </w:r>
          </w:p>
        </w:tc>
        <w:tc>
          <w:tcPr>
            <w:tcW w:w="192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rPr>
                <w:rFonts w:ascii="Lato" w:eastAsia="Times New Roman" w:hAnsi="Lato" w:cs="Calibri"/>
                <w:b/>
                <w:bCs/>
                <w:color w:val="000000"/>
                <w:sz w:val="20"/>
                <w:szCs w:val="20"/>
              </w:rPr>
            </w:pPr>
          </w:p>
        </w:tc>
      </w:tr>
      <w:tr w:rsidR="007E785D" w:rsidRPr="00BC3A61" w:rsidTr="007E785D">
        <w:trPr>
          <w:divId w:val="1922986418"/>
          <w:trHeight w:val="300"/>
        </w:trPr>
        <w:tc>
          <w:tcPr>
            <w:tcW w:w="598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MOBILIARIO Y EQUIPO DE ADMINISTRACIÓN</w:t>
            </w:r>
          </w:p>
        </w:tc>
        <w:tc>
          <w:tcPr>
            <w:tcW w:w="192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318,637.21</w:t>
            </w:r>
          </w:p>
        </w:tc>
      </w:tr>
      <w:tr w:rsidR="007E785D" w:rsidRPr="00BC3A61" w:rsidTr="007E785D">
        <w:trPr>
          <w:divId w:val="1922986418"/>
          <w:trHeight w:val="300"/>
        </w:trPr>
        <w:tc>
          <w:tcPr>
            <w:tcW w:w="598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MOBILIARIO Y EQUIPO EDUCACIONAL Y RECREATIVO</w:t>
            </w:r>
          </w:p>
        </w:tc>
        <w:tc>
          <w:tcPr>
            <w:tcW w:w="192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112,353.42</w:t>
            </w:r>
          </w:p>
        </w:tc>
      </w:tr>
      <w:tr w:rsidR="007E785D" w:rsidRPr="00BC3A61" w:rsidTr="007E785D">
        <w:trPr>
          <w:divId w:val="1922986418"/>
          <w:trHeight w:val="300"/>
        </w:trPr>
        <w:tc>
          <w:tcPr>
            <w:tcW w:w="598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EQUIPO E INSTRUMENTAL MÉDICO Y DE LABORATORIO</w:t>
            </w:r>
          </w:p>
        </w:tc>
        <w:tc>
          <w:tcPr>
            <w:tcW w:w="192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2,673.00</w:t>
            </w:r>
          </w:p>
        </w:tc>
      </w:tr>
      <w:tr w:rsidR="007E785D" w:rsidRPr="00BC3A61" w:rsidTr="007E785D">
        <w:trPr>
          <w:divId w:val="1922986418"/>
          <w:trHeight w:val="300"/>
        </w:trPr>
        <w:tc>
          <w:tcPr>
            <w:tcW w:w="598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VEHÍCULOS Y EQUIPOS DE TRANSPORTE</w:t>
            </w:r>
          </w:p>
        </w:tc>
        <w:tc>
          <w:tcPr>
            <w:tcW w:w="192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134,296.00</w:t>
            </w:r>
          </w:p>
        </w:tc>
      </w:tr>
      <w:tr w:rsidR="007E785D" w:rsidRPr="00BC3A61" w:rsidTr="007E785D">
        <w:trPr>
          <w:divId w:val="1922986418"/>
          <w:trHeight w:val="315"/>
        </w:trPr>
        <w:tc>
          <w:tcPr>
            <w:tcW w:w="598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MAQUINARIA, OTROS EQUIPOS Y HERRAMIENTAS</w:t>
            </w:r>
          </w:p>
        </w:tc>
        <w:tc>
          <w:tcPr>
            <w:tcW w:w="1920" w:type="dxa"/>
            <w:tcBorders>
              <w:top w:val="nil"/>
              <w:left w:val="nil"/>
              <w:bottom w:val="nil"/>
              <w:right w:val="nil"/>
            </w:tcBorders>
            <w:shd w:val="clear" w:color="auto" w:fill="auto"/>
            <w:noWrap/>
            <w:vAlign w:val="bottom"/>
            <w:hideMark/>
          </w:tcPr>
          <w:p w:rsidR="007E785D" w:rsidRPr="00BC3A61" w:rsidRDefault="007E785D" w:rsidP="007E785D">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24,612.00</w:t>
            </w:r>
          </w:p>
        </w:tc>
      </w:tr>
      <w:tr w:rsidR="007E785D" w:rsidRPr="00BC3A61" w:rsidTr="007E785D">
        <w:trPr>
          <w:divId w:val="1922986418"/>
          <w:trHeight w:val="330"/>
        </w:trPr>
        <w:tc>
          <w:tcPr>
            <w:tcW w:w="5980" w:type="dxa"/>
            <w:tcBorders>
              <w:top w:val="nil"/>
              <w:left w:val="nil"/>
              <w:bottom w:val="nil"/>
              <w:right w:val="nil"/>
            </w:tcBorders>
            <w:shd w:val="clear" w:color="auto" w:fill="auto"/>
            <w:vAlign w:val="center"/>
            <w:hideMark/>
          </w:tcPr>
          <w:p w:rsidR="007E785D" w:rsidRPr="00BC3A61" w:rsidRDefault="007E785D" w:rsidP="007E785D">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TOTAL</w:t>
            </w:r>
          </w:p>
        </w:tc>
        <w:tc>
          <w:tcPr>
            <w:tcW w:w="1920" w:type="dxa"/>
            <w:tcBorders>
              <w:top w:val="single" w:sz="12" w:space="0" w:color="000000"/>
              <w:left w:val="nil"/>
              <w:bottom w:val="single" w:sz="12" w:space="0" w:color="000000"/>
              <w:right w:val="nil"/>
            </w:tcBorders>
            <w:shd w:val="clear" w:color="auto" w:fill="auto"/>
            <w:vAlign w:val="center"/>
            <w:hideMark/>
          </w:tcPr>
          <w:p w:rsidR="007E785D" w:rsidRPr="00BC3A61" w:rsidRDefault="007E785D" w:rsidP="007E785D">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6,918,292.63</w:t>
            </w:r>
          </w:p>
        </w:tc>
      </w:tr>
    </w:tbl>
    <w:p w:rsidR="00E873CD" w:rsidRPr="00BC3A61" w:rsidRDefault="00E873CD">
      <w:pPr>
        <w:rPr>
          <w:rFonts w:ascii="Lato" w:eastAsia="Times New Roman" w:hAnsi="Lato"/>
          <w:sz w:val="20"/>
          <w:szCs w:val="20"/>
        </w:rPr>
      </w:pP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t>Pasivos</w:t>
      </w:r>
    </w:p>
    <w:p w:rsidR="00E873CD" w:rsidRPr="00BC3A61" w:rsidRDefault="00196B7D">
      <w:pPr>
        <w:rPr>
          <w:rFonts w:ascii="Lato" w:eastAsia="Times New Roman" w:hAnsi="Lato"/>
          <w:sz w:val="20"/>
          <w:szCs w:val="20"/>
        </w:rPr>
      </w:pPr>
      <w:r w:rsidRPr="00BC3A61">
        <w:rPr>
          <w:rFonts w:ascii="Lato" w:eastAsia="Times New Roman" w:hAnsi="Lato"/>
          <w:sz w:val="20"/>
          <w:szCs w:val="20"/>
        </w:rPr>
        <w:t>1.- La Cuenta de Proveedores, Retenciones y Deuda Publica se integran como sigue:</w:t>
      </w:r>
    </w:p>
    <w:tbl>
      <w:tblPr>
        <w:tblW w:w="3000" w:type="pct"/>
        <w:tblCellSpacing w:w="15" w:type="dxa"/>
        <w:tblCellMar>
          <w:top w:w="15" w:type="dxa"/>
          <w:left w:w="15" w:type="dxa"/>
          <w:bottom w:w="15" w:type="dxa"/>
          <w:right w:w="15" w:type="dxa"/>
        </w:tblCellMar>
        <w:tblLook w:val="04A0" w:firstRow="1" w:lastRow="0" w:firstColumn="1" w:lastColumn="0" w:noHBand="0" w:noVBand="1"/>
      </w:tblPr>
      <w:tblGrid>
        <w:gridCol w:w="5796"/>
        <w:gridCol w:w="1980"/>
      </w:tblGrid>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PROVEEDORES POR PAGAR A CORTO PLAZO</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EJERCICIO 2014</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133,560.04</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EJERCICIO 2015</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72,790.32</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EJERCICIO 2016</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139,058.58</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lastRenderedPageBreak/>
              <w:t>EJERCICIO 2017</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144,607.32</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EJERCICIO 2018</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16,297,112.59</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EJERCICIO 2019</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129,543.65</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EJERCICIO 2020</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693,730.89</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EJERCICIO 2021</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199,455.42</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EJERCICIO 2022</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1,291,113.39</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EJERCICIO 2023</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987.08</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EJERCICIO 2024</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1,624.10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EJERCICIO 2025</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-0.30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EJERCICIO 2026</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371,058,591.83</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390,162,174.91</w:t>
            </w:r>
          </w:p>
        </w:tc>
      </w:tr>
    </w:tbl>
    <w:p w:rsidR="00E873CD" w:rsidRPr="00BC3A61" w:rsidRDefault="00E873CD">
      <w:pPr>
        <w:rPr>
          <w:rFonts w:ascii="Lato" w:eastAsia="Times New Roman" w:hAnsi="Lato"/>
          <w:sz w:val="20"/>
          <w:szCs w:val="20"/>
        </w:rPr>
      </w:pPr>
    </w:p>
    <w:tbl>
      <w:tblPr>
        <w:tblW w:w="3000" w:type="pct"/>
        <w:tblCellSpacing w:w="15" w:type="dxa"/>
        <w:tblCellMar>
          <w:top w:w="15" w:type="dxa"/>
          <w:left w:w="15" w:type="dxa"/>
          <w:bottom w:w="15" w:type="dxa"/>
          <w:right w:w="15" w:type="dxa"/>
        </w:tblCellMar>
        <w:tblLook w:val="04A0" w:firstRow="1" w:lastRow="0" w:firstColumn="1" w:lastColumn="0" w:noHBand="0" w:noVBand="1"/>
      </w:tblPr>
      <w:tblGrid>
        <w:gridCol w:w="6283"/>
        <w:gridCol w:w="1493"/>
      </w:tblGrid>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RETENCIONES Y CONTRIBUCIONES POR PAGAR A CORTO PLAZO</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RETENCIONES DE IMPUESTOS SOBRE LA RENTA</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81,138,560.85</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RETENCIONES DIVERSAS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27,146,044.96</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RETENCIONES A FAVOR DEL ISSTEY</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103,615,766.95</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CMIC</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44,771.35</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ORGANO TÉCNICO DE FISCALIZACIÓN A LA LEGISLATURA</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10,845.71</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lastRenderedPageBreak/>
              <w:t>INSPECCIÓN Y VIGILANCIA POR CONVENIO DE COLABORACIÓN ADMINISTRATIVA</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231,834.86</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IMPUESTO ESTATAL SOBRE NÓMINA</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429,493.26</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IMPUESTO AL VALOR AGREGADO</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113,194.09</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212,730,512.03</w:t>
            </w:r>
          </w:p>
        </w:tc>
      </w:tr>
    </w:tbl>
    <w:p w:rsidR="00E873CD" w:rsidRPr="00BC3A61" w:rsidRDefault="00E873CD">
      <w:pPr>
        <w:rPr>
          <w:rFonts w:ascii="Lato" w:eastAsia="Times New Roman" w:hAnsi="Lato"/>
          <w:sz w:val="20"/>
          <w:szCs w:val="20"/>
        </w:rPr>
      </w:pPr>
    </w:p>
    <w:tbl>
      <w:tblPr>
        <w:tblW w:w="3000" w:type="pct"/>
        <w:tblCellSpacing w:w="15" w:type="dxa"/>
        <w:tblCellMar>
          <w:top w:w="15" w:type="dxa"/>
          <w:left w:w="15" w:type="dxa"/>
          <w:bottom w:w="15" w:type="dxa"/>
          <w:right w:w="15" w:type="dxa"/>
        </w:tblCellMar>
        <w:tblLook w:val="04A0" w:firstRow="1" w:lastRow="0" w:firstColumn="1" w:lastColumn="0" w:noHBand="0" w:noVBand="1"/>
      </w:tblPr>
      <w:tblGrid>
        <w:gridCol w:w="6399"/>
        <w:gridCol w:w="1377"/>
      </w:tblGrid>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PORCIÓN A CORTO PLAZO DE LA DEUDA PÚBLICA INTERNA</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BANAMEX YUCATÁN SEGURO(2019)</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14,848,417.60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BANOBRAS REFINANCIAMIENTO 2020/C1</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3,969,900.80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BANOBRAS REFINANCIAMIENTO 2020/C2</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5,952,487.61</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BANOBRAS REFINANCIAMIENTO 2020/C3</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6,851,434.21</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FINANCIAMIENTO BBVA AMPLIACIÓN PUERTO DE ALTURA DE PROGRESO</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5,650,239.91</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FINANCIAMIENTO BBVA IE-TRAM 2022</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6,525,590.12</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43,798,070.25</w:t>
            </w:r>
          </w:p>
        </w:tc>
      </w:tr>
    </w:tbl>
    <w:p w:rsidR="00E873CD" w:rsidRPr="00BC3A61" w:rsidRDefault="00E873CD">
      <w:pPr>
        <w:rPr>
          <w:rFonts w:ascii="Lato" w:eastAsia="Times New Roman" w:hAnsi="Lato"/>
          <w:sz w:val="20"/>
          <w:szCs w:val="20"/>
        </w:rPr>
      </w:pPr>
    </w:p>
    <w:tbl>
      <w:tblPr>
        <w:tblW w:w="8760" w:type="dxa"/>
        <w:tblCellMar>
          <w:left w:w="70" w:type="dxa"/>
          <w:right w:w="70" w:type="dxa"/>
        </w:tblCellMar>
        <w:tblLook w:val="04A0" w:firstRow="1" w:lastRow="0" w:firstColumn="1" w:lastColumn="0" w:noHBand="0" w:noVBand="1"/>
      </w:tblPr>
      <w:tblGrid>
        <w:gridCol w:w="6840"/>
        <w:gridCol w:w="1920"/>
      </w:tblGrid>
      <w:tr w:rsidR="00150EA1" w:rsidRPr="00BC3A61" w:rsidTr="00150EA1">
        <w:trPr>
          <w:trHeight w:val="300"/>
        </w:trPr>
        <w:tc>
          <w:tcPr>
            <w:tcW w:w="6840" w:type="dxa"/>
            <w:tcBorders>
              <w:top w:val="nil"/>
              <w:left w:val="nil"/>
              <w:bottom w:val="nil"/>
              <w:right w:val="nil"/>
            </w:tcBorders>
            <w:shd w:val="clear" w:color="auto" w:fill="auto"/>
            <w:noWrap/>
            <w:vAlign w:val="bottom"/>
            <w:hideMark/>
          </w:tcPr>
          <w:p w:rsidR="00150EA1" w:rsidRPr="00BC3A61" w:rsidRDefault="00150EA1" w:rsidP="00150EA1">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DEUDA PÚBLICA A LARGO PLAZO</w:t>
            </w:r>
          </w:p>
        </w:tc>
        <w:tc>
          <w:tcPr>
            <w:tcW w:w="1920" w:type="dxa"/>
            <w:tcBorders>
              <w:top w:val="nil"/>
              <w:left w:val="nil"/>
              <w:bottom w:val="nil"/>
              <w:right w:val="nil"/>
            </w:tcBorders>
            <w:shd w:val="clear" w:color="auto" w:fill="auto"/>
            <w:noWrap/>
            <w:vAlign w:val="bottom"/>
            <w:hideMark/>
          </w:tcPr>
          <w:p w:rsidR="00150EA1" w:rsidRPr="00BC3A61" w:rsidRDefault="00150EA1" w:rsidP="00150EA1">
            <w:pPr>
              <w:spacing w:after="0" w:line="240" w:lineRule="auto"/>
              <w:rPr>
                <w:rFonts w:ascii="Lato" w:eastAsia="Times New Roman" w:hAnsi="Lato" w:cs="Calibri"/>
                <w:b/>
                <w:bCs/>
                <w:color w:val="000000"/>
                <w:sz w:val="20"/>
                <w:szCs w:val="20"/>
              </w:rPr>
            </w:pPr>
          </w:p>
        </w:tc>
      </w:tr>
      <w:tr w:rsidR="00150EA1" w:rsidRPr="00BC3A61" w:rsidTr="00150EA1">
        <w:trPr>
          <w:trHeight w:val="300"/>
        </w:trPr>
        <w:tc>
          <w:tcPr>
            <w:tcW w:w="6840" w:type="dxa"/>
            <w:tcBorders>
              <w:top w:val="nil"/>
              <w:left w:val="nil"/>
              <w:bottom w:val="nil"/>
              <w:right w:val="nil"/>
            </w:tcBorders>
            <w:shd w:val="clear" w:color="auto" w:fill="auto"/>
            <w:noWrap/>
            <w:vAlign w:val="bottom"/>
            <w:hideMark/>
          </w:tcPr>
          <w:p w:rsidR="00150EA1" w:rsidRPr="00BC3A61" w:rsidRDefault="00150EA1" w:rsidP="00150EA1">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PRÉSTAMOS DE LA DEUDA PÚBLICA INTERNA POR PAGAR A LARGO PLAZO</w:t>
            </w:r>
          </w:p>
        </w:tc>
        <w:tc>
          <w:tcPr>
            <w:tcW w:w="1920" w:type="dxa"/>
            <w:tcBorders>
              <w:top w:val="nil"/>
              <w:left w:val="nil"/>
              <w:bottom w:val="nil"/>
              <w:right w:val="nil"/>
            </w:tcBorders>
            <w:shd w:val="clear" w:color="auto" w:fill="auto"/>
            <w:noWrap/>
            <w:vAlign w:val="bottom"/>
            <w:hideMark/>
          </w:tcPr>
          <w:p w:rsidR="00150EA1" w:rsidRPr="00BC3A61" w:rsidRDefault="00150EA1" w:rsidP="00150EA1">
            <w:pPr>
              <w:spacing w:after="0" w:line="240" w:lineRule="auto"/>
              <w:rPr>
                <w:rFonts w:ascii="Lato" w:eastAsia="Times New Roman" w:hAnsi="Lato" w:cs="Calibri"/>
                <w:b/>
                <w:bCs/>
                <w:color w:val="000000"/>
                <w:sz w:val="20"/>
                <w:szCs w:val="20"/>
              </w:rPr>
            </w:pPr>
          </w:p>
        </w:tc>
      </w:tr>
      <w:tr w:rsidR="00150EA1" w:rsidRPr="00BC3A61" w:rsidTr="00150EA1">
        <w:trPr>
          <w:trHeight w:val="300"/>
        </w:trPr>
        <w:tc>
          <w:tcPr>
            <w:tcW w:w="6840" w:type="dxa"/>
            <w:tcBorders>
              <w:top w:val="nil"/>
              <w:left w:val="nil"/>
              <w:bottom w:val="nil"/>
              <w:right w:val="nil"/>
            </w:tcBorders>
            <w:shd w:val="clear" w:color="auto" w:fill="auto"/>
            <w:noWrap/>
            <w:vAlign w:val="bottom"/>
            <w:hideMark/>
          </w:tcPr>
          <w:p w:rsidR="00150EA1" w:rsidRPr="00BC3A61" w:rsidRDefault="00150EA1" w:rsidP="00150EA1">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BANAMEX YUCATAN SEGURO</w:t>
            </w:r>
          </w:p>
        </w:tc>
        <w:tc>
          <w:tcPr>
            <w:tcW w:w="1920" w:type="dxa"/>
            <w:tcBorders>
              <w:top w:val="nil"/>
              <w:left w:val="nil"/>
              <w:bottom w:val="nil"/>
              <w:right w:val="nil"/>
            </w:tcBorders>
            <w:shd w:val="clear" w:color="auto" w:fill="auto"/>
            <w:noWrap/>
            <w:vAlign w:val="bottom"/>
            <w:hideMark/>
          </w:tcPr>
          <w:p w:rsidR="00150EA1" w:rsidRPr="00BC3A61" w:rsidRDefault="00150EA1" w:rsidP="00150EA1">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2,377,957,011.11</w:t>
            </w:r>
          </w:p>
        </w:tc>
      </w:tr>
      <w:tr w:rsidR="00150EA1" w:rsidRPr="00BC3A61" w:rsidTr="00150EA1">
        <w:trPr>
          <w:trHeight w:val="300"/>
        </w:trPr>
        <w:tc>
          <w:tcPr>
            <w:tcW w:w="6840" w:type="dxa"/>
            <w:tcBorders>
              <w:top w:val="nil"/>
              <w:left w:val="nil"/>
              <w:bottom w:val="nil"/>
              <w:right w:val="nil"/>
            </w:tcBorders>
            <w:shd w:val="clear" w:color="auto" w:fill="auto"/>
            <w:noWrap/>
            <w:vAlign w:val="bottom"/>
            <w:hideMark/>
          </w:tcPr>
          <w:p w:rsidR="00150EA1" w:rsidRPr="00BC3A61" w:rsidRDefault="00150EA1" w:rsidP="00150EA1">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BANOBRAS PROFISE</w:t>
            </w:r>
          </w:p>
        </w:tc>
        <w:tc>
          <w:tcPr>
            <w:tcW w:w="1920" w:type="dxa"/>
            <w:tcBorders>
              <w:top w:val="nil"/>
              <w:left w:val="nil"/>
              <w:bottom w:val="nil"/>
              <w:right w:val="nil"/>
            </w:tcBorders>
            <w:shd w:val="clear" w:color="auto" w:fill="auto"/>
            <w:noWrap/>
            <w:vAlign w:val="bottom"/>
            <w:hideMark/>
          </w:tcPr>
          <w:p w:rsidR="00150EA1" w:rsidRPr="00BC3A61" w:rsidRDefault="00150EA1" w:rsidP="00150EA1">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306,931,762.00</w:t>
            </w:r>
          </w:p>
        </w:tc>
      </w:tr>
      <w:tr w:rsidR="00150EA1" w:rsidRPr="00BC3A61" w:rsidTr="00150EA1">
        <w:trPr>
          <w:trHeight w:val="300"/>
        </w:trPr>
        <w:tc>
          <w:tcPr>
            <w:tcW w:w="6840" w:type="dxa"/>
            <w:tcBorders>
              <w:top w:val="nil"/>
              <w:left w:val="nil"/>
              <w:bottom w:val="nil"/>
              <w:right w:val="nil"/>
            </w:tcBorders>
            <w:shd w:val="clear" w:color="auto" w:fill="auto"/>
            <w:noWrap/>
            <w:vAlign w:val="bottom"/>
            <w:hideMark/>
          </w:tcPr>
          <w:p w:rsidR="00150EA1" w:rsidRPr="00BC3A61" w:rsidRDefault="00150EA1" w:rsidP="00150EA1">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BANOBRAS REFINANCIAMIENTO 2020/C1</w:t>
            </w:r>
          </w:p>
        </w:tc>
        <w:tc>
          <w:tcPr>
            <w:tcW w:w="1920" w:type="dxa"/>
            <w:tcBorders>
              <w:top w:val="nil"/>
              <w:left w:val="nil"/>
              <w:bottom w:val="nil"/>
              <w:right w:val="nil"/>
            </w:tcBorders>
            <w:shd w:val="clear" w:color="auto" w:fill="auto"/>
            <w:noWrap/>
            <w:vAlign w:val="bottom"/>
            <w:hideMark/>
          </w:tcPr>
          <w:p w:rsidR="00150EA1" w:rsidRPr="00BC3A61" w:rsidRDefault="00150EA1" w:rsidP="00150EA1">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734,758,069.60</w:t>
            </w:r>
          </w:p>
        </w:tc>
      </w:tr>
      <w:tr w:rsidR="00150EA1" w:rsidRPr="00BC3A61" w:rsidTr="00150EA1">
        <w:trPr>
          <w:trHeight w:val="300"/>
        </w:trPr>
        <w:tc>
          <w:tcPr>
            <w:tcW w:w="6840" w:type="dxa"/>
            <w:tcBorders>
              <w:top w:val="nil"/>
              <w:left w:val="nil"/>
              <w:bottom w:val="nil"/>
              <w:right w:val="nil"/>
            </w:tcBorders>
            <w:shd w:val="clear" w:color="auto" w:fill="auto"/>
            <w:noWrap/>
            <w:vAlign w:val="bottom"/>
            <w:hideMark/>
          </w:tcPr>
          <w:p w:rsidR="00150EA1" w:rsidRPr="00BC3A61" w:rsidRDefault="00150EA1" w:rsidP="00150EA1">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lastRenderedPageBreak/>
              <w:t>BANOBRAS REFINANCIAMIENTO 2020/C2</w:t>
            </w:r>
          </w:p>
        </w:tc>
        <w:tc>
          <w:tcPr>
            <w:tcW w:w="1920" w:type="dxa"/>
            <w:tcBorders>
              <w:top w:val="nil"/>
              <w:left w:val="nil"/>
              <w:bottom w:val="nil"/>
              <w:right w:val="nil"/>
            </w:tcBorders>
            <w:shd w:val="clear" w:color="auto" w:fill="auto"/>
            <w:noWrap/>
            <w:vAlign w:val="bottom"/>
            <w:hideMark/>
          </w:tcPr>
          <w:p w:rsidR="00150EA1" w:rsidRPr="00BC3A61" w:rsidRDefault="00150EA1" w:rsidP="00150EA1">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1,102,510,818.83</w:t>
            </w:r>
          </w:p>
        </w:tc>
      </w:tr>
      <w:tr w:rsidR="00150EA1" w:rsidRPr="00BC3A61" w:rsidTr="00150EA1">
        <w:trPr>
          <w:trHeight w:val="300"/>
        </w:trPr>
        <w:tc>
          <w:tcPr>
            <w:tcW w:w="6840" w:type="dxa"/>
            <w:tcBorders>
              <w:top w:val="nil"/>
              <w:left w:val="nil"/>
              <w:bottom w:val="nil"/>
              <w:right w:val="nil"/>
            </w:tcBorders>
            <w:shd w:val="clear" w:color="auto" w:fill="auto"/>
            <w:noWrap/>
            <w:vAlign w:val="bottom"/>
            <w:hideMark/>
          </w:tcPr>
          <w:p w:rsidR="00150EA1" w:rsidRPr="00BC3A61" w:rsidRDefault="00150EA1" w:rsidP="00150EA1">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BANOBRAS REFINANCIAMIENTO 2020/C3</w:t>
            </w:r>
          </w:p>
        </w:tc>
        <w:tc>
          <w:tcPr>
            <w:tcW w:w="1920" w:type="dxa"/>
            <w:tcBorders>
              <w:top w:val="nil"/>
              <w:left w:val="nil"/>
              <w:bottom w:val="nil"/>
              <w:right w:val="nil"/>
            </w:tcBorders>
            <w:shd w:val="clear" w:color="auto" w:fill="auto"/>
            <w:noWrap/>
            <w:vAlign w:val="bottom"/>
            <w:hideMark/>
          </w:tcPr>
          <w:p w:rsidR="00150EA1" w:rsidRPr="00BC3A61" w:rsidRDefault="00150EA1" w:rsidP="00150EA1">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1,268,078,680.71</w:t>
            </w:r>
          </w:p>
        </w:tc>
      </w:tr>
      <w:tr w:rsidR="00150EA1" w:rsidRPr="00BC3A61" w:rsidTr="00150EA1">
        <w:trPr>
          <w:trHeight w:val="300"/>
        </w:trPr>
        <w:tc>
          <w:tcPr>
            <w:tcW w:w="6840" w:type="dxa"/>
            <w:tcBorders>
              <w:top w:val="nil"/>
              <w:left w:val="nil"/>
              <w:bottom w:val="nil"/>
              <w:right w:val="nil"/>
            </w:tcBorders>
            <w:shd w:val="clear" w:color="auto" w:fill="auto"/>
            <w:noWrap/>
            <w:vAlign w:val="bottom"/>
            <w:hideMark/>
          </w:tcPr>
          <w:p w:rsidR="00150EA1" w:rsidRPr="00BC3A61" w:rsidRDefault="00150EA1" w:rsidP="00150EA1">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FINANCIAMIENTO BBVA IE TRAM Y OBRAS COMPLEMENTARIAS</w:t>
            </w:r>
          </w:p>
        </w:tc>
        <w:tc>
          <w:tcPr>
            <w:tcW w:w="1920" w:type="dxa"/>
            <w:tcBorders>
              <w:top w:val="nil"/>
              <w:left w:val="nil"/>
              <w:bottom w:val="nil"/>
              <w:right w:val="nil"/>
            </w:tcBorders>
            <w:shd w:val="clear" w:color="auto" w:fill="auto"/>
            <w:noWrap/>
            <w:vAlign w:val="bottom"/>
            <w:hideMark/>
          </w:tcPr>
          <w:p w:rsidR="00150EA1" w:rsidRPr="00BC3A61" w:rsidRDefault="00150EA1" w:rsidP="00150EA1">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1,665,066,364.16</w:t>
            </w:r>
          </w:p>
        </w:tc>
      </w:tr>
      <w:tr w:rsidR="00150EA1" w:rsidRPr="00BC3A61" w:rsidTr="00150EA1">
        <w:trPr>
          <w:trHeight w:val="615"/>
        </w:trPr>
        <w:tc>
          <w:tcPr>
            <w:tcW w:w="6840" w:type="dxa"/>
            <w:tcBorders>
              <w:top w:val="nil"/>
              <w:left w:val="nil"/>
              <w:bottom w:val="nil"/>
              <w:right w:val="nil"/>
            </w:tcBorders>
            <w:shd w:val="clear" w:color="auto" w:fill="auto"/>
            <w:vAlign w:val="bottom"/>
            <w:hideMark/>
          </w:tcPr>
          <w:p w:rsidR="00150EA1" w:rsidRPr="00BC3A61" w:rsidRDefault="00150EA1" w:rsidP="00150EA1">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FINANCIAMIENTO BBVA AMPLIACION PUERTO DE ALTURA DE PROGRESO</w:t>
            </w:r>
          </w:p>
        </w:tc>
        <w:tc>
          <w:tcPr>
            <w:tcW w:w="1920" w:type="dxa"/>
            <w:tcBorders>
              <w:top w:val="nil"/>
              <w:left w:val="nil"/>
              <w:bottom w:val="nil"/>
              <w:right w:val="nil"/>
            </w:tcBorders>
            <w:shd w:val="clear" w:color="auto" w:fill="auto"/>
            <w:noWrap/>
            <w:vAlign w:val="bottom"/>
            <w:hideMark/>
          </w:tcPr>
          <w:p w:rsidR="00150EA1" w:rsidRPr="00BC3A61" w:rsidRDefault="00150EA1" w:rsidP="00150EA1">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1,726,435,487.17</w:t>
            </w:r>
          </w:p>
        </w:tc>
      </w:tr>
      <w:tr w:rsidR="00150EA1" w:rsidRPr="00BC3A61" w:rsidTr="00150EA1">
        <w:trPr>
          <w:trHeight w:val="330"/>
        </w:trPr>
        <w:tc>
          <w:tcPr>
            <w:tcW w:w="6840" w:type="dxa"/>
            <w:tcBorders>
              <w:top w:val="nil"/>
              <w:left w:val="nil"/>
              <w:bottom w:val="nil"/>
              <w:right w:val="nil"/>
            </w:tcBorders>
            <w:shd w:val="clear" w:color="auto" w:fill="auto"/>
            <w:vAlign w:val="center"/>
            <w:hideMark/>
          </w:tcPr>
          <w:p w:rsidR="00150EA1" w:rsidRPr="00BC3A61" w:rsidRDefault="00150EA1" w:rsidP="00150EA1">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TOTAL</w:t>
            </w:r>
          </w:p>
        </w:tc>
        <w:tc>
          <w:tcPr>
            <w:tcW w:w="1920" w:type="dxa"/>
            <w:tcBorders>
              <w:top w:val="single" w:sz="12" w:space="0" w:color="000000"/>
              <w:left w:val="nil"/>
              <w:bottom w:val="single" w:sz="12" w:space="0" w:color="000000"/>
              <w:right w:val="nil"/>
            </w:tcBorders>
            <w:shd w:val="clear" w:color="auto" w:fill="auto"/>
            <w:vAlign w:val="center"/>
            <w:hideMark/>
          </w:tcPr>
          <w:p w:rsidR="00150EA1" w:rsidRPr="00BC3A61" w:rsidRDefault="00150EA1" w:rsidP="00150EA1">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9,181,738,193.58</w:t>
            </w:r>
          </w:p>
        </w:tc>
      </w:tr>
    </w:tbl>
    <w:p w:rsidR="00C7149A" w:rsidRPr="00BC3A61" w:rsidRDefault="00C7149A">
      <w:pPr>
        <w:rPr>
          <w:rFonts w:ascii="Lato" w:eastAsia="Times New Roman" w:hAnsi="Lato"/>
          <w:sz w:val="20"/>
          <w:szCs w:val="20"/>
        </w:rPr>
      </w:pPr>
    </w:p>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t>El Pasivo Circulante, representa aquellas obligaciones en las que la exigibilidad de pago es menor a un año y lo constituyen las fuentes principales de financiamiento, se incluyen principalmente las cuentas por pagar de operaciones contabilizadas al 30 de septiembre de 2026.</w:t>
      </w:r>
    </w:p>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t>Asimismo, dentro de este rubro se realizó la provisión de las operaciones de pasivo circulante que las Unidades Responsables del Gasto integran al Sistema como parte del gasto al cierre del mes de septiembre.</w:t>
      </w:r>
    </w:p>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t xml:space="preserve">En cuanto al rubro de Pasivo no Circulante, este se constituye por las obligaciones del Poder Ejecutivo, cuyo vencimiento será posterior a doce meses, tal es el caso de la cuenta denominada “Deuda Pública a Largo Plazo”. </w:t>
      </w:r>
    </w:p>
    <w:p w:rsidR="00E873CD" w:rsidRDefault="00196B7D">
      <w:pPr>
        <w:jc w:val="both"/>
        <w:divId w:val="1922986418"/>
        <w:rPr>
          <w:rFonts w:ascii="Lato" w:eastAsia="Times New Roman" w:hAnsi="Lato"/>
          <w:sz w:val="20"/>
          <w:szCs w:val="20"/>
        </w:rPr>
      </w:pPr>
      <w:r w:rsidRPr="00BC3A61">
        <w:rPr>
          <w:rFonts w:ascii="Lato" w:eastAsia="Times New Roman" w:hAnsi="Lato"/>
          <w:sz w:val="20"/>
          <w:szCs w:val="20"/>
        </w:rPr>
        <w:t>2.- En la cuenta de fondos y bienes de terceros en garantía y/o administración a corto plazo, se integra por las cauciones de terceros depositados por las que se emiten recibos oficiales, estas son recuperadas por los terceros en el momento en que la acción jurídica iniciada e</w:t>
      </w:r>
      <w:r w:rsidR="000836EA" w:rsidRPr="00BC3A61">
        <w:rPr>
          <w:rFonts w:ascii="Lato" w:eastAsia="Times New Roman" w:hAnsi="Lato"/>
          <w:sz w:val="20"/>
          <w:szCs w:val="20"/>
        </w:rPr>
        <w:t>n su contra haya sido resuelta a</w:t>
      </w:r>
      <w:r w:rsidRPr="00BC3A61">
        <w:rPr>
          <w:rFonts w:ascii="Lato" w:eastAsia="Times New Roman" w:hAnsi="Lato"/>
          <w:sz w:val="20"/>
          <w:szCs w:val="20"/>
        </w:rPr>
        <w:t xml:space="preserve"> su favor y mediante solicitud por parte del beneficiario, generándose la cuenta por pagar respectiva.</w:t>
      </w:r>
    </w:p>
    <w:p w:rsidR="00E93349" w:rsidRPr="00BC3A61" w:rsidRDefault="00E93349">
      <w:pPr>
        <w:jc w:val="both"/>
        <w:divId w:val="1922986418"/>
        <w:rPr>
          <w:rFonts w:ascii="Lato" w:eastAsia="Times New Roman" w:hAnsi="Lato"/>
          <w:sz w:val="20"/>
          <w:szCs w:val="20"/>
        </w:rPr>
      </w:pPr>
    </w:p>
    <w:tbl>
      <w:tblPr>
        <w:tblW w:w="3000" w:type="pct"/>
        <w:tblCellSpacing w:w="15" w:type="dxa"/>
        <w:tblCellMar>
          <w:top w:w="15" w:type="dxa"/>
          <w:left w:w="15" w:type="dxa"/>
          <w:bottom w:w="15" w:type="dxa"/>
          <w:right w:w="15" w:type="dxa"/>
        </w:tblCellMar>
        <w:tblLook w:val="04A0" w:firstRow="1" w:lastRow="0" w:firstColumn="1" w:lastColumn="0" w:noHBand="0" w:noVBand="1"/>
      </w:tblPr>
      <w:tblGrid>
        <w:gridCol w:w="6369"/>
        <w:gridCol w:w="30"/>
        <w:gridCol w:w="1377"/>
      </w:tblGrid>
      <w:tr w:rsidR="00E873CD" w:rsidRPr="00BC3A61">
        <w:trPr>
          <w:divId w:val="1922986418"/>
          <w:tblCellSpacing w:w="15" w:type="dxa"/>
        </w:trPr>
        <w:tc>
          <w:tcPr>
            <w:tcW w:w="0" w:type="auto"/>
            <w:gridSpan w:val="2"/>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FONDOS EN GARANTÍA A CORTO PLAZO</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gridSpan w:val="2"/>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PODER JUDICIAL DEL ESTADO</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209,272.38</w:t>
            </w:r>
          </w:p>
        </w:tc>
      </w:tr>
      <w:tr w:rsidR="00E873CD" w:rsidRPr="00BC3A61">
        <w:trPr>
          <w:divId w:val="1922986418"/>
          <w:tblCellSpacing w:w="15" w:type="dxa"/>
        </w:trPr>
        <w:tc>
          <w:tcPr>
            <w:tcW w:w="0" w:type="auto"/>
            <w:gridSpan w:val="2"/>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MINISTERIO PUBLICO</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51,880,956.66</w:t>
            </w:r>
          </w:p>
        </w:tc>
      </w:tr>
      <w:tr w:rsidR="00E873CD" w:rsidRPr="00BC3A61">
        <w:trPr>
          <w:divId w:val="1922986418"/>
          <w:tblCellSpacing w:w="15" w:type="dxa"/>
        </w:trPr>
        <w:tc>
          <w:tcPr>
            <w:tcW w:w="0" w:type="auto"/>
            <w:gridSpan w:val="2"/>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DEP. JUDICIALES REGIMEN ANTERIOR</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9,990,743.12</w:t>
            </w:r>
          </w:p>
        </w:tc>
      </w:tr>
      <w:tr w:rsidR="00E873CD" w:rsidRPr="00BC3A61">
        <w:trPr>
          <w:divId w:val="1922986418"/>
          <w:tblCellSpacing w:w="15" w:type="dxa"/>
        </w:trPr>
        <w:tc>
          <w:tcPr>
            <w:tcW w:w="0" w:type="auto"/>
            <w:gridSpan w:val="2"/>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CONSEJO TUTELAR MENORES INFRACTORES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122,320.71</w:t>
            </w:r>
          </w:p>
        </w:tc>
      </w:tr>
      <w:tr w:rsidR="00E873CD" w:rsidRPr="00BC3A61">
        <w:trPr>
          <w:divId w:val="1922986418"/>
          <w:tblCellSpacing w:w="15" w:type="dxa"/>
        </w:trPr>
        <w:tc>
          <w:tcPr>
            <w:tcW w:w="0" w:type="auto"/>
            <w:gridSpan w:val="2"/>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AGENCIA DE ADMINISTRACIÓN FISCAL DE YUCATÁN</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19,000.10</w:t>
            </w:r>
          </w:p>
        </w:tc>
      </w:tr>
      <w:tr w:rsidR="00E873CD" w:rsidRPr="00BC3A61">
        <w:trPr>
          <w:divId w:val="1922986418"/>
          <w:tblCellSpacing w:w="15" w:type="dxa"/>
        </w:trPr>
        <w:tc>
          <w:tcPr>
            <w:tcW w:w="0" w:type="auto"/>
            <w:gridSpan w:val="2"/>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lastRenderedPageBreak/>
              <w:t>VICEFISCALIA ESPECIALIZADA EN COMBATE A LA CORRUPCION DE LA FGE</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2,550.00</w:t>
            </w:r>
          </w:p>
        </w:tc>
      </w:tr>
      <w:tr w:rsidR="00E873CD" w:rsidRPr="00BC3A61">
        <w:trPr>
          <w:divId w:val="1922986418"/>
          <w:tblCellSpacing w:w="15" w:type="dxa"/>
        </w:trPr>
        <w:tc>
          <w:tcPr>
            <w:tcW w:w="0" w:type="auto"/>
            <w:gridSpan w:val="2"/>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62,224,842.97</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OTROS PASIVOS A CORTO PLAZO</w:t>
            </w:r>
          </w:p>
        </w:tc>
        <w:tc>
          <w:tcPr>
            <w:tcW w:w="0" w:type="auto"/>
            <w:gridSpan w:val="2"/>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INGRESOS POR CLASIFICAR</w:t>
            </w:r>
          </w:p>
        </w:tc>
        <w:tc>
          <w:tcPr>
            <w:tcW w:w="0" w:type="auto"/>
            <w:gridSpan w:val="2"/>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8,993,239.02</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RECAUDACIÓN POR PARTICIPAR</w:t>
            </w:r>
          </w:p>
        </w:tc>
        <w:tc>
          <w:tcPr>
            <w:tcW w:w="0" w:type="auto"/>
            <w:gridSpan w:val="2"/>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10.00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0" w:type="auto"/>
            <w:gridSpan w:val="2"/>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8,993,249.02</w:t>
            </w:r>
          </w:p>
        </w:tc>
      </w:tr>
    </w:tbl>
    <w:p w:rsidR="00E873CD" w:rsidRPr="00BC3A61" w:rsidRDefault="00E873CD">
      <w:pPr>
        <w:rPr>
          <w:rFonts w:ascii="Lato" w:eastAsia="Times New Roman" w:hAnsi="Lato"/>
          <w:sz w:val="20"/>
          <w:szCs w:val="20"/>
        </w:rPr>
      </w:pPr>
    </w:p>
    <w:p w:rsidR="00E873CD" w:rsidRPr="00BC3A61" w:rsidRDefault="00196B7D">
      <w:pPr>
        <w:rPr>
          <w:rFonts w:ascii="Lato" w:eastAsia="Times New Roman" w:hAnsi="Lato"/>
          <w:sz w:val="20"/>
          <w:szCs w:val="20"/>
        </w:rPr>
      </w:pPr>
      <w:r w:rsidRPr="00BC3A61">
        <w:rPr>
          <w:rFonts w:ascii="Lato" w:eastAsia="Times New Roman" w:hAnsi="Lato"/>
          <w:sz w:val="20"/>
          <w:szCs w:val="20"/>
        </w:rPr>
        <w:t>3.- El Poder Ejecutivo no tiene registro de pasivos diferidos de corto o largo plazo.</w:t>
      </w:r>
    </w:p>
    <w:p w:rsidR="00E873CD" w:rsidRPr="00BC3A61" w:rsidRDefault="00E873CD">
      <w:pPr>
        <w:rPr>
          <w:rFonts w:ascii="Lato" w:eastAsia="Times New Roman" w:hAnsi="Lato"/>
          <w:sz w:val="20"/>
          <w:szCs w:val="20"/>
        </w:rPr>
      </w:pPr>
    </w:p>
    <w:p w:rsidR="00E873CD" w:rsidRPr="00BC3A61" w:rsidRDefault="00196B7D">
      <w:pPr>
        <w:rPr>
          <w:rFonts w:ascii="Lato" w:eastAsia="Times New Roman" w:hAnsi="Lato"/>
          <w:sz w:val="20"/>
          <w:szCs w:val="20"/>
        </w:rPr>
      </w:pPr>
      <w:r w:rsidRPr="00BC3A61">
        <w:rPr>
          <w:rStyle w:val="Textoennegrita"/>
          <w:rFonts w:ascii="Lato" w:eastAsia="Times New Roman" w:hAnsi="Lato"/>
          <w:sz w:val="20"/>
          <w:szCs w:val="20"/>
        </w:rPr>
        <w:t>III) NOTAS AL ESTADO DE VARIACIONES EN LA HACIENDA PÚBLICA.</w:t>
      </w:r>
    </w:p>
    <w:p w:rsidR="00E873CD" w:rsidRPr="00BC3A61" w:rsidRDefault="00196B7D">
      <w:pPr>
        <w:rPr>
          <w:rFonts w:ascii="Lato" w:eastAsia="Times New Roman" w:hAnsi="Lato"/>
          <w:sz w:val="20"/>
          <w:szCs w:val="20"/>
        </w:rPr>
      </w:pPr>
      <w:r w:rsidRPr="00BC3A61">
        <w:rPr>
          <w:rFonts w:ascii="Lato" w:eastAsia="Times New Roman" w:hAnsi="Lato"/>
          <w:sz w:val="20"/>
          <w:szCs w:val="20"/>
        </w:rPr>
        <w:t>1.- En la cuenta de patrimonio contribuido presenta las siguientes variaciones: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097"/>
        <w:gridCol w:w="2051"/>
        <w:gridCol w:w="1746"/>
        <w:gridCol w:w="2066"/>
      </w:tblGrid>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HACIENDA PUBLICA/PATRIMONIO CONTRIBUIDO</w:t>
            </w:r>
          </w:p>
        </w:tc>
        <w:tc>
          <w:tcPr>
            <w:tcW w:w="0" w:type="auto"/>
            <w:vAlign w:val="center"/>
            <w:hideMark/>
          </w:tcPr>
          <w:p w:rsidR="00E873CD" w:rsidRPr="00BC3A61" w:rsidRDefault="00196B7D">
            <w:pPr>
              <w:jc w:val="center"/>
              <w:rPr>
                <w:rFonts w:ascii="Lato" w:eastAsia="Times New Roman" w:hAnsi="Lato"/>
                <w:sz w:val="20"/>
                <w:szCs w:val="20"/>
              </w:rPr>
            </w:pPr>
            <w:r w:rsidRPr="00BC3A61">
              <w:rPr>
                <w:rStyle w:val="Textoennegrita"/>
                <w:rFonts w:ascii="Lato" w:eastAsia="Times New Roman" w:hAnsi="Lato"/>
                <w:color w:val="000000"/>
                <w:sz w:val="20"/>
                <w:szCs w:val="20"/>
              </w:rPr>
              <w:t>SALDO INICIAL</w:t>
            </w:r>
          </w:p>
        </w:tc>
        <w:tc>
          <w:tcPr>
            <w:tcW w:w="0" w:type="auto"/>
            <w:vAlign w:val="center"/>
            <w:hideMark/>
          </w:tcPr>
          <w:p w:rsidR="00E873CD" w:rsidRPr="00BC3A61" w:rsidRDefault="00196B7D">
            <w:pPr>
              <w:jc w:val="center"/>
              <w:rPr>
                <w:rFonts w:ascii="Lato" w:eastAsia="Times New Roman" w:hAnsi="Lato"/>
                <w:sz w:val="20"/>
                <w:szCs w:val="20"/>
              </w:rPr>
            </w:pPr>
            <w:r w:rsidRPr="00BC3A61">
              <w:rPr>
                <w:rStyle w:val="Textoennegrita"/>
                <w:rFonts w:ascii="Lato" w:eastAsia="Times New Roman" w:hAnsi="Lato"/>
                <w:color w:val="000000"/>
                <w:sz w:val="20"/>
                <w:szCs w:val="20"/>
              </w:rPr>
              <w:t>VARIACIONES</w:t>
            </w:r>
          </w:p>
        </w:tc>
        <w:tc>
          <w:tcPr>
            <w:tcW w:w="0" w:type="auto"/>
            <w:vAlign w:val="center"/>
            <w:hideMark/>
          </w:tcPr>
          <w:p w:rsidR="00E873CD" w:rsidRPr="00BC3A61" w:rsidRDefault="00196B7D">
            <w:pPr>
              <w:jc w:val="center"/>
              <w:rPr>
                <w:rFonts w:ascii="Lato" w:eastAsia="Times New Roman" w:hAnsi="Lato"/>
                <w:sz w:val="20"/>
                <w:szCs w:val="20"/>
              </w:rPr>
            </w:pPr>
            <w:r w:rsidRPr="00BC3A61">
              <w:rPr>
                <w:rStyle w:val="Textoennegrita"/>
                <w:rFonts w:ascii="Lato" w:eastAsia="Times New Roman" w:hAnsi="Lato"/>
                <w:color w:val="000000"/>
                <w:sz w:val="20"/>
                <w:szCs w:val="20"/>
              </w:rPr>
              <w:t>SALDO FINAL</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b/>
                <w:bCs/>
                <w:color w:val="000000"/>
                <w:sz w:val="20"/>
                <w:szCs w:val="20"/>
              </w:rPr>
            </w:pPr>
            <w:r w:rsidRPr="00BC3A61">
              <w:rPr>
                <w:rFonts w:ascii="Lato" w:eastAsia="Times New Roman" w:hAnsi="Lato"/>
                <w:b/>
                <w:bCs/>
                <w:color w:val="000000"/>
                <w:sz w:val="20"/>
                <w:szCs w:val="20"/>
              </w:rPr>
              <w:t>APORTACIONES</w:t>
            </w:r>
          </w:p>
        </w:tc>
        <w:tc>
          <w:tcPr>
            <w:tcW w:w="0" w:type="auto"/>
            <w:vAlign w:val="center"/>
            <w:hideMark/>
          </w:tcPr>
          <w:p w:rsidR="00E873CD" w:rsidRPr="00BC3A61" w:rsidRDefault="00E873CD">
            <w:pPr>
              <w:rPr>
                <w:rFonts w:ascii="Lato" w:eastAsia="Times New Roman" w:hAnsi="Lato"/>
                <w:b/>
                <w:bCs/>
                <w:color w:val="000000"/>
                <w:sz w:val="20"/>
                <w:szCs w:val="20"/>
              </w:rPr>
            </w:pPr>
          </w:p>
        </w:tc>
        <w:tc>
          <w:tcPr>
            <w:tcW w:w="0" w:type="auto"/>
            <w:vAlign w:val="center"/>
            <w:hideMark/>
          </w:tcPr>
          <w:p w:rsidR="00E873CD" w:rsidRPr="00BC3A61" w:rsidRDefault="00E873CD">
            <w:pPr>
              <w:rPr>
                <w:rFonts w:ascii="Lato" w:eastAsia="Times New Roman" w:hAnsi="Lato"/>
                <w:sz w:val="20"/>
                <w:szCs w:val="20"/>
              </w:rPr>
            </w:pP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PATRIMONIO NO RESTRINGIDO</w:t>
            </w:r>
          </w:p>
        </w:tc>
        <w:tc>
          <w:tcPr>
            <w:tcW w:w="0" w:type="auto"/>
            <w:vAlign w:val="center"/>
            <w:hideMark/>
          </w:tcPr>
          <w:p w:rsidR="00E873CD" w:rsidRPr="00BC3A61" w:rsidRDefault="00196B7D" w:rsidP="00C5427B">
            <w:pPr>
              <w:jc w:val="right"/>
              <w:rPr>
                <w:rFonts w:ascii="Lato" w:eastAsia="Times New Roman" w:hAnsi="Lato"/>
                <w:sz w:val="20"/>
                <w:szCs w:val="20"/>
              </w:rPr>
            </w:pPr>
            <w:r w:rsidRPr="00BC3A61">
              <w:rPr>
                <w:rFonts w:ascii="Lato" w:eastAsia="Times New Roman" w:hAnsi="Lato"/>
                <w:color w:val="000000"/>
                <w:sz w:val="20"/>
                <w:szCs w:val="20"/>
              </w:rPr>
              <w:t>790,828,509.67</w:t>
            </w:r>
          </w:p>
        </w:tc>
        <w:tc>
          <w:tcPr>
            <w:tcW w:w="0" w:type="auto"/>
            <w:vAlign w:val="center"/>
            <w:hideMark/>
          </w:tcPr>
          <w:p w:rsidR="00E873CD" w:rsidRPr="00BC3A61" w:rsidRDefault="00196B7D" w:rsidP="00C5427B">
            <w:pPr>
              <w:jc w:val="right"/>
              <w:rPr>
                <w:rFonts w:ascii="Lato" w:eastAsia="Times New Roman" w:hAnsi="Lato"/>
                <w:sz w:val="20"/>
                <w:szCs w:val="20"/>
              </w:rPr>
            </w:pPr>
            <w:r w:rsidRPr="00BC3A61">
              <w:rPr>
                <w:rFonts w:ascii="Lato" w:eastAsia="Times New Roman" w:hAnsi="Lato"/>
                <w:color w:val="000000"/>
                <w:sz w:val="20"/>
                <w:szCs w:val="20"/>
              </w:rPr>
              <w:t>0.00</w:t>
            </w:r>
          </w:p>
        </w:tc>
        <w:tc>
          <w:tcPr>
            <w:tcW w:w="0" w:type="auto"/>
            <w:vAlign w:val="center"/>
            <w:hideMark/>
          </w:tcPr>
          <w:p w:rsidR="00E873CD" w:rsidRPr="00BC3A61" w:rsidRDefault="00196B7D" w:rsidP="00C5427B">
            <w:pPr>
              <w:jc w:val="right"/>
              <w:rPr>
                <w:rFonts w:ascii="Lato" w:eastAsia="Times New Roman" w:hAnsi="Lato"/>
                <w:sz w:val="20"/>
                <w:szCs w:val="20"/>
              </w:rPr>
            </w:pPr>
            <w:r w:rsidRPr="00BC3A61">
              <w:rPr>
                <w:rFonts w:ascii="Lato" w:eastAsia="Times New Roman" w:hAnsi="Lato"/>
                <w:color w:val="000000"/>
                <w:sz w:val="20"/>
                <w:szCs w:val="20"/>
              </w:rPr>
              <w:t>790,828,509.67</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b/>
                <w:bCs/>
                <w:color w:val="000000"/>
                <w:sz w:val="20"/>
                <w:szCs w:val="20"/>
              </w:rPr>
            </w:pPr>
            <w:r w:rsidRPr="00BC3A61">
              <w:rPr>
                <w:rFonts w:ascii="Lato" w:eastAsia="Times New Roman" w:hAnsi="Lato"/>
                <w:b/>
                <w:bCs/>
                <w:color w:val="000000"/>
                <w:sz w:val="20"/>
                <w:szCs w:val="20"/>
              </w:rPr>
              <w:t>DONACIONES DE CAPITAL</w:t>
            </w:r>
          </w:p>
        </w:tc>
        <w:tc>
          <w:tcPr>
            <w:tcW w:w="0" w:type="auto"/>
            <w:vAlign w:val="center"/>
            <w:hideMark/>
          </w:tcPr>
          <w:p w:rsidR="00E873CD" w:rsidRPr="00BC3A61" w:rsidRDefault="00E873CD" w:rsidP="00C5427B">
            <w:pPr>
              <w:jc w:val="right"/>
              <w:rPr>
                <w:rFonts w:ascii="Lato" w:eastAsia="Times New Roman" w:hAnsi="Lato"/>
                <w:b/>
                <w:bCs/>
                <w:color w:val="000000"/>
                <w:sz w:val="20"/>
                <w:szCs w:val="20"/>
              </w:rPr>
            </w:pPr>
          </w:p>
        </w:tc>
        <w:tc>
          <w:tcPr>
            <w:tcW w:w="0" w:type="auto"/>
            <w:vAlign w:val="center"/>
            <w:hideMark/>
          </w:tcPr>
          <w:p w:rsidR="00E873CD" w:rsidRPr="00BC3A61" w:rsidRDefault="00E873CD" w:rsidP="00C5427B">
            <w:pPr>
              <w:jc w:val="right"/>
              <w:rPr>
                <w:rFonts w:ascii="Lato" w:eastAsia="Times New Roman" w:hAnsi="Lato"/>
                <w:sz w:val="20"/>
                <w:szCs w:val="20"/>
              </w:rPr>
            </w:pPr>
          </w:p>
        </w:tc>
        <w:tc>
          <w:tcPr>
            <w:tcW w:w="0" w:type="auto"/>
            <w:vAlign w:val="center"/>
            <w:hideMark/>
          </w:tcPr>
          <w:p w:rsidR="00E873CD" w:rsidRPr="00BC3A61" w:rsidRDefault="00E873CD" w:rsidP="00C5427B">
            <w:pPr>
              <w:jc w:val="right"/>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PATRIMONIO DONADO</w:t>
            </w:r>
          </w:p>
        </w:tc>
        <w:tc>
          <w:tcPr>
            <w:tcW w:w="0" w:type="auto"/>
            <w:vAlign w:val="center"/>
            <w:hideMark/>
          </w:tcPr>
          <w:p w:rsidR="00E873CD" w:rsidRPr="00BC3A61" w:rsidRDefault="00196B7D" w:rsidP="00C5427B">
            <w:pPr>
              <w:jc w:val="right"/>
              <w:rPr>
                <w:rFonts w:ascii="Lato" w:eastAsia="Times New Roman" w:hAnsi="Lato"/>
                <w:sz w:val="20"/>
                <w:szCs w:val="20"/>
              </w:rPr>
            </w:pPr>
            <w:r w:rsidRPr="00BC3A61">
              <w:rPr>
                <w:rFonts w:ascii="Lato" w:eastAsia="Times New Roman" w:hAnsi="Lato"/>
                <w:color w:val="000000"/>
                <w:sz w:val="20"/>
                <w:szCs w:val="20"/>
              </w:rPr>
              <w:t>346,628,098.89</w:t>
            </w:r>
          </w:p>
        </w:tc>
        <w:tc>
          <w:tcPr>
            <w:tcW w:w="0" w:type="auto"/>
            <w:vAlign w:val="center"/>
            <w:hideMark/>
          </w:tcPr>
          <w:p w:rsidR="00E873CD" w:rsidRPr="00BC3A61" w:rsidRDefault="00196B7D" w:rsidP="00C5427B">
            <w:pPr>
              <w:jc w:val="right"/>
              <w:rPr>
                <w:rFonts w:ascii="Lato" w:eastAsia="Times New Roman" w:hAnsi="Lato"/>
                <w:sz w:val="20"/>
                <w:szCs w:val="20"/>
              </w:rPr>
            </w:pPr>
            <w:r w:rsidRPr="00BC3A61">
              <w:rPr>
                <w:rFonts w:ascii="Lato" w:eastAsia="Times New Roman" w:hAnsi="Lato"/>
                <w:color w:val="000000"/>
                <w:sz w:val="20"/>
                <w:szCs w:val="20"/>
              </w:rPr>
              <w:t>0.00</w:t>
            </w:r>
          </w:p>
        </w:tc>
        <w:tc>
          <w:tcPr>
            <w:tcW w:w="0" w:type="auto"/>
            <w:vAlign w:val="center"/>
            <w:hideMark/>
          </w:tcPr>
          <w:p w:rsidR="00E873CD" w:rsidRPr="00BC3A61" w:rsidRDefault="00196B7D" w:rsidP="00C5427B">
            <w:pPr>
              <w:jc w:val="right"/>
              <w:rPr>
                <w:rFonts w:ascii="Lato" w:eastAsia="Times New Roman" w:hAnsi="Lato"/>
                <w:sz w:val="20"/>
                <w:szCs w:val="20"/>
              </w:rPr>
            </w:pPr>
            <w:r w:rsidRPr="00BC3A61">
              <w:rPr>
                <w:rFonts w:ascii="Lato" w:eastAsia="Times New Roman" w:hAnsi="Lato"/>
                <w:color w:val="000000"/>
                <w:sz w:val="20"/>
                <w:szCs w:val="20"/>
              </w:rPr>
              <w:t>346,628,098.89</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b/>
                <w:bCs/>
                <w:color w:val="000000"/>
                <w:sz w:val="20"/>
                <w:szCs w:val="20"/>
              </w:rPr>
            </w:pPr>
            <w:r w:rsidRPr="00BC3A61">
              <w:rPr>
                <w:rFonts w:ascii="Lato" w:eastAsia="Times New Roman" w:hAnsi="Lato"/>
                <w:b/>
                <w:bCs/>
                <w:color w:val="000000"/>
                <w:sz w:val="20"/>
                <w:szCs w:val="20"/>
              </w:rPr>
              <w:t>ACTUALIZACIÓN DE LA HACIENDA PÚBLICA/PATRIMONIO</w:t>
            </w:r>
          </w:p>
        </w:tc>
        <w:tc>
          <w:tcPr>
            <w:tcW w:w="0" w:type="auto"/>
            <w:vAlign w:val="center"/>
            <w:hideMark/>
          </w:tcPr>
          <w:p w:rsidR="00E873CD" w:rsidRPr="00BC3A61" w:rsidRDefault="00196B7D" w:rsidP="00C5427B">
            <w:pPr>
              <w:jc w:val="right"/>
              <w:rPr>
                <w:rFonts w:ascii="Lato" w:eastAsia="Times New Roman" w:hAnsi="Lato"/>
                <w:sz w:val="20"/>
                <w:szCs w:val="20"/>
              </w:rPr>
            </w:pPr>
            <w:r w:rsidRPr="00BC3A61">
              <w:rPr>
                <w:rFonts w:ascii="Lato" w:eastAsia="Times New Roman" w:hAnsi="Lato"/>
                <w:color w:val="000000"/>
                <w:sz w:val="20"/>
                <w:szCs w:val="20"/>
              </w:rPr>
              <w:t>3,312,636,725.85</w:t>
            </w:r>
          </w:p>
        </w:tc>
        <w:tc>
          <w:tcPr>
            <w:tcW w:w="0" w:type="auto"/>
            <w:vAlign w:val="center"/>
            <w:hideMark/>
          </w:tcPr>
          <w:p w:rsidR="00E873CD" w:rsidRPr="00BC3A61" w:rsidRDefault="00196B7D" w:rsidP="00C5427B">
            <w:pPr>
              <w:jc w:val="right"/>
              <w:rPr>
                <w:rFonts w:ascii="Lato" w:eastAsia="Times New Roman" w:hAnsi="Lato"/>
                <w:sz w:val="20"/>
                <w:szCs w:val="20"/>
              </w:rPr>
            </w:pPr>
            <w:r w:rsidRPr="00BC3A61">
              <w:rPr>
                <w:rFonts w:ascii="Lato" w:eastAsia="Times New Roman" w:hAnsi="Lato"/>
                <w:color w:val="000000"/>
                <w:sz w:val="20"/>
                <w:szCs w:val="20"/>
              </w:rPr>
              <w:t>0.00</w:t>
            </w:r>
          </w:p>
        </w:tc>
        <w:tc>
          <w:tcPr>
            <w:tcW w:w="0" w:type="auto"/>
            <w:vAlign w:val="center"/>
            <w:hideMark/>
          </w:tcPr>
          <w:p w:rsidR="00E873CD" w:rsidRPr="00BC3A61" w:rsidRDefault="00196B7D" w:rsidP="00C5427B">
            <w:pPr>
              <w:jc w:val="right"/>
              <w:rPr>
                <w:rFonts w:ascii="Lato" w:eastAsia="Times New Roman" w:hAnsi="Lato"/>
                <w:sz w:val="20"/>
                <w:szCs w:val="20"/>
              </w:rPr>
            </w:pPr>
            <w:r w:rsidRPr="00BC3A61">
              <w:rPr>
                <w:rFonts w:ascii="Lato" w:eastAsia="Times New Roman" w:hAnsi="Lato"/>
                <w:color w:val="000000"/>
                <w:sz w:val="20"/>
                <w:szCs w:val="20"/>
              </w:rPr>
              <w:t>3,312,636,725.85</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0" w:type="auto"/>
            <w:tcBorders>
              <w:top w:val="single" w:sz="12" w:space="0" w:color="000000"/>
              <w:bottom w:val="single" w:sz="12" w:space="0" w:color="000000"/>
            </w:tcBorders>
            <w:vAlign w:val="center"/>
            <w:hideMark/>
          </w:tcPr>
          <w:p w:rsidR="00E873CD" w:rsidRPr="00BC3A61" w:rsidRDefault="00196B7D" w:rsidP="00C5427B">
            <w:pPr>
              <w:jc w:val="right"/>
              <w:rPr>
                <w:rFonts w:ascii="Lato" w:eastAsia="Times New Roman" w:hAnsi="Lato"/>
                <w:sz w:val="20"/>
                <w:szCs w:val="20"/>
              </w:rPr>
            </w:pPr>
            <w:r w:rsidRPr="00BC3A61">
              <w:rPr>
                <w:rFonts w:ascii="Lato" w:eastAsia="Times New Roman" w:hAnsi="Lato"/>
                <w:b/>
                <w:bCs/>
                <w:color w:val="000000"/>
                <w:sz w:val="20"/>
                <w:szCs w:val="20"/>
              </w:rPr>
              <w:t>4,450,093,334.41</w:t>
            </w:r>
          </w:p>
        </w:tc>
        <w:tc>
          <w:tcPr>
            <w:tcW w:w="0" w:type="auto"/>
            <w:tcBorders>
              <w:top w:val="single" w:sz="12" w:space="0" w:color="000000"/>
              <w:bottom w:val="single" w:sz="12" w:space="0" w:color="000000"/>
            </w:tcBorders>
            <w:vAlign w:val="center"/>
            <w:hideMark/>
          </w:tcPr>
          <w:p w:rsidR="00E873CD" w:rsidRPr="00BC3A61" w:rsidRDefault="00196B7D" w:rsidP="00C5427B">
            <w:pPr>
              <w:jc w:val="right"/>
              <w:rPr>
                <w:rFonts w:ascii="Lato" w:eastAsia="Times New Roman" w:hAnsi="Lato"/>
                <w:sz w:val="20"/>
                <w:szCs w:val="20"/>
              </w:rPr>
            </w:pPr>
            <w:r w:rsidRPr="00BC3A61">
              <w:rPr>
                <w:rFonts w:ascii="Lato" w:eastAsia="Times New Roman" w:hAnsi="Lato"/>
                <w:b/>
                <w:bCs/>
                <w:color w:val="000000"/>
                <w:sz w:val="20"/>
                <w:szCs w:val="20"/>
              </w:rPr>
              <w:t>0.00</w:t>
            </w:r>
          </w:p>
        </w:tc>
        <w:tc>
          <w:tcPr>
            <w:tcW w:w="0" w:type="auto"/>
            <w:tcBorders>
              <w:top w:val="single" w:sz="12" w:space="0" w:color="000000"/>
              <w:bottom w:val="single" w:sz="12" w:space="0" w:color="000000"/>
            </w:tcBorders>
            <w:vAlign w:val="center"/>
            <w:hideMark/>
          </w:tcPr>
          <w:p w:rsidR="00E873CD" w:rsidRPr="00BC3A61" w:rsidRDefault="00196B7D" w:rsidP="00C5427B">
            <w:pPr>
              <w:jc w:val="right"/>
              <w:rPr>
                <w:rFonts w:ascii="Lato" w:eastAsia="Times New Roman" w:hAnsi="Lato"/>
                <w:sz w:val="20"/>
                <w:szCs w:val="20"/>
              </w:rPr>
            </w:pPr>
            <w:r w:rsidRPr="00BC3A61">
              <w:rPr>
                <w:rFonts w:ascii="Lato" w:eastAsia="Times New Roman" w:hAnsi="Lato"/>
                <w:b/>
                <w:bCs/>
                <w:color w:val="000000"/>
                <w:sz w:val="20"/>
                <w:szCs w:val="20"/>
              </w:rPr>
              <w:t>4,450,093,334.41</w:t>
            </w:r>
          </w:p>
        </w:tc>
      </w:tr>
    </w:tbl>
    <w:p w:rsidR="00E873CD" w:rsidRPr="00BC3A61" w:rsidRDefault="00E873CD">
      <w:pPr>
        <w:rPr>
          <w:rFonts w:ascii="Lato" w:eastAsia="Times New Roman" w:hAnsi="Lato"/>
          <w:sz w:val="20"/>
          <w:szCs w:val="20"/>
        </w:rPr>
      </w:pPr>
    </w:p>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lastRenderedPageBreak/>
        <w:t>2.- En la cuenta de patrimonio generado se acumula el resultado de ejercicios anteriores y se integran de la siguiente forma:</w:t>
      </w:r>
    </w:p>
    <w:tbl>
      <w:tblPr>
        <w:tblW w:w="12600" w:type="dxa"/>
        <w:tblCellMar>
          <w:left w:w="70" w:type="dxa"/>
          <w:right w:w="70" w:type="dxa"/>
        </w:tblCellMar>
        <w:tblLook w:val="04A0" w:firstRow="1" w:lastRow="0" w:firstColumn="1" w:lastColumn="0" w:noHBand="0" w:noVBand="1"/>
      </w:tblPr>
      <w:tblGrid>
        <w:gridCol w:w="6840"/>
        <w:gridCol w:w="1920"/>
        <w:gridCol w:w="1920"/>
        <w:gridCol w:w="1920"/>
      </w:tblGrid>
      <w:tr w:rsidR="00A92A7E" w:rsidRPr="00BC3A61" w:rsidTr="00A92A7E">
        <w:trPr>
          <w:divId w:val="1922986418"/>
          <w:trHeight w:val="300"/>
        </w:trPr>
        <w:tc>
          <w:tcPr>
            <w:tcW w:w="6840" w:type="dxa"/>
            <w:tcBorders>
              <w:top w:val="nil"/>
              <w:left w:val="nil"/>
              <w:bottom w:val="nil"/>
              <w:right w:val="nil"/>
            </w:tcBorders>
            <w:shd w:val="clear" w:color="auto" w:fill="auto"/>
            <w:noWrap/>
            <w:vAlign w:val="center"/>
            <w:hideMark/>
          </w:tcPr>
          <w:p w:rsidR="00A92A7E" w:rsidRPr="00BC3A61" w:rsidRDefault="00A92A7E" w:rsidP="00A92A7E">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HACIENDA PUBLICA/PATRIMONIO GENERADO</w:t>
            </w:r>
          </w:p>
        </w:tc>
        <w:tc>
          <w:tcPr>
            <w:tcW w:w="1920" w:type="dxa"/>
            <w:tcBorders>
              <w:top w:val="nil"/>
              <w:left w:val="nil"/>
              <w:bottom w:val="nil"/>
              <w:right w:val="nil"/>
            </w:tcBorders>
            <w:shd w:val="clear" w:color="auto" w:fill="auto"/>
            <w:vAlign w:val="center"/>
            <w:hideMark/>
          </w:tcPr>
          <w:p w:rsidR="00A92A7E" w:rsidRPr="00BC3A61" w:rsidRDefault="00A92A7E" w:rsidP="00A92A7E">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SALDO INICIAL</w:t>
            </w:r>
          </w:p>
        </w:tc>
        <w:tc>
          <w:tcPr>
            <w:tcW w:w="1920" w:type="dxa"/>
            <w:tcBorders>
              <w:top w:val="nil"/>
              <w:left w:val="nil"/>
              <w:bottom w:val="nil"/>
              <w:right w:val="nil"/>
            </w:tcBorders>
            <w:shd w:val="clear" w:color="auto" w:fill="auto"/>
            <w:vAlign w:val="center"/>
            <w:hideMark/>
          </w:tcPr>
          <w:p w:rsidR="00A92A7E" w:rsidRPr="00BC3A61" w:rsidRDefault="00A92A7E" w:rsidP="00A92A7E">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VARIACIONES</w:t>
            </w:r>
          </w:p>
        </w:tc>
        <w:tc>
          <w:tcPr>
            <w:tcW w:w="1920" w:type="dxa"/>
            <w:tcBorders>
              <w:top w:val="nil"/>
              <w:left w:val="nil"/>
              <w:bottom w:val="nil"/>
              <w:right w:val="nil"/>
            </w:tcBorders>
            <w:shd w:val="clear" w:color="auto" w:fill="auto"/>
            <w:vAlign w:val="center"/>
            <w:hideMark/>
          </w:tcPr>
          <w:p w:rsidR="00A92A7E" w:rsidRPr="00BC3A61" w:rsidRDefault="00A92A7E" w:rsidP="00A92A7E">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SALDO FINAL</w:t>
            </w:r>
          </w:p>
        </w:tc>
      </w:tr>
      <w:tr w:rsidR="00A92A7E" w:rsidRPr="00BC3A61" w:rsidTr="00A92A7E">
        <w:trPr>
          <w:divId w:val="1922986418"/>
          <w:trHeight w:val="300"/>
        </w:trPr>
        <w:tc>
          <w:tcPr>
            <w:tcW w:w="6840" w:type="dxa"/>
            <w:tcBorders>
              <w:top w:val="nil"/>
              <w:left w:val="nil"/>
              <w:bottom w:val="nil"/>
              <w:right w:val="nil"/>
            </w:tcBorders>
            <w:shd w:val="clear" w:color="auto" w:fill="auto"/>
            <w:vAlign w:val="center"/>
            <w:hideMark/>
          </w:tcPr>
          <w:p w:rsidR="00A92A7E" w:rsidRPr="00BC3A61" w:rsidRDefault="00A92A7E" w:rsidP="00A92A7E">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RESULTADOS DE EJERCICIOS ANTERIORES</w:t>
            </w:r>
          </w:p>
        </w:tc>
        <w:tc>
          <w:tcPr>
            <w:tcW w:w="1920" w:type="dxa"/>
            <w:tcBorders>
              <w:top w:val="nil"/>
              <w:left w:val="nil"/>
              <w:bottom w:val="nil"/>
              <w:right w:val="nil"/>
            </w:tcBorders>
            <w:shd w:val="clear" w:color="auto" w:fill="auto"/>
            <w:vAlign w:val="center"/>
            <w:hideMark/>
          </w:tcPr>
          <w:p w:rsidR="00A92A7E" w:rsidRPr="00BC3A61" w:rsidRDefault="00A92A7E" w:rsidP="00A92A7E">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-342,620,671.52</w:t>
            </w:r>
          </w:p>
        </w:tc>
        <w:tc>
          <w:tcPr>
            <w:tcW w:w="1920" w:type="dxa"/>
            <w:tcBorders>
              <w:top w:val="nil"/>
              <w:left w:val="nil"/>
              <w:bottom w:val="nil"/>
              <w:right w:val="nil"/>
            </w:tcBorders>
            <w:shd w:val="clear" w:color="auto" w:fill="auto"/>
            <w:vAlign w:val="center"/>
            <w:hideMark/>
          </w:tcPr>
          <w:p w:rsidR="00A92A7E" w:rsidRPr="00BC3A61" w:rsidRDefault="00A92A7E" w:rsidP="00A92A7E">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-1,310,776,024.28</w:t>
            </w:r>
          </w:p>
        </w:tc>
        <w:tc>
          <w:tcPr>
            <w:tcW w:w="1920" w:type="dxa"/>
            <w:tcBorders>
              <w:top w:val="nil"/>
              <w:left w:val="nil"/>
              <w:bottom w:val="nil"/>
              <w:right w:val="nil"/>
            </w:tcBorders>
            <w:shd w:val="clear" w:color="auto" w:fill="auto"/>
            <w:vAlign w:val="center"/>
            <w:hideMark/>
          </w:tcPr>
          <w:p w:rsidR="00A92A7E" w:rsidRPr="00BC3A61" w:rsidRDefault="00A92A7E" w:rsidP="00A92A7E">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-1,653,396,695.80</w:t>
            </w:r>
          </w:p>
        </w:tc>
      </w:tr>
      <w:tr w:rsidR="00A92A7E" w:rsidRPr="00BC3A61" w:rsidTr="00A92A7E">
        <w:trPr>
          <w:divId w:val="1922986418"/>
          <w:trHeight w:val="300"/>
        </w:trPr>
        <w:tc>
          <w:tcPr>
            <w:tcW w:w="6840" w:type="dxa"/>
            <w:tcBorders>
              <w:top w:val="nil"/>
              <w:left w:val="nil"/>
              <w:bottom w:val="nil"/>
              <w:right w:val="nil"/>
            </w:tcBorders>
            <w:shd w:val="clear" w:color="auto" w:fill="auto"/>
            <w:vAlign w:val="center"/>
            <w:hideMark/>
          </w:tcPr>
          <w:p w:rsidR="00A92A7E" w:rsidRPr="00BC3A61" w:rsidRDefault="00A92A7E" w:rsidP="00A92A7E">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REVALÚOS</w:t>
            </w:r>
          </w:p>
        </w:tc>
        <w:tc>
          <w:tcPr>
            <w:tcW w:w="1920" w:type="dxa"/>
            <w:tcBorders>
              <w:top w:val="nil"/>
              <w:left w:val="nil"/>
              <w:bottom w:val="nil"/>
              <w:right w:val="nil"/>
            </w:tcBorders>
            <w:shd w:val="clear" w:color="auto" w:fill="auto"/>
            <w:vAlign w:val="center"/>
            <w:hideMark/>
          </w:tcPr>
          <w:p w:rsidR="00A92A7E" w:rsidRPr="00BC3A61" w:rsidRDefault="00A92A7E" w:rsidP="00A92A7E">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2,895,758,532.75</w:t>
            </w:r>
          </w:p>
        </w:tc>
        <w:tc>
          <w:tcPr>
            <w:tcW w:w="1920" w:type="dxa"/>
            <w:tcBorders>
              <w:top w:val="nil"/>
              <w:left w:val="nil"/>
              <w:bottom w:val="nil"/>
              <w:right w:val="nil"/>
            </w:tcBorders>
            <w:shd w:val="clear" w:color="auto" w:fill="auto"/>
            <w:vAlign w:val="center"/>
            <w:hideMark/>
          </w:tcPr>
          <w:p w:rsidR="00A92A7E" w:rsidRPr="00BC3A61" w:rsidRDefault="00A92A7E" w:rsidP="00A92A7E">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w:t>
            </w:r>
          </w:p>
        </w:tc>
        <w:tc>
          <w:tcPr>
            <w:tcW w:w="1920" w:type="dxa"/>
            <w:tcBorders>
              <w:top w:val="nil"/>
              <w:left w:val="nil"/>
              <w:bottom w:val="nil"/>
              <w:right w:val="nil"/>
            </w:tcBorders>
            <w:shd w:val="clear" w:color="auto" w:fill="auto"/>
            <w:vAlign w:val="center"/>
            <w:hideMark/>
          </w:tcPr>
          <w:p w:rsidR="00A92A7E" w:rsidRPr="00BC3A61" w:rsidRDefault="00A92A7E" w:rsidP="00A92A7E">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2,895,758,532.75</w:t>
            </w:r>
          </w:p>
        </w:tc>
      </w:tr>
      <w:tr w:rsidR="00A92A7E" w:rsidRPr="00BC3A61" w:rsidTr="00A92A7E">
        <w:trPr>
          <w:divId w:val="1922986418"/>
          <w:trHeight w:val="315"/>
        </w:trPr>
        <w:tc>
          <w:tcPr>
            <w:tcW w:w="6840" w:type="dxa"/>
            <w:tcBorders>
              <w:top w:val="nil"/>
              <w:left w:val="nil"/>
              <w:bottom w:val="nil"/>
              <w:right w:val="nil"/>
            </w:tcBorders>
            <w:shd w:val="clear" w:color="auto" w:fill="auto"/>
            <w:vAlign w:val="center"/>
            <w:hideMark/>
          </w:tcPr>
          <w:p w:rsidR="00A92A7E" w:rsidRPr="00BC3A61" w:rsidRDefault="00A92A7E" w:rsidP="00A92A7E">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RECTIFICACIONES DE RESULTADOS DE EJERCICIOS ANTERIORES</w:t>
            </w:r>
          </w:p>
        </w:tc>
        <w:tc>
          <w:tcPr>
            <w:tcW w:w="1920" w:type="dxa"/>
            <w:tcBorders>
              <w:top w:val="nil"/>
              <w:left w:val="nil"/>
              <w:bottom w:val="nil"/>
              <w:right w:val="nil"/>
            </w:tcBorders>
            <w:shd w:val="clear" w:color="auto" w:fill="auto"/>
            <w:vAlign w:val="center"/>
            <w:hideMark/>
          </w:tcPr>
          <w:p w:rsidR="00A92A7E" w:rsidRPr="00BC3A61" w:rsidRDefault="00A92A7E" w:rsidP="00A92A7E">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-5,110,142,786.00</w:t>
            </w:r>
          </w:p>
        </w:tc>
        <w:tc>
          <w:tcPr>
            <w:tcW w:w="1920" w:type="dxa"/>
            <w:tcBorders>
              <w:top w:val="nil"/>
              <w:left w:val="nil"/>
              <w:bottom w:val="nil"/>
              <w:right w:val="nil"/>
            </w:tcBorders>
            <w:shd w:val="clear" w:color="auto" w:fill="auto"/>
            <w:vAlign w:val="center"/>
            <w:hideMark/>
          </w:tcPr>
          <w:p w:rsidR="00A92A7E" w:rsidRPr="00BC3A61" w:rsidRDefault="00A92A7E" w:rsidP="00A92A7E">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418,600,705.27</w:t>
            </w:r>
          </w:p>
        </w:tc>
        <w:tc>
          <w:tcPr>
            <w:tcW w:w="1920" w:type="dxa"/>
            <w:tcBorders>
              <w:top w:val="nil"/>
              <w:left w:val="nil"/>
              <w:bottom w:val="nil"/>
              <w:right w:val="nil"/>
            </w:tcBorders>
            <w:shd w:val="clear" w:color="auto" w:fill="auto"/>
            <w:vAlign w:val="center"/>
            <w:hideMark/>
          </w:tcPr>
          <w:p w:rsidR="00A92A7E" w:rsidRPr="00BC3A61" w:rsidRDefault="00A92A7E" w:rsidP="00A92A7E">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-4,691,542,080.73</w:t>
            </w:r>
          </w:p>
        </w:tc>
      </w:tr>
      <w:tr w:rsidR="00A92A7E" w:rsidRPr="00BC3A61" w:rsidTr="00A92A7E">
        <w:trPr>
          <w:divId w:val="1922986418"/>
          <w:trHeight w:val="330"/>
        </w:trPr>
        <w:tc>
          <w:tcPr>
            <w:tcW w:w="6840" w:type="dxa"/>
            <w:tcBorders>
              <w:top w:val="nil"/>
              <w:left w:val="nil"/>
              <w:bottom w:val="nil"/>
              <w:right w:val="nil"/>
            </w:tcBorders>
            <w:shd w:val="clear" w:color="auto" w:fill="auto"/>
            <w:vAlign w:val="center"/>
            <w:hideMark/>
          </w:tcPr>
          <w:p w:rsidR="00A92A7E" w:rsidRPr="00BC3A61" w:rsidRDefault="00A92A7E" w:rsidP="00A92A7E">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TOTAL</w:t>
            </w:r>
          </w:p>
        </w:tc>
        <w:tc>
          <w:tcPr>
            <w:tcW w:w="1920" w:type="dxa"/>
            <w:tcBorders>
              <w:top w:val="single" w:sz="12" w:space="0" w:color="000000"/>
              <w:left w:val="nil"/>
              <w:bottom w:val="single" w:sz="12" w:space="0" w:color="000000"/>
              <w:right w:val="nil"/>
            </w:tcBorders>
            <w:shd w:val="clear" w:color="auto" w:fill="auto"/>
            <w:vAlign w:val="center"/>
            <w:hideMark/>
          </w:tcPr>
          <w:p w:rsidR="00A92A7E" w:rsidRPr="00BC3A61" w:rsidRDefault="00A92A7E" w:rsidP="00A92A7E">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-2,557,004,924.77</w:t>
            </w:r>
          </w:p>
        </w:tc>
        <w:tc>
          <w:tcPr>
            <w:tcW w:w="1920" w:type="dxa"/>
            <w:tcBorders>
              <w:top w:val="single" w:sz="12" w:space="0" w:color="000000"/>
              <w:left w:val="nil"/>
              <w:bottom w:val="single" w:sz="12" w:space="0" w:color="000000"/>
              <w:right w:val="nil"/>
            </w:tcBorders>
            <w:shd w:val="clear" w:color="auto" w:fill="auto"/>
            <w:vAlign w:val="center"/>
            <w:hideMark/>
          </w:tcPr>
          <w:p w:rsidR="00A92A7E" w:rsidRPr="00BC3A61" w:rsidRDefault="00A92A7E" w:rsidP="00A92A7E">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-892,175,319.01</w:t>
            </w:r>
          </w:p>
        </w:tc>
        <w:tc>
          <w:tcPr>
            <w:tcW w:w="1920" w:type="dxa"/>
            <w:tcBorders>
              <w:top w:val="single" w:sz="12" w:space="0" w:color="000000"/>
              <w:left w:val="nil"/>
              <w:bottom w:val="single" w:sz="12" w:space="0" w:color="000000"/>
              <w:right w:val="nil"/>
            </w:tcBorders>
            <w:shd w:val="clear" w:color="auto" w:fill="auto"/>
            <w:vAlign w:val="center"/>
            <w:hideMark/>
          </w:tcPr>
          <w:p w:rsidR="00A92A7E" w:rsidRPr="00BC3A61" w:rsidRDefault="00A92A7E" w:rsidP="00A92A7E">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-3,449,180,243.78</w:t>
            </w:r>
          </w:p>
        </w:tc>
      </w:tr>
    </w:tbl>
    <w:p w:rsidR="00FA2684" w:rsidRPr="00BC3A61" w:rsidRDefault="00FA2684">
      <w:pPr>
        <w:jc w:val="both"/>
        <w:divId w:val="1922986418"/>
        <w:rPr>
          <w:rFonts w:ascii="Lato" w:eastAsia="Times New Roman" w:hAnsi="Lato"/>
          <w:sz w:val="20"/>
          <w:szCs w:val="20"/>
        </w:rPr>
      </w:pPr>
    </w:p>
    <w:p w:rsidR="00E873CD" w:rsidRPr="00BC3A61" w:rsidRDefault="00196B7D">
      <w:pPr>
        <w:rPr>
          <w:rFonts w:ascii="Lato" w:eastAsia="Times New Roman" w:hAnsi="Lato"/>
          <w:sz w:val="20"/>
          <w:szCs w:val="20"/>
        </w:rPr>
      </w:pPr>
      <w:r w:rsidRPr="00BC3A61">
        <w:rPr>
          <w:rFonts w:ascii="Lato" w:eastAsia="Times New Roman" w:hAnsi="Lato"/>
          <w:sz w:val="20"/>
          <w:szCs w:val="20"/>
        </w:rPr>
        <w:t>Dentro de la cuenta de Hacienda pública/patrimonio generado se acumulan los resultados de ejercicios anteriores y se integran de la siguiente forma:</w:t>
      </w:r>
    </w:p>
    <w:tbl>
      <w:tblPr>
        <w:tblW w:w="3000" w:type="pct"/>
        <w:tblCellSpacing w:w="15" w:type="dxa"/>
        <w:tblCellMar>
          <w:top w:w="15" w:type="dxa"/>
          <w:left w:w="15" w:type="dxa"/>
          <w:bottom w:w="15" w:type="dxa"/>
          <w:right w:w="15" w:type="dxa"/>
        </w:tblCellMar>
        <w:tblLook w:val="04A0" w:firstRow="1" w:lastRow="0" w:firstColumn="1" w:lastColumn="0" w:noHBand="0" w:noVBand="1"/>
      </w:tblPr>
      <w:tblGrid>
        <w:gridCol w:w="5671"/>
        <w:gridCol w:w="2105"/>
      </w:tblGrid>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RESULTADOS DE EJERCICIOS ANTERIORES</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RESULTADO DEL EJERCICIO 2000 Y ANTERIORES</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-231,164,966.76</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RESULTADO DEL EJERCICIO ADMON 2001-2007</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614,663,307.26</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RESULTADO DEL EJERCICIO ADMON. 2007-2012</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-1,808,717,174.47</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RESULTADO DEL EJERCICIO ADMON. 2012-2018</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3,283,904,066.24</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RESULTADO DEL EJERCICIO ADMON. 2018-2024</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-2,201,305,903.79</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RESULTADO DEL EJERCICIO ADMON. 2024-2030</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-1,310,776,024.28</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0" w:type="auto"/>
            <w:tcBorders>
              <w:top w:val="single" w:sz="12" w:space="0" w:color="000000"/>
              <w:bottom w:val="single" w:sz="12" w:space="0" w:color="000000"/>
            </w:tcBorders>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-1,653,396,695.80</w:t>
            </w:r>
          </w:p>
        </w:tc>
      </w:tr>
    </w:tbl>
    <w:p w:rsidR="00E873CD" w:rsidRPr="00BC3A61" w:rsidRDefault="00E873CD">
      <w:pPr>
        <w:rPr>
          <w:rFonts w:ascii="Lato" w:eastAsia="Times New Roman" w:hAnsi="Lato"/>
          <w:sz w:val="20"/>
          <w:szCs w:val="20"/>
        </w:rPr>
      </w:pPr>
    </w:p>
    <w:p w:rsidR="00E93349" w:rsidRDefault="00E93349">
      <w:pPr>
        <w:rPr>
          <w:rStyle w:val="Textoennegrita"/>
          <w:rFonts w:ascii="Lato" w:eastAsia="Times New Roman" w:hAnsi="Lato"/>
          <w:sz w:val="20"/>
          <w:szCs w:val="20"/>
        </w:rPr>
      </w:pPr>
    </w:p>
    <w:p w:rsidR="00E93349" w:rsidRDefault="00E93349">
      <w:pPr>
        <w:rPr>
          <w:rStyle w:val="Textoennegrita"/>
          <w:rFonts w:ascii="Lato" w:eastAsia="Times New Roman" w:hAnsi="Lato"/>
          <w:sz w:val="20"/>
          <w:szCs w:val="20"/>
        </w:rPr>
      </w:pPr>
    </w:p>
    <w:p w:rsidR="00E93349" w:rsidRDefault="00E93349">
      <w:pPr>
        <w:rPr>
          <w:rStyle w:val="Textoennegrita"/>
          <w:rFonts w:ascii="Lato" w:eastAsia="Times New Roman" w:hAnsi="Lato"/>
          <w:sz w:val="20"/>
          <w:szCs w:val="20"/>
        </w:rPr>
      </w:pPr>
    </w:p>
    <w:p w:rsidR="00E93349" w:rsidRDefault="00E93349">
      <w:pPr>
        <w:rPr>
          <w:rStyle w:val="Textoennegrita"/>
          <w:rFonts w:ascii="Lato" w:eastAsia="Times New Roman" w:hAnsi="Lato"/>
          <w:sz w:val="20"/>
          <w:szCs w:val="20"/>
        </w:rPr>
      </w:pPr>
    </w:p>
    <w:p w:rsidR="00E873CD" w:rsidRPr="00BC3A61" w:rsidRDefault="00196B7D">
      <w:pPr>
        <w:rPr>
          <w:rFonts w:ascii="Lato" w:eastAsia="Times New Roman" w:hAnsi="Lato"/>
          <w:sz w:val="20"/>
          <w:szCs w:val="20"/>
        </w:rPr>
      </w:pPr>
      <w:bookmarkStart w:id="0" w:name="_GoBack"/>
      <w:bookmarkEnd w:id="0"/>
      <w:r w:rsidRPr="00BC3A61">
        <w:rPr>
          <w:rStyle w:val="Textoennegrita"/>
          <w:rFonts w:ascii="Lato" w:eastAsia="Times New Roman" w:hAnsi="Lato"/>
          <w:sz w:val="20"/>
          <w:szCs w:val="20"/>
        </w:rPr>
        <w:lastRenderedPageBreak/>
        <w:t>IV) NOTAS AL ESTADO DE FLUJO DE EFECTIVO</w:t>
      </w:r>
    </w:p>
    <w:p w:rsidR="00E873CD" w:rsidRPr="00BC3A61" w:rsidRDefault="00E873CD">
      <w:pPr>
        <w:rPr>
          <w:rFonts w:ascii="Lato" w:eastAsia="Times New Roman" w:hAnsi="Lato"/>
          <w:sz w:val="20"/>
          <w:szCs w:val="20"/>
        </w:rPr>
      </w:pPr>
    </w:p>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t>1.- Al Final del Ejercicio del Estado de Flujos de Efectivo, respecto a la composición del rubro de Efectivo y Equivalentes es como sigue:</w:t>
      </w:r>
    </w:p>
    <w:tbl>
      <w:tblPr>
        <w:tblW w:w="4925"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7790"/>
        <w:gridCol w:w="2693"/>
        <w:gridCol w:w="2267"/>
      </w:tblGrid>
      <w:tr w:rsidR="00E873CD" w:rsidRPr="00BC3A61" w:rsidTr="00830713">
        <w:trPr>
          <w:divId w:val="1922986418"/>
        </w:trPr>
        <w:tc>
          <w:tcPr>
            <w:tcW w:w="5000" w:type="pct"/>
            <w:gridSpan w:val="3"/>
            <w:tcBorders>
              <w:top w:val="single" w:sz="6" w:space="0" w:color="000000"/>
              <w:left w:val="single" w:sz="6" w:space="0" w:color="000000"/>
              <w:bottom w:val="single" w:sz="6" w:space="0" w:color="000000"/>
              <w:right w:val="single" w:sz="6" w:space="0" w:color="000000"/>
            </w:tcBorders>
            <w:shd w:val="clear" w:color="auto" w:fill="D9D9D9"/>
            <w:noWrap/>
            <w:vAlign w:val="center"/>
            <w:hideMark/>
          </w:tcPr>
          <w:p w:rsidR="00E873CD" w:rsidRPr="00BC3A61" w:rsidRDefault="00196B7D">
            <w:pPr>
              <w:jc w:val="center"/>
              <w:rPr>
                <w:rFonts w:ascii="Lato" w:eastAsia="Times New Roman" w:hAnsi="Lato"/>
                <w:sz w:val="20"/>
                <w:szCs w:val="20"/>
              </w:rPr>
            </w:pPr>
            <w:r w:rsidRPr="00BC3A61">
              <w:rPr>
                <w:rStyle w:val="Textoennegrita"/>
                <w:rFonts w:ascii="Lato" w:eastAsia="Times New Roman" w:hAnsi="Lato"/>
                <w:color w:val="000000"/>
                <w:sz w:val="20"/>
                <w:szCs w:val="20"/>
              </w:rPr>
              <w:t>Efectivo y Equivalentes</w:t>
            </w:r>
          </w:p>
        </w:tc>
      </w:tr>
      <w:tr w:rsidR="00E873CD" w:rsidRPr="00BC3A61" w:rsidTr="00830713">
        <w:trPr>
          <w:divId w:val="1922986418"/>
        </w:trPr>
        <w:tc>
          <w:tcPr>
            <w:tcW w:w="3055" w:type="pct"/>
            <w:tcBorders>
              <w:top w:val="single" w:sz="6" w:space="0" w:color="000000"/>
              <w:left w:val="single" w:sz="6" w:space="0" w:color="000000"/>
              <w:bottom w:val="single" w:sz="6" w:space="0" w:color="000000"/>
              <w:right w:val="single" w:sz="6" w:space="0" w:color="000000"/>
            </w:tcBorders>
            <w:shd w:val="clear" w:color="auto" w:fill="D9D9D9"/>
            <w:noWrap/>
            <w:vAlign w:val="center"/>
            <w:hideMark/>
          </w:tcPr>
          <w:p w:rsidR="00E873CD" w:rsidRPr="00BC3A61" w:rsidRDefault="00196B7D">
            <w:pPr>
              <w:jc w:val="center"/>
              <w:rPr>
                <w:rFonts w:ascii="Lato" w:eastAsia="Times New Roman" w:hAnsi="Lato"/>
                <w:sz w:val="20"/>
                <w:szCs w:val="20"/>
              </w:rPr>
            </w:pPr>
            <w:r w:rsidRPr="00BC3A61">
              <w:rPr>
                <w:rStyle w:val="Textoennegrita"/>
                <w:rFonts w:ascii="Lato" w:eastAsia="Times New Roman" w:hAnsi="Lato"/>
                <w:color w:val="000000"/>
                <w:sz w:val="20"/>
                <w:szCs w:val="20"/>
              </w:rPr>
              <w:t>Concepto</w:t>
            </w:r>
          </w:p>
        </w:tc>
        <w:tc>
          <w:tcPr>
            <w:tcW w:w="1056" w:type="pct"/>
            <w:tcBorders>
              <w:top w:val="single" w:sz="6" w:space="0" w:color="000000"/>
              <w:left w:val="single" w:sz="6" w:space="0" w:color="000000"/>
              <w:bottom w:val="single" w:sz="6" w:space="0" w:color="000000"/>
              <w:right w:val="single" w:sz="6" w:space="0" w:color="000000"/>
            </w:tcBorders>
            <w:shd w:val="clear" w:color="auto" w:fill="D9D9D9"/>
            <w:noWrap/>
            <w:vAlign w:val="center"/>
            <w:hideMark/>
          </w:tcPr>
          <w:p w:rsidR="00E873CD" w:rsidRPr="00BC3A61" w:rsidRDefault="00196B7D">
            <w:pPr>
              <w:jc w:val="center"/>
              <w:rPr>
                <w:rFonts w:ascii="Lato" w:eastAsia="Times New Roman" w:hAnsi="Lato"/>
                <w:sz w:val="20"/>
                <w:szCs w:val="20"/>
              </w:rPr>
            </w:pPr>
            <w:r w:rsidRPr="00BC3A61">
              <w:rPr>
                <w:rStyle w:val="Textoennegrita"/>
                <w:rFonts w:ascii="Lato" w:eastAsia="Times New Roman" w:hAnsi="Lato"/>
                <w:color w:val="000000"/>
                <w:sz w:val="20"/>
                <w:szCs w:val="20"/>
              </w:rPr>
              <w:t>2026</w:t>
            </w:r>
          </w:p>
        </w:tc>
        <w:tc>
          <w:tcPr>
            <w:tcW w:w="889" w:type="pct"/>
            <w:tcBorders>
              <w:top w:val="single" w:sz="6" w:space="0" w:color="000000"/>
              <w:left w:val="single" w:sz="6" w:space="0" w:color="000000"/>
              <w:bottom w:val="single" w:sz="6" w:space="0" w:color="000000"/>
              <w:right w:val="single" w:sz="6" w:space="0" w:color="000000"/>
            </w:tcBorders>
            <w:shd w:val="clear" w:color="auto" w:fill="D9D9D9"/>
            <w:noWrap/>
            <w:vAlign w:val="center"/>
            <w:hideMark/>
          </w:tcPr>
          <w:p w:rsidR="00E873CD" w:rsidRPr="00BC3A61" w:rsidRDefault="00196B7D">
            <w:pPr>
              <w:jc w:val="center"/>
              <w:rPr>
                <w:rFonts w:ascii="Lato" w:eastAsia="Times New Roman" w:hAnsi="Lato"/>
                <w:sz w:val="20"/>
                <w:szCs w:val="20"/>
              </w:rPr>
            </w:pPr>
            <w:r w:rsidRPr="00BC3A61">
              <w:rPr>
                <w:rStyle w:val="Textoennegrita"/>
                <w:rFonts w:ascii="Lato" w:eastAsia="Times New Roman" w:hAnsi="Lato"/>
                <w:color w:val="000000"/>
                <w:sz w:val="20"/>
                <w:szCs w:val="20"/>
              </w:rPr>
              <w:t>2025</w:t>
            </w:r>
          </w:p>
        </w:tc>
      </w:tr>
      <w:tr w:rsidR="00E873CD" w:rsidRPr="00BC3A61" w:rsidTr="00830713">
        <w:trPr>
          <w:divId w:val="1922986418"/>
        </w:trPr>
        <w:tc>
          <w:tcPr>
            <w:tcW w:w="3055"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both"/>
              <w:rPr>
                <w:rFonts w:ascii="Lato" w:eastAsia="Times New Roman" w:hAnsi="Lato"/>
                <w:sz w:val="20"/>
                <w:szCs w:val="20"/>
              </w:rPr>
            </w:pPr>
            <w:r w:rsidRPr="00BC3A61">
              <w:rPr>
                <w:rFonts w:ascii="Lato" w:eastAsia="Times New Roman" w:hAnsi="Lato"/>
                <w:color w:val="000000"/>
                <w:sz w:val="20"/>
                <w:szCs w:val="20"/>
              </w:rPr>
              <w:t>Efectivo</w:t>
            </w:r>
          </w:p>
        </w:tc>
        <w:tc>
          <w:tcPr>
            <w:tcW w:w="1056"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$101,519,983.47</w:t>
            </w:r>
          </w:p>
        </w:tc>
        <w:tc>
          <w:tcPr>
            <w:tcW w:w="889"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$19,174,695.26</w:t>
            </w:r>
          </w:p>
        </w:tc>
      </w:tr>
      <w:tr w:rsidR="00E873CD" w:rsidRPr="00BC3A61" w:rsidTr="00830713">
        <w:trPr>
          <w:divId w:val="1922986418"/>
        </w:trPr>
        <w:tc>
          <w:tcPr>
            <w:tcW w:w="3055"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both"/>
              <w:rPr>
                <w:rFonts w:ascii="Lato" w:eastAsia="Times New Roman" w:hAnsi="Lato"/>
                <w:sz w:val="20"/>
                <w:szCs w:val="20"/>
              </w:rPr>
            </w:pPr>
            <w:r w:rsidRPr="00BC3A61">
              <w:rPr>
                <w:rFonts w:ascii="Lato" w:eastAsia="Times New Roman" w:hAnsi="Lato"/>
                <w:color w:val="000000"/>
                <w:sz w:val="20"/>
                <w:szCs w:val="20"/>
              </w:rPr>
              <w:t>Bancos/Tesorería</w:t>
            </w:r>
          </w:p>
        </w:tc>
        <w:tc>
          <w:tcPr>
            <w:tcW w:w="1056"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$2,443,797,051.19</w:t>
            </w:r>
          </w:p>
        </w:tc>
        <w:tc>
          <w:tcPr>
            <w:tcW w:w="889"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$843,270,928.13</w:t>
            </w:r>
          </w:p>
        </w:tc>
      </w:tr>
      <w:tr w:rsidR="00E873CD" w:rsidRPr="00BC3A61" w:rsidTr="00830713">
        <w:trPr>
          <w:divId w:val="1922986418"/>
        </w:trPr>
        <w:tc>
          <w:tcPr>
            <w:tcW w:w="3055"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both"/>
              <w:rPr>
                <w:rFonts w:ascii="Lato" w:eastAsia="Times New Roman" w:hAnsi="Lato"/>
                <w:sz w:val="20"/>
                <w:szCs w:val="20"/>
              </w:rPr>
            </w:pPr>
            <w:r w:rsidRPr="00BC3A61">
              <w:rPr>
                <w:rFonts w:ascii="Lato" w:eastAsia="Times New Roman" w:hAnsi="Lato"/>
                <w:color w:val="000000"/>
                <w:sz w:val="20"/>
                <w:szCs w:val="20"/>
              </w:rPr>
              <w:t>Bancos/Dependencias Y Otros</w:t>
            </w:r>
          </w:p>
        </w:tc>
        <w:tc>
          <w:tcPr>
            <w:tcW w:w="1056"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$0.00</w:t>
            </w:r>
          </w:p>
        </w:tc>
        <w:tc>
          <w:tcPr>
            <w:tcW w:w="889"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$0.00</w:t>
            </w:r>
          </w:p>
        </w:tc>
      </w:tr>
      <w:tr w:rsidR="00E873CD" w:rsidRPr="00BC3A61" w:rsidTr="00830713">
        <w:trPr>
          <w:divId w:val="1922986418"/>
        </w:trPr>
        <w:tc>
          <w:tcPr>
            <w:tcW w:w="3055"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both"/>
              <w:rPr>
                <w:rFonts w:ascii="Lato" w:eastAsia="Times New Roman" w:hAnsi="Lato"/>
                <w:sz w:val="20"/>
                <w:szCs w:val="20"/>
              </w:rPr>
            </w:pPr>
            <w:r w:rsidRPr="00BC3A61">
              <w:rPr>
                <w:rFonts w:ascii="Lato" w:eastAsia="Times New Roman" w:hAnsi="Lato"/>
                <w:color w:val="000000"/>
                <w:sz w:val="20"/>
                <w:szCs w:val="20"/>
              </w:rPr>
              <w:t>Inversiones Temporales (Hasta 3 Meses)</w:t>
            </w:r>
          </w:p>
        </w:tc>
        <w:tc>
          <w:tcPr>
            <w:tcW w:w="1056"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$1,622,205,645.81</w:t>
            </w:r>
          </w:p>
        </w:tc>
        <w:tc>
          <w:tcPr>
            <w:tcW w:w="889"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$88,454.48</w:t>
            </w:r>
          </w:p>
        </w:tc>
      </w:tr>
      <w:tr w:rsidR="00E873CD" w:rsidRPr="00BC3A61" w:rsidTr="00830713">
        <w:trPr>
          <w:divId w:val="1922986418"/>
        </w:trPr>
        <w:tc>
          <w:tcPr>
            <w:tcW w:w="3055"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both"/>
              <w:rPr>
                <w:rFonts w:ascii="Lato" w:eastAsia="Times New Roman" w:hAnsi="Lato"/>
                <w:sz w:val="20"/>
                <w:szCs w:val="20"/>
              </w:rPr>
            </w:pPr>
            <w:r w:rsidRPr="00BC3A61">
              <w:rPr>
                <w:rFonts w:ascii="Lato" w:eastAsia="Times New Roman" w:hAnsi="Lato"/>
                <w:color w:val="000000"/>
                <w:sz w:val="20"/>
                <w:szCs w:val="20"/>
              </w:rPr>
              <w:t>Fondos Con Afectación Específica</w:t>
            </w:r>
          </w:p>
        </w:tc>
        <w:tc>
          <w:tcPr>
            <w:tcW w:w="1056"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$188,838,718.78</w:t>
            </w:r>
          </w:p>
        </w:tc>
        <w:tc>
          <w:tcPr>
            <w:tcW w:w="889"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$141,412,895.89</w:t>
            </w:r>
          </w:p>
        </w:tc>
      </w:tr>
      <w:tr w:rsidR="00E873CD" w:rsidRPr="00BC3A61" w:rsidTr="00830713">
        <w:trPr>
          <w:divId w:val="1922986418"/>
        </w:trPr>
        <w:tc>
          <w:tcPr>
            <w:tcW w:w="3055"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both"/>
              <w:rPr>
                <w:rFonts w:ascii="Lato" w:eastAsia="Times New Roman" w:hAnsi="Lato"/>
                <w:sz w:val="20"/>
                <w:szCs w:val="20"/>
              </w:rPr>
            </w:pPr>
            <w:r w:rsidRPr="00BC3A61">
              <w:rPr>
                <w:rFonts w:ascii="Lato" w:eastAsia="Times New Roman" w:hAnsi="Lato"/>
                <w:color w:val="000000"/>
                <w:sz w:val="20"/>
                <w:szCs w:val="20"/>
              </w:rPr>
              <w:t>Depósitos De Fondos De Terceros En Garantía Y/O Administración</w:t>
            </w:r>
          </w:p>
        </w:tc>
        <w:tc>
          <w:tcPr>
            <w:tcW w:w="1056"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$67,552,378.65</w:t>
            </w:r>
          </w:p>
        </w:tc>
        <w:tc>
          <w:tcPr>
            <w:tcW w:w="889"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$17,137,534.07</w:t>
            </w:r>
          </w:p>
        </w:tc>
      </w:tr>
      <w:tr w:rsidR="00E873CD" w:rsidRPr="00BC3A61" w:rsidTr="00830713">
        <w:trPr>
          <w:divId w:val="1922986418"/>
        </w:trPr>
        <w:tc>
          <w:tcPr>
            <w:tcW w:w="3055"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both"/>
              <w:rPr>
                <w:rFonts w:ascii="Lato" w:eastAsia="Times New Roman" w:hAnsi="Lato"/>
                <w:sz w:val="20"/>
                <w:szCs w:val="20"/>
              </w:rPr>
            </w:pPr>
            <w:r w:rsidRPr="00BC3A61">
              <w:rPr>
                <w:rFonts w:ascii="Lato" w:eastAsia="Times New Roman" w:hAnsi="Lato"/>
                <w:color w:val="000000"/>
                <w:sz w:val="20"/>
                <w:szCs w:val="20"/>
              </w:rPr>
              <w:t>Otros Efectivos Y Equivalentes</w:t>
            </w:r>
          </w:p>
        </w:tc>
        <w:tc>
          <w:tcPr>
            <w:tcW w:w="1056"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$0.00</w:t>
            </w:r>
          </w:p>
        </w:tc>
        <w:tc>
          <w:tcPr>
            <w:tcW w:w="889" w:type="pct"/>
            <w:tcBorders>
              <w:top w:val="single" w:sz="6" w:space="0" w:color="000000"/>
              <w:left w:val="single" w:sz="6" w:space="0" w:color="000000"/>
              <w:bottom w:val="single" w:sz="6" w:space="0" w:color="000000"/>
              <w:right w:val="single" w:sz="6" w:space="0" w:color="000000"/>
            </w:tcBorders>
            <w:noWrap/>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$0.00</w:t>
            </w:r>
          </w:p>
        </w:tc>
      </w:tr>
      <w:tr w:rsidR="00E873CD" w:rsidRPr="00BC3A61" w:rsidTr="00830713">
        <w:trPr>
          <w:divId w:val="1922986418"/>
        </w:trPr>
        <w:tc>
          <w:tcPr>
            <w:tcW w:w="3055" w:type="pct"/>
            <w:tcBorders>
              <w:top w:val="single" w:sz="6" w:space="0" w:color="000000"/>
              <w:left w:val="single" w:sz="6" w:space="0" w:color="000000"/>
              <w:bottom w:val="single" w:sz="6" w:space="0" w:color="000000"/>
              <w:right w:val="single" w:sz="6" w:space="0" w:color="000000"/>
            </w:tcBorders>
            <w:shd w:val="clear" w:color="auto" w:fill="D9D9D9"/>
            <w:noWrap/>
            <w:vAlign w:val="center"/>
            <w:hideMark/>
          </w:tcPr>
          <w:p w:rsidR="00E873CD" w:rsidRPr="00BC3A61" w:rsidRDefault="00196B7D">
            <w:pPr>
              <w:jc w:val="center"/>
              <w:rPr>
                <w:rFonts w:ascii="Lato" w:eastAsia="Times New Roman" w:hAnsi="Lato"/>
                <w:sz w:val="20"/>
                <w:szCs w:val="20"/>
              </w:rPr>
            </w:pPr>
            <w:r w:rsidRPr="00BC3A61">
              <w:rPr>
                <w:rStyle w:val="Textoennegrita"/>
                <w:rFonts w:ascii="Lato" w:eastAsia="Times New Roman" w:hAnsi="Lato"/>
                <w:color w:val="000000"/>
                <w:sz w:val="20"/>
                <w:szCs w:val="20"/>
              </w:rPr>
              <w:t>Total</w:t>
            </w:r>
          </w:p>
        </w:tc>
        <w:tc>
          <w:tcPr>
            <w:tcW w:w="1056" w:type="pct"/>
            <w:tcBorders>
              <w:top w:val="single" w:sz="6" w:space="0" w:color="000000"/>
              <w:left w:val="single" w:sz="6" w:space="0" w:color="000000"/>
              <w:bottom w:val="single" w:sz="6" w:space="0" w:color="000000"/>
              <w:right w:val="single" w:sz="6" w:space="0" w:color="000000"/>
            </w:tcBorders>
            <w:shd w:val="clear" w:color="auto" w:fill="D9D9D9"/>
            <w:noWrap/>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$4,423,913,777.90</w:t>
            </w:r>
          </w:p>
        </w:tc>
        <w:tc>
          <w:tcPr>
            <w:tcW w:w="889" w:type="pct"/>
            <w:tcBorders>
              <w:top w:val="single" w:sz="6" w:space="0" w:color="000000"/>
              <w:left w:val="single" w:sz="6" w:space="0" w:color="000000"/>
              <w:bottom w:val="single" w:sz="6" w:space="0" w:color="000000"/>
              <w:right w:val="single" w:sz="6" w:space="0" w:color="000000"/>
            </w:tcBorders>
            <w:shd w:val="clear" w:color="auto" w:fill="D9D9D9"/>
            <w:noWrap/>
            <w:vAlign w:val="center"/>
            <w:hideMark/>
          </w:tcPr>
          <w:p w:rsidR="00E873CD" w:rsidRPr="00BC3A61" w:rsidRDefault="00196B7D">
            <w:pPr>
              <w:jc w:val="right"/>
              <w:rPr>
                <w:rFonts w:ascii="Lato" w:eastAsia="Times New Roman" w:hAnsi="Lato"/>
                <w:sz w:val="20"/>
                <w:szCs w:val="20"/>
              </w:rPr>
            </w:pPr>
            <w:r w:rsidRPr="00BC3A61">
              <w:rPr>
                <w:rStyle w:val="Textoennegrita"/>
                <w:rFonts w:ascii="Lato" w:eastAsia="Times New Roman" w:hAnsi="Lato"/>
                <w:color w:val="000000"/>
                <w:sz w:val="20"/>
                <w:szCs w:val="20"/>
              </w:rPr>
              <w:t>$1,021,084,507.83</w:t>
            </w:r>
          </w:p>
        </w:tc>
      </w:tr>
    </w:tbl>
    <w:p w:rsidR="00E873CD" w:rsidRPr="00BC3A61" w:rsidRDefault="00E873CD">
      <w:pPr>
        <w:rPr>
          <w:rFonts w:ascii="Lato" w:eastAsia="Times New Roman" w:hAnsi="Lato"/>
          <w:sz w:val="20"/>
          <w:szCs w:val="20"/>
        </w:rPr>
      </w:pPr>
    </w:p>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t>2. Se detallan las adquisiciones de las Actividades de Inversión efectivamente pagadas, respecto del apartado de aplicación.</w:t>
      </w:r>
    </w:p>
    <w:tbl>
      <w:tblPr>
        <w:tblW w:w="12890" w:type="dxa"/>
        <w:tblCellMar>
          <w:left w:w="70" w:type="dxa"/>
          <w:right w:w="70" w:type="dxa"/>
        </w:tblCellMar>
        <w:tblLook w:val="04A0" w:firstRow="1" w:lastRow="0" w:firstColumn="1" w:lastColumn="0" w:noHBand="0" w:noVBand="1"/>
      </w:tblPr>
      <w:tblGrid>
        <w:gridCol w:w="8354"/>
        <w:gridCol w:w="2268"/>
        <w:gridCol w:w="2268"/>
      </w:tblGrid>
      <w:tr w:rsidR="00692875" w:rsidRPr="00BC3A61" w:rsidTr="00692875">
        <w:trPr>
          <w:divId w:val="1922986418"/>
          <w:trHeight w:val="315"/>
        </w:trPr>
        <w:tc>
          <w:tcPr>
            <w:tcW w:w="12890" w:type="dxa"/>
            <w:gridSpan w:val="3"/>
            <w:tcBorders>
              <w:top w:val="single" w:sz="8" w:space="0" w:color="000000"/>
              <w:left w:val="single" w:sz="8" w:space="0" w:color="000000"/>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Adquisiciones de Actividades de Inversión efectivamente pagadas</w:t>
            </w:r>
          </w:p>
        </w:tc>
      </w:tr>
      <w:tr w:rsidR="00692875" w:rsidRPr="00BC3A61" w:rsidTr="00692875">
        <w:trPr>
          <w:divId w:val="1922986418"/>
          <w:trHeight w:val="315"/>
        </w:trPr>
        <w:tc>
          <w:tcPr>
            <w:tcW w:w="8354" w:type="dxa"/>
            <w:tcBorders>
              <w:top w:val="nil"/>
              <w:left w:val="single" w:sz="8" w:space="0" w:color="000000"/>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Concepto</w:t>
            </w:r>
          </w:p>
        </w:tc>
        <w:tc>
          <w:tcPr>
            <w:tcW w:w="2268"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2026</w:t>
            </w:r>
          </w:p>
        </w:tc>
        <w:tc>
          <w:tcPr>
            <w:tcW w:w="2268"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2025</w:t>
            </w:r>
          </w:p>
        </w:tc>
      </w:tr>
      <w:tr w:rsidR="00692875" w:rsidRPr="00BC3A61" w:rsidTr="00692875">
        <w:trPr>
          <w:divId w:val="1922986418"/>
          <w:trHeight w:val="315"/>
        </w:trPr>
        <w:tc>
          <w:tcPr>
            <w:tcW w:w="8354" w:type="dxa"/>
            <w:tcBorders>
              <w:top w:val="nil"/>
              <w:left w:val="single" w:sz="8" w:space="0" w:color="000000"/>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Bienes Inmuebles, Infraestructura y Construcciones en Proceso.</w:t>
            </w:r>
          </w:p>
        </w:tc>
        <w:tc>
          <w:tcPr>
            <w:tcW w:w="2268"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$34,741,446.64</w:t>
            </w:r>
          </w:p>
        </w:tc>
        <w:tc>
          <w:tcPr>
            <w:tcW w:w="2268"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$2,607,972.44</w:t>
            </w:r>
          </w:p>
        </w:tc>
      </w:tr>
      <w:tr w:rsidR="00692875" w:rsidRPr="00BC3A61" w:rsidTr="00692875">
        <w:trPr>
          <w:divId w:val="1922986418"/>
          <w:trHeight w:val="315"/>
        </w:trPr>
        <w:tc>
          <w:tcPr>
            <w:tcW w:w="8354"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t>Construcciones en Proceso en Bienes de Dominio Público</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692875" w:rsidRPr="00BC3A61" w:rsidTr="00692875">
        <w:trPr>
          <w:divId w:val="1922986418"/>
          <w:trHeight w:val="315"/>
        </w:trPr>
        <w:tc>
          <w:tcPr>
            <w:tcW w:w="8354"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t>Construcciones en Proceso en Bienes Propios</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$34,741,446.64</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$2,607,972.44</w:t>
            </w:r>
          </w:p>
        </w:tc>
      </w:tr>
      <w:tr w:rsidR="00692875" w:rsidRPr="00BC3A61" w:rsidTr="00692875">
        <w:trPr>
          <w:divId w:val="1922986418"/>
          <w:trHeight w:val="315"/>
        </w:trPr>
        <w:tc>
          <w:tcPr>
            <w:tcW w:w="8354" w:type="dxa"/>
            <w:tcBorders>
              <w:top w:val="nil"/>
              <w:left w:val="single" w:sz="8" w:space="0" w:color="000000"/>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Bienes Muebles</w:t>
            </w:r>
          </w:p>
        </w:tc>
        <w:tc>
          <w:tcPr>
            <w:tcW w:w="2268"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$69,059,163.25</w:t>
            </w:r>
          </w:p>
        </w:tc>
        <w:tc>
          <w:tcPr>
            <w:tcW w:w="2268"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$152,427,823.07</w:t>
            </w:r>
          </w:p>
        </w:tc>
      </w:tr>
      <w:tr w:rsidR="00692875" w:rsidRPr="00BC3A61" w:rsidTr="00692875">
        <w:trPr>
          <w:divId w:val="1922986418"/>
          <w:trHeight w:val="315"/>
        </w:trPr>
        <w:tc>
          <w:tcPr>
            <w:tcW w:w="8354"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t>Mobiliario y Equipo de Administración</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$21,867,145.11</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$3,253,069.44</w:t>
            </w:r>
          </w:p>
        </w:tc>
      </w:tr>
      <w:tr w:rsidR="00692875" w:rsidRPr="00BC3A61" w:rsidTr="00692875">
        <w:trPr>
          <w:divId w:val="1922986418"/>
          <w:trHeight w:val="315"/>
        </w:trPr>
        <w:tc>
          <w:tcPr>
            <w:tcW w:w="8354"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lastRenderedPageBreak/>
              <w:t>Mobiliario y Equipo Educacional y Recreativo</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$1,221,953.09</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$12,048,322.73</w:t>
            </w:r>
          </w:p>
        </w:tc>
      </w:tr>
      <w:tr w:rsidR="00692875" w:rsidRPr="00BC3A61" w:rsidTr="00692875">
        <w:trPr>
          <w:divId w:val="1922986418"/>
          <w:trHeight w:val="315"/>
        </w:trPr>
        <w:tc>
          <w:tcPr>
            <w:tcW w:w="8354"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t>Equipo e Instrumental Médico y de Laboratorio</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$352,148.12</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$973,016.56</w:t>
            </w:r>
          </w:p>
        </w:tc>
      </w:tr>
      <w:tr w:rsidR="00692875" w:rsidRPr="00BC3A61" w:rsidTr="00692875">
        <w:trPr>
          <w:divId w:val="1922986418"/>
          <w:trHeight w:val="315"/>
        </w:trPr>
        <w:tc>
          <w:tcPr>
            <w:tcW w:w="8354"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t>Vehículos y Equipo de Transporte</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$613,420.00</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$10,748,993.42</w:t>
            </w:r>
          </w:p>
        </w:tc>
      </w:tr>
      <w:tr w:rsidR="00692875" w:rsidRPr="00BC3A61" w:rsidTr="00692875">
        <w:trPr>
          <w:divId w:val="1922986418"/>
          <w:trHeight w:val="315"/>
        </w:trPr>
        <w:tc>
          <w:tcPr>
            <w:tcW w:w="8354"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t>Equipo de Defensa y Seguridad</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$37,967,629.19</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$28,577,650.45</w:t>
            </w:r>
          </w:p>
        </w:tc>
      </w:tr>
      <w:tr w:rsidR="00692875" w:rsidRPr="00BC3A61" w:rsidTr="00692875">
        <w:trPr>
          <w:divId w:val="1922986418"/>
          <w:trHeight w:val="315"/>
        </w:trPr>
        <w:tc>
          <w:tcPr>
            <w:tcW w:w="8354"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t xml:space="preserve">Maquinaria, Otros Equipos y Herramientas </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$7,036,867.74</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$31,531,034.92</w:t>
            </w:r>
          </w:p>
        </w:tc>
      </w:tr>
      <w:tr w:rsidR="00692875" w:rsidRPr="00BC3A61" w:rsidTr="00692875">
        <w:trPr>
          <w:divId w:val="1922986418"/>
          <w:trHeight w:val="315"/>
        </w:trPr>
        <w:tc>
          <w:tcPr>
            <w:tcW w:w="8354" w:type="dxa"/>
            <w:tcBorders>
              <w:top w:val="nil"/>
              <w:left w:val="single" w:sz="8" w:space="0" w:color="000000"/>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Otras Inversiones</w:t>
            </w:r>
          </w:p>
        </w:tc>
        <w:tc>
          <w:tcPr>
            <w:tcW w:w="2268"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$23,947,474.75</w:t>
            </w:r>
          </w:p>
        </w:tc>
        <w:tc>
          <w:tcPr>
            <w:tcW w:w="2268"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$83,910,705.05</w:t>
            </w:r>
          </w:p>
        </w:tc>
      </w:tr>
      <w:tr w:rsidR="00692875" w:rsidRPr="00BC3A61" w:rsidTr="00692875">
        <w:trPr>
          <w:divId w:val="1922986418"/>
          <w:trHeight w:val="315"/>
        </w:trPr>
        <w:tc>
          <w:tcPr>
            <w:tcW w:w="8354"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t>Otras Inversiones</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$23,947,474.75</w:t>
            </w:r>
          </w:p>
        </w:tc>
        <w:tc>
          <w:tcPr>
            <w:tcW w:w="226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$83,910,705.05</w:t>
            </w:r>
          </w:p>
        </w:tc>
      </w:tr>
      <w:tr w:rsidR="00692875" w:rsidRPr="00BC3A61" w:rsidTr="00692875">
        <w:trPr>
          <w:divId w:val="1922986418"/>
          <w:trHeight w:val="315"/>
        </w:trPr>
        <w:tc>
          <w:tcPr>
            <w:tcW w:w="8354" w:type="dxa"/>
            <w:tcBorders>
              <w:top w:val="nil"/>
              <w:left w:val="single" w:sz="8" w:space="0" w:color="000000"/>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Total</w:t>
            </w:r>
          </w:p>
        </w:tc>
        <w:tc>
          <w:tcPr>
            <w:tcW w:w="2268"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$127,748,084.64</w:t>
            </w:r>
          </w:p>
        </w:tc>
        <w:tc>
          <w:tcPr>
            <w:tcW w:w="2268"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$238,946,500.56</w:t>
            </w:r>
          </w:p>
        </w:tc>
      </w:tr>
    </w:tbl>
    <w:p w:rsidR="00692875" w:rsidRPr="00BC3A61" w:rsidRDefault="00692875">
      <w:pPr>
        <w:jc w:val="both"/>
        <w:divId w:val="1922986418"/>
        <w:rPr>
          <w:rFonts w:ascii="Lato" w:eastAsia="Times New Roman" w:hAnsi="Lato"/>
          <w:sz w:val="20"/>
          <w:szCs w:val="20"/>
        </w:rPr>
      </w:pPr>
    </w:p>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t>3.- Se presenta la Conciliación de los Flujos de Efectivo Netos de las Actividades de Operación y los saldos de Resultados del Ejercicio (Ahorro/Desahorro), en el siguiente cuadro:</w:t>
      </w:r>
    </w:p>
    <w:tbl>
      <w:tblPr>
        <w:tblW w:w="12950" w:type="dxa"/>
        <w:tblInd w:w="-10" w:type="dxa"/>
        <w:tblCellMar>
          <w:left w:w="70" w:type="dxa"/>
          <w:right w:w="70" w:type="dxa"/>
        </w:tblCellMar>
        <w:tblLook w:val="04A0" w:firstRow="1" w:lastRow="0" w:firstColumn="1" w:lastColumn="0" w:noHBand="0" w:noVBand="1"/>
      </w:tblPr>
      <w:tblGrid>
        <w:gridCol w:w="8361"/>
        <w:gridCol w:w="2271"/>
        <w:gridCol w:w="2318"/>
      </w:tblGrid>
      <w:tr w:rsidR="00692875" w:rsidRPr="00BC3A61" w:rsidTr="00692875">
        <w:trPr>
          <w:divId w:val="1922986418"/>
          <w:trHeight w:val="315"/>
        </w:trPr>
        <w:tc>
          <w:tcPr>
            <w:tcW w:w="12950" w:type="dxa"/>
            <w:gridSpan w:val="3"/>
            <w:tcBorders>
              <w:top w:val="single" w:sz="8" w:space="0" w:color="000000"/>
              <w:left w:val="single" w:sz="8" w:space="0" w:color="000000"/>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CONCILIACION DE FLUJOS DE EFECTIVO NETOS</w:t>
            </w:r>
          </w:p>
        </w:tc>
      </w:tr>
      <w:tr w:rsidR="00692875" w:rsidRPr="00BC3A61" w:rsidTr="005C4DAA">
        <w:trPr>
          <w:divId w:val="1922986418"/>
          <w:trHeight w:val="315"/>
        </w:trPr>
        <w:tc>
          <w:tcPr>
            <w:tcW w:w="8361" w:type="dxa"/>
            <w:tcBorders>
              <w:top w:val="nil"/>
              <w:left w:val="single" w:sz="8" w:space="0" w:color="000000"/>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Concepto</w:t>
            </w:r>
          </w:p>
        </w:tc>
        <w:tc>
          <w:tcPr>
            <w:tcW w:w="2271"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2026</w:t>
            </w:r>
          </w:p>
        </w:tc>
        <w:tc>
          <w:tcPr>
            <w:tcW w:w="2318"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2025</w:t>
            </w:r>
          </w:p>
        </w:tc>
      </w:tr>
      <w:tr w:rsidR="00692875" w:rsidRPr="00BC3A61" w:rsidTr="005C4DAA">
        <w:trPr>
          <w:divId w:val="1922986418"/>
          <w:trHeight w:val="315"/>
        </w:trPr>
        <w:tc>
          <w:tcPr>
            <w:tcW w:w="8361" w:type="dxa"/>
            <w:tcBorders>
              <w:top w:val="nil"/>
              <w:left w:val="single" w:sz="8" w:space="0" w:color="000000"/>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Resultado del Ejercicio Ahorro/ Desahorro</w:t>
            </w:r>
          </w:p>
        </w:tc>
        <w:tc>
          <w:tcPr>
            <w:tcW w:w="2271"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$1,432,893,622.57</w:t>
            </w:r>
          </w:p>
        </w:tc>
        <w:tc>
          <w:tcPr>
            <w:tcW w:w="2318"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FF0000"/>
                <w:sz w:val="20"/>
                <w:szCs w:val="20"/>
              </w:rPr>
              <w:t>-$1,310,776,024.28</w:t>
            </w:r>
          </w:p>
        </w:tc>
      </w:tr>
      <w:tr w:rsidR="00692875" w:rsidRPr="00BC3A61" w:rsidTr="005C4DAA">
        <w:trPr>
          <w:divId w:val="1922986418"/>
          <w:trHeight w:val="315"/>
        </w:trPr>
        <w:tc>
          <w:tcPr>
            <w:tcW w:w="8361" w:type="dxa"/>
            <w:tcBorders>
              <w:top w:val="nil"/>
              <w:left w:val="single" w:sz="8" w:space="0" w:color="000000"/>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Movimientos de partidas (o rubros) que no afectan al efectivo</w:t>
            </w:r>
          </w:p>
        </w:tc>
        <w:tc>
          <w:tcPr>
            <w:tcW w:w="2271"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$2,773,971,761.79</w:t>
            </w:r>
          </w:p>
        </w:tc>
        <w:tc>
          <w:tcPr>
            <w:tcW w:w="2318"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$1,646,078,144.78</w:t>
            </w:r>
          </w:p>
        </w:tc>
      </w:tr>
      <w:tr w:rsidR="00692875" w:rsidRPr="00BC3A61" w:rsidTr="005C4DAA">
        <w:trPr>
          <w:divId w:val="1922986418"/>
          <w:trHeight w:val="315"/>
        </w:trPr>
        <w:tc>
          <w:tcPr>
            <w:tcW w:w="8361"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t>Depreciación</w:t>
            </w:r>
          </w:p>
        </w:tc>
        <w:tc>
          <w:tcPr>
            <w:tcW w:w="2271"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$247,644,109.73</w:t>
            </w:r>
          </w:p>
        </w:tc>
        <w:tc>
          <w:tcPr>
            <w:tcW w:w="231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$537,136,305.44</w:t>
            </w:r>
          </w:p>
        </w:tc>
      </w:tr>
      <w:tr w:rsidR="00692875" w:rsidRPr="00BC3A61" w:rsidTr="005C4DAA">
        <w:trPr>
          <w:divId w:val="1922986418"/>
          <w:trHeight w:val="315"/>
        </w:trPr>
        <w:tc>
          <w:tcPr>
            <w:tcW w:w="8361"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t>Amortización</w:t>
            </w:r>
          </w:p>
        </w:tc>
        <w:tc>
          <w:tcPr>
            <w:tcW w:w="2271"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$43,515,578.34</w:t>
            </w:r>
          </w:p>
        </w:tc>
        <w:tc>
          <w:tcPr>
            <w:tcW w:w="231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$38,176,957.74</w:t>
            </w:r>
          </w:p>
        </w:tc>
      </w:tr>
      <w:tr w:rsidR="00692875" w:rsidRPr="00BC3A61" w:rsidTr="005C4DAA">
        <w:trPr>
          <w:divId w:val="1922986418"/>
          <w:trHeight w:val="315"/>
        </w:trPr>
        <w:tc>
          <w:tcPr>
            <w:tcW w:w="8361"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t>Otros Gastos</w:t>
            </w:r>
          </w:p>
        </w:tc>
        <w:tc>
          <w:tcPr>
            <w:tcW w:w="2271"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$11,178,512.65</w:t>
            </w:r>
          </w:p>
        </w:tc>
        <w:tc>
          <w:tcPr>
            <w:tcW w:w="231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$4,488,303.05</w:t>
            </w:r>
          </w:p>
        </w:tc>
      </w:tr>
      <w:tr w:rsidR="00692875" w:rsidRPr="00BC3A61" w:rsidTr="005C4DAA">
        <w:trPr>
          <w:divId w:val="1922986418"/>
          <w:trHeight w:val="315"/>
        </w:trPr>
        <w:tc>
          <w:tcPr>
            <w:tcW w:w="8361"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t>Aprovechamientos patrimoniales</w:t>
            </w:r>
          </w:p>
        </w:tc>
        <w:tc>
          <w:tcPr>
            <w:tcW w:w="2271"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$1,350,000.00</w:t>
            </w:r>
          </w:p>
        </w:tc>
        <w:tc>
          <w:tcPr>
            <w:tcW w:w="231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692875" w:rsidRPr="00BC3A61" w:rsidTr="005C4DAA">
        <w:trPr>
          <w:divId w:val="1922986418"/>
          <w:trHeight w:val="315"/>
        </w:trPr>
        <w:tc>
          <w:tcPr>
            <w:tcW w:w="8361"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t>Inversión Pública No Capitalizable</w:t>
            </w:r>
          </w:p>
        </w:tc>
        <w:tc>
          <w:tcPr>
            <w:tcW w:w="2271"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c>
          <w:tcPr>
            <w:tcW w:w="231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692875" w:rsidRPr="00BC3A61" w:rsidTr="005C4DAA">
        <w:trPr>
          <w:divId w:val="1922986418"/>
          <w:trHeight w:val="315"/>
        </w:trPr>
        <w:tc>
          <w:tcPr>
            <w:tcW w:w="8361"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t>Ganancia / pérdida en venta de bienes muebles, inmuebles e intangibles</w:t>
            </w:r>
          </w:p>
        </w:tc>
        <w:tc>
          <w:tcPr>
            <w:tcW w:w="2271"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c>
          <w:tcPr>
            <w:tcW w:w="231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692875" w:rsidRPr="00BC3A61" w:rsidTr="005C4DAA">
        <w:trPr>
          <w:divId w:val="1922986418"/>
          <w:trHeight w:val="315"/>
        </w:trPr>
        <w:tc>
          <w:tcPr>
            <w:tcW w:w="8361"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t>Variación del devengo al pagado de gastos</w:t>
            </w:r>
          </w:p>
        </w:tc>
        <w:tc>
          <w:tcPr>
            <w:tcW w:w="2271"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$1,351,119,148.71</w:t>
            </w:r>
          </w:p>
        </w:tc>
        <w:tc>
          <w:tcPr>
            <w:tcW w:w="231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$579,047,653.37</w:t>
            </w:r>
          </w:p>
        </w:tc>
      </w:tr>
      <w:tr w:rsidR="00692875" w:rsidRPr="00BC3A61" w:rsidTr="005C4DAA">
        <w:trPr>
          <w:divId w:val="1922986418"/>
          <w:trHeight w:val="315"/>
        </w:trPr>
        <w:tc>
          <w:tcPr>
            <w:tcW w:w="8361"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t>Otros Orígenes de operación</w:t>
            </w:r>
          </w:p>
        </w:tc>
        <w:tc>
          <w:tcPr>
            <w:tcW w:w="2271"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$1,119,164,412.36</w:t>
            </w:r>
          </w:p>
        </w:tc>
        <w:tc>
          <w:tcPr>
            <w:tcW w:w="231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$487,228,925.18</w:t>
            </w:r>
          </w:p>
        </w:tc>
      </w:tr>
      <w:tr w:rsidR="00692875" w:rsidRPr="00BC3A61" w:rsidTr="005C4DAA">
        <w:trPr>
          <w:divId w:val="1922986418"/>
          <w:trHeight w:val="315"/>
        </w:trPr>
        <w:tc>
          <w:tcPr>
            <w:tcW w:w="8361" w:type="dxa"/>
            <w:tcBorders>
              <w:top w:val="nil"/>
              <w:left w:val="single" w:sz="8" w:space="0" w:color="000000"/>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both"/>
              <w:rPr>
                <w:rFonts w:ascii="Lato" w:eastAsia="Times New Roman" w:hAnsi="Lato" w:cs="Calibri"/>
                <w:color w:val="000000"/>
                <w:sz w:val="20"/>
                <w:szCs w:val="20"/>
              </w:rPr>
            </w:pPr>
            <w:r w:rsidRPr="00BC3A61">
              <w:rPr>
                <w:rFonts w:ascii="Lato" w:eastAsia="Times New Roman" w:hAnsi="Lato" w:cs="Calibri"/>
                <w:color w:val="000000"/>
                <w:sz w:val="20"/>
                <w:szCs w:val="20"/>
              </w:rPr>
              <w:t>Otras aplicaciones de operación</w:t>
            </w:r>
          </w:p>
        </w:tc>
        <w:tc>
          <w:tcPr>
            <w:tcW w:w="2271"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c>
          <w:tcPr>
            <w:tcW w:w="2318" w:type="dxa"/>
            <w:tcBorders>
              <w:top w:val="nil"/>
              <w:left w:val="nil"/>
              <w:bottom w:val="single" w:sz="8" w:space="0" w:color="000000"/>
              <w:right w:val="single" w:sz="8" w:space="0" w:color="000000"/>
            </w:tcBorders>
            <w:shd w:val="clear" w:color="auto" w:fill="auto"/>
            <w:noWrap/>
            <w:vAlign w:val="center"/>
            <w:hideMark/>
          </w:tcPr>
          <w:p w:rsidR="00692875" w:rsidRPr="00BC3A61" w:rsidRDefault="00692875" w:rsidP="00692875">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692875" w:rsidRPr="00BC3A61" w:rsidTr="005C4DAA">
        <w:trPr>
          <w:divId w:val="1922986418"/>
          <w:trHeight w:val="315"/>
        </w:trPr>
        <w:tc>
          <w:tcPr>
            <w:tcW w:w="8361" w:type="dxa"/>
            <w:tcBorders>
              <w:top w:val="nil"/>
              <w:left w:val="single" w:sz="8" w:space="0" w:color="000000"/>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Flujos de Efectivo Netos de las Actividades de Operación</w:t>
            </w:r>
          </w:p>
        </w:tc>
        <w:tc>
          <w:tcPr>
            <w:tcW w:w="2271"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$4,206,865,384.36</w:t>
            </w:r>
          </w:p>
        </w:tc>
        <w:tc>
          <w:tcPr>
            <w:tcW w:w="2318" w:type="dxa"/>
            <w:tcBorders>
              <w:top w:val="nil"/>
              <w:left w:val="nil"/>
              <w:bottom w:val="single" w:sz="8" w:space="0" w:color="000000"/>
              <w:right w:val="single" w:sz="8" w:space="0" w:color="000000"/>
            </w:tcBorders>
            <w:shd w:val="clear" w:color="000000" w:fill="D9D9D9"/>
            <w:noWrap/>
            <w:vAlign w:val="center"/>
            <w:hideMark/>
          </w:tcPr>
          <w:p w:rsidR="00692875" w:rsidRPr="00BC3A61" w:rsidRDefault="00692875" w:rsidP="00692875">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$335,302,120.50</w:t>
            </w:r>
          </w:p>
        </w:tc>
      </w:tr>
    </w:tbl>
    <w:p w:rsidR="00692875" w:rsidRPr="00BC3A61" w:rsidRDefault="00692875">
      <w:pPr>
        <w:jc w:val="both"/>
        <w:divId w:val="1922986418"/>
        <w:rPr>
          <w:rFonts w:ascii="Lato" w:eastAsia="Times New Roman" w:hAnsi="Lato"/>
          <w:sz w:val="20"/>
          <w:szCs w:val="20"/>
        </w:rPr>
      </w:pPr>
    </w:p>
    <w:tbl>
      <w:tblPr>
        <w:tblW w:w="12900" w:type="dxa"/>
        <w:tblCellMar>
          <w:left w:w="70" w:type="dxa"/>
          <w:right w:w="70" w:type="dxa"/>
        </w:tblCellMar>
        <w:tblLook w:val="04A0" w:firstRow="1" w:lastRow="0" w:firstColumn="1" w:lastColumn="0" w:noHBand="0" w:noVBand="1"/>
      </w:tblPr>
      <w:tblGrid>
        <w:gridCol w:w="840"/>
        <w:gridCol w:w="9933"/>
        <w:gridCol w:w="2127"/>
      </w:tblGrid>
      <w:tr w:rsidR="007270BC" w:rsidRPr="00BC3A61" w:rsidTr="007270BC">
        <w:trPr>
          <w:divId w:val="1922986418"/>
          <w:trHeight w:val="300"/>
        </w:trPr>
        <w:tc>
          <w:tcPr>
            <w:tcW w:w="12900" w:type="dxa"/>
            <w:gridSpan w:val="3"/>
            <w:vMerge w:val="restart"/>
            <w:tcBorders>
              <w:top w:val="nil"/>
              <w:left w:val="nil"/>
              <w:bottom w:val="single" w:sz="8" w:space="0" w:color="000000"/>
              <w:right w:val="nil"/>
            </w:tcBorders>
            <w:shd w:val="clear" w:color="auto" w:fill="auto"/>
            <w:vAlign w:val="center"/>
            <w:hideMark/>
          </w:tcPr>
          <w:p w:rsidR="007270BC" w:rsidRPr="00BC3A61" w:rsidRDefault="007270BC" w:rsidP="007270BC">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lastRenderedPageBreak/>
              <w:t>V) CONCILIACIÓN ENTRE LOS INGRESOS PRESUPUESTARIOS Y CONTABLES, ASI COMO ENTRE LOS EGRESOS PRESUPUESTARIOS Y GASTOS CONTABLES.</w:t>
            </w:r>
          </w:p>
        </w:tc>
      </w:tr>
      <w:tr w:rsidR="007270BC" w:rsidRPr="00BC3A61" w:rsidTr="007270BC">
        <w:trPr>
          <w:divId w:val="1922986418"/>
          <w:trHeight w:val="315"/>
        </w:trPr>
        <w:tc>
          <w:tcPr>
            <w:tcW w:w="12900" w:type="dxa"/>
            <w:gridSpan w:val="3"/>
            <w:vMerge/>
            <w:tcBorders>
              <w:top w:val="nil"/>
              <w:left w:val="nil"/>
              <w:bottom w:val="single" w:sz="8" w:space="0" w:color="000000"/>
              <w:right w:val="nil"/>
            </w:tcBorders>
            <w:vAlign w:val="center"/>
            <w:hideMark/>
          </w:tcPr>
          <w:p w:rsidR="007270BC" w:rsidRPr="00BC3A61" w:rsidRDefault="007270BC" w:rsidP="007270BC">
            <w:pPr>
              <w:spacing w:after="0" w:line="240" w:lineRule="auto"/>
              <w:rPr>
                <w:rFonts w:ascii="Lato" w:eastAsia="Times New Roman" w:hAnsi="Lato" w:cs="Calibri"/>
                <w:b/>
                <w:bCs/>
                <w:color w:val="000000"/>
                <w:sz w:val="20"/>
                <w:szCs w:val="20"/>
              </w:rPr>
            </w:pPr>
          </w:p>
        </w:tc>
      </w:tr>
      <w:tr w:rsidR="007270BC" w:rsidRPr="00BC3A61" w:rsidTr="007270BC">
        <w:trPr>
          <w:divId w:val="1922986418"/>
          <w:trHeight w:val="435"/>
        </w:trPr>
        <w:tc>
          <w:tcPr>
            <w:tcW w:w="12900" w:type="dxa"/>
            <w:gridSpan w:val="3"/>
            <w:tcBorders>
              <w:top w:val="single" w:sz="8" w:space="0" w:color="auto"/>
              <w:left w:val="single" w:sz="8" w:space="0" w:color="auto"/>
              <w:bottom w:val="nil"/>
              <w:right w:val="single" w:sz="8" w:space="0" w:color="000000"/>
            </w:tcBorders>
            <w:shd w:val="clear" w:color="auto" w:fill="auto"/>
            <w:vAlign w:val="center"/>
            <w:hideMark/>
          </w:tcPr>
          <w:p w:rsidR="007270BC" w:rsidRPr="00BC3A61" w:rsidRDefault="007270BC" w:rsidP="007270B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ENTE PUBLICO: PODER EJECUTIVO</w:t>
            </w:r>
          </w:p>
        </w:tc>
      </w:tr>
      <w:tr w:rsidR="007270BC" w:rsidRPr="00BC3A61" w:rsidTr="007270BC">
        <w:trPr>
          <w:divId w:val="1922986418"/>
          <w:trHeight w:val="435"/>
        </w:trPr>
        <w:tc>
          <w:tcPr>
            <w:tcW w:w="12900" w:type="dxa"/>
            <w:gridSpan w:val="3"/>
            <w:tcBorders>
              <w:top w:val="nil"/>
              <w:left w:val="single" w:sz="8" w:space="0" w:color="auto"/>
              <w:bottom w:val="nil"/>
              <w:right w:val="single" w:sz="8" w:space="0" w:color="000000"/>
            </w:tcBorders>
            <w:shd w:val="clear" w:color="auto" w:fill="auto"/>
            <w:vAlign w:val="center"/>
            <w:hideMark/>
          </w:tcPr>
          <w:p w:rsidR="007270BC" w:rsidRPr="00BC3A61" w:rsidRDefault="007270BC" w:rsidP="007270B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Conciliación entre los Ingresos Presupuestarios y Contables.</w:t>
            </w:r>
          </w:p>
        </w:tc>
      </w:tr>
      <w:tr w:rsidR="007270BC" w:rsidRPr="00BC3A61" w:rsidTr="007270BC">
        <w:trPr>
          <w:divId w:val="1922986418"/>
          <w:trHeight w:val="435"/>
        </w:trPr>
        <w:tc>
          <w:tcPr>
            <w:tcW w:w="12900" w:type="dxa"/>
            <w:gridSpan w:val="3"/>
            <w:tcBorders>
              <w:top w:val="nil"/>
              <w:left w:val="single" w:sz="8" w:space="0" w:color="auto"/>
              <w:bottom w:val="nil"/>
              <w:right w:val="single" w:sz="8" w:space="0" w:color="000000"/>
            </w:tcBorders>
            <w:shd w:val="clear" w:color="auto" w:fill="auto"/>
            <w:vAlign w:val="center"/>
            <w:hideMark/>
          </w:tcPr>
          <w:p w:rsidR="007270BC" w:rsidRPr="00BC3A61" w:rsidRDefault="007270BC" w:rsidP="007270B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DEL 1o DE ENERO AL 30 DE SEPTIEMBRE DE 2026</w:t>
            </w:r>
          </w:p>
        </w:tc>
      </w:tr>
      <w:tr w:rsidR="007270BC" w:rsidRPr="00BC3A61" w:rsidTr="007270BC">
        <w:trPr>
          <w:divId w:val="1922986418"/>
          <w:trHeight w:val="465"/>
        </w:trPr>
        <w:tc>
          <w:tcPr>
            <w:tcW w:w="12900" w:type="dxa"/>
            <w:gridSpan w:val="3"/>
            <w:tcBorders>
              <w:top w:val="nil"/>
              <w:left w:val="single" w:sz="8" w:space="0" w:color="auto"/>
              <w:bottom w:val="single" w:sz="8" w:space="0" w:color="auto"/>
              <w:right w:val="single" w:sz="8" w:space="0" w:color="000000"/>
            </w:tcBorders>
            <w:shd w:val="clear" w:color="auto" w:fill="auto"/>
            <w:vAlign w:val="center"/>
            <w:hideMark/>
          </w:tcPr>
          <w:p w:rsidR="007270BC" w:rsidRPr="00BC3A61" w:rsidRDefault="007270BC" w:rsidP="007270B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(Cifras en pesos)</w:t>
            </w:r>
          </w:p>
        </w:tc>
      </w:tr>
      <w:tr w:rsidR="007270BC" w:rsidRPr="00BC3A61" w:rsidTr="007270BC">
        <w:trPr>
          <w:divId w:val="1922986418"/>
          <w:trHeight w:val="315"/>
        </w:trPr>
        <w:tc>
          <w:tcPr>
            <w:tcW w:w="840" w:type="dxa"/>
            <w:tcBorders>
              <w:top w:val="nil"/>
              <w:left w:val="nil"/>
              <w:bottom w:val="nil"/>
              <w:right w:val="nil"/>
            </w:tcBorders>
            <w:shd w:val="clear" w:color="auto" w:fill="auto"/>
            <w:noWrap/>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   </w:t>
            </w:r>
          </w:p>
        </w:tc>
        <w:tc>
          <w:tcPr>
            <w:tcW w:w="9933"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Calibri"/>
                <w:color w:val="000000"/>
                <w:sz w:val="20"/>
                <w:szCs w:val="20"/>
              </w:rPr>
            </w:pPr>
          </w:p>
        </w:tc>
        <w:tc>
          <w:tcPr>
            <w:tcW w:w="2127"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Times New Roman"/>
                <w:sz w:val="20"/>
                <w:szCs w:val="20"/>
              </w:rPr>
            </w:pPr>
          </w:p>
        </w:tc>
      </w:tr>
      <w:tr w:rsidR="007270BC" w:rsidRPr="00BC3A61" w:rsidTr="007270BC">
        <w:trPr>
          <w:divId w:val="1922986418"/>
          <w:trHeight w:val="315"/>
        </w:trPr>
        <w:tc>
          <w:tcPr>
            <w:tcW w:w="8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 </w:t>
            </w:r>
          </w:p>
        </w:tc>
        <w:tc>
          <w:tcPr>
            <w:tcW w:w="9933" w:type="dxa"/>
            <w:tcBorders>
              <w:top w:val="single" w:sz="8" w:space="0" w:color="000000"/>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Concepto</w:t>
            </w:r>
          </w:p>
        </w:tc>
        <w:tc>
          <w:tcPr>
            <w:tcW w:w="2127" w:type="dxa"/>
            <w:tcBorders>
              <w:top w:val="single" w:sz="8" w:space="0" w:color="000000"/>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2026</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1</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Total de Ingresos Presupuestarios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$44,637,732,795.26</w:t>
            </w:r>
          </w:p>
        </w:tc>
      </w:tr>
      <w:tr w:rsidR="007270BC" w:rsidRPr="00BC3A61" w:rsidTr="007270BC">
        <w:trPr>
          <w:divId w:val="1922986418"/>
          <w:trHeight w:val="315"/>
        </w:trPr>
        <w:tc>
          <w:tcPr>
            <w:tcW w:w="840" w:type="dxa"/>
            <w:tcBorders>
              <w:top w:val="nil"/>
              <w:left w:val="nil"/>
              <w:bottom w:val="nil"/>
              <w:right w:val="nil"/>
            </w:tcBorders>
            <w:shd w:val="clear" w:color="auto" w:fill="auto"/>
            <w:noWrap/>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   </w:t>
            </w:r>
          </w:p>
        </w:tc>
        <w:tc>
          <w:tcPr>
            <w:tcW w:w="9933"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Calibri"/>
                <w:color w:val="000000"/>
                <w:sz w:val="20"/>
                <w:szCs w:val="20"/>
              </w:rPr>
            </w:pPr>
          </w:p>
        </w:tc>
        <w:tc>
          <w:tcPr>
            <w:tcW w:w="2127"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Times New Roman"/>
                <w:sz w:val="20"/>
                <w:szCs w:val="20"/>
              </w:rPr>
            </w:pPr>
          </w:p>
        </w:tc>
      </w:tr>
      <w:tr w:rsidR="007270BC" w:rsidRPr="00BC3A61" w:rsidTr="007270BC">
        <w:trPr>
          <w:divId w:val="1922986418"/>
          <w:trHeight w:val="315"/>
        </w:trPr>
        <w:tc>
          <w:tcPr>
            <w:tcW w:w="8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2</w:t>
            </w:r>
          </w:p>
        </w:tc>
        <w:tc>
          <w:tcPr>
            <w:tcW w:w="9933" w:type="dxa"/>
            <w:tcBorders>
              <w:top w:val="single" w:sz="8" w:space="0" w:color="000000"/>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Más Ingresos contables No presupuestarios</w:t>
            </w:r>
          </w:p>
        </w:tc>
        <w:tc>
          <w:tcPr>
            <w:tcW w:w="2127" w:type="dxa"/>
            <w:tcBorders>
              <w:top w:val="single" w:sz="8" w:space="0" w:color="000000"/>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2.1</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Ingresos Financieros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2.2</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Incremento Por Variación De Inventarios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55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2.3</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Disminución Del Exceso De Estimaciones Por Pérdida O Deterioro U Obsolescencia</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2.4</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Disminución Del Exceso De Provisiones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2.5</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Otros Ingresos Y Beneficios Varios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2.6</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Otros Ingresos Contables No Presupuestarios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nil"/>
              <w:bottom w:val="nil"/>
              <w:right w:val="nil"/>
            </w:tcBorders>
            <w:shd w:val="clear" w:color="auto" w:fill="auto"/>
            <w:noWrap/>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   </w:t>
            </w:r>
          </w:p>
        </w:tc>
        <w:tc>
          <w:tcPr>
            <w:tcW w:w="9933"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Calibri"/>
                <w:color w:val="000000"/>
                <w:sz w:val="20"/>
                <w:szCs w:val="20"/>
              </w:rPr>
            </w:pPr>
          </w:p>
        </w:tc>
        <w:tc>
          <w:tcPr>
            <w:tcW w:w="2127"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Times New Roman"/>
                <w:sz w:val="20"/>
                <w:szCs w:val="20"/>
              </w:rPr>
            </w:pPr>
          </w:p>
        </w:tc>
      </w:tr>
      <w:tr w:rsidR="007270BC" w:rsidRPr="00BC3A61" w:rsidTr="007270BC">
        <w:trPr>
          <w:divId w:val="1922986418"/>
          <w:trHeight w:val="315"/>
        </w:trPr>
        <w:tc>
          <w:tcPr>
            <w:tcW w:w="8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3</w:t>
            </w:r>
          </w:p>
        </w:tc>
        <w:tc>
          <w:tcPr>
            <w:tcW w:w="9933" w:type="dxa"/>
            <w:tcBorders>
              <w:top w:val="single" w:sz="8" w:space="0" w:color="000000"/>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Menos Ingresos presupuestarios No contables</w:t>
            </w:r>
          </w:p>
        </w:tc>
        <w:tc>
          <w:tcPr>
            <w:tcW w:w="2127" w:type="dxa"/>
            <w:tcBorders>
              <w:top w:val="single" w:sz="8" w:space="0" w:color="000000"/>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$1,350,000.00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3.1</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Aprovechamientos Patrimoniales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$1,350,000.00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3.2</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Ingresos Derivados de Financiamientos.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3.3</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Otros ingresos presupuestarios No Contables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nil"/>
              <w:bottom w:val="nil"/>
              <w:right w:val="nil"/>
            </w:tcBorders>
            <w:shd w:val="clear" w:color="auto" w:fill="auto"/>
            <w:noWrap/>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   </w:t>
            </w:r>
          </w:p>
        </w:tc>
        <w:tc>
          <w:tcPr>
            <w:tcW w:w="9933"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Calibri"/>
                <w:color w:val="000000"/>
                <w:sz w:val="20"/>
                <w:szCs w:val="20"/>
              </w:rPr>
            </w:pPr>
          </w:p>
        </w:tc>
        <w:tc>
          <w:tcPr>
            <w:tcW w:w="2127"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Times New Roman"/>
                <w:sz w:val="20"/>
                <w:szCs w:val="20"/>
              </w:rPr>
            </w:pPr>
          </w:p>
        </w:tc>
      </w:tr>
      <w:tr w:rsidR="007270BC" w:rsidRPr="00BC3A61" w:rsidTr="007270BC">
        <w:trPr>
          <w:divId w:val="1922986418"/>
          <w:trHeight w:val="315"/>
        </w:trPr>
        <w:tc>
          <w:tcPr>
            <w:tcW w:w="8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4</w:t>
            </w:r>
          </w:p>
        </w:tc>
        <w:tc>
          <w:tcPr>
            <w:tcW w:w="9933" w:type="dxa"/>
            <w:tcBorders>
              <w:top w:val="single" w:sz="8" w:space="0" w:color="000000"/>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Total de Ingresos Contables</w:t>
            </w:r>
          </w:p>
        </w:tc>
        <w:tc>
          <w:tcPr>
            <w:tcW w:w="2127" w:type="dxa"/>
            <w:tcBorders>
              <w:top w:val="single" w:sz="8" w:space="0" w:color="000000"/>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$44,636,382,795.26</w:t>
            </w:r>
          </w:p>
        </w:tc>
      </w:tr>
      <w:tr w:rsidR="007270BC" w:rsidRPr="00BC3A61" w:rsidTr="007270BC">
        <w:trPr>
          <w:divId w:val="1922986418"/>
          <w:trHeight w:val="300"/>
        </w:trPr>
        <w:tc>
          <w:tcPr>
            <w:tcW w:w="840" w:type="dxa"/>
            <w:tcBorders>
              <w:top w:val="nil"/>
              <w:left w:val="nil"/>
              <w:bottom w:val="nil"/>
              <w:right w:val="nil"/>
            </w:tcBorders>
            <w:shd w:val="clear" w:color="auto" w:fill="auto"/>
            <w:noWrap/>
            <w:vAlign w:val="center"/>
            <w:hideMark/>
          </w:tcPr>
          <w:p w:rsidR="007270BC" w:rsidRPr="00BC3A61" w:rsidRDefault="007270BC" w:rsidP="007270BC">
            <w:pPr>
              <w:spacing w:after="0" w:line="240" w:lineRule="auto"/>
              <w:jc w:val="right"/>
              <w:rPr>
                <w:rFonts w:ascii="Lato" w:eastAsia="Times New Roman" w:hAnsi="Lato" w:cs="Calibri"/>
                <w:b/>
                <w:bCs/>
                <w:color w:val="000000"/>
                <w:sz w:val="20"/>
                <w:szCs w:val="20"/>
              </w:rPr>
            </w:pPr>
          </w:p>
        </w:tc>
        <w:tc>
          <w:tcPr>
            <w:tcW w:w="9933"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Times New Roman"/>
                <w:sz w:val="20"/>
                <w:szCs w:val="20"/>
              </w:rPr>
            </w:pPr>
          </w:p>
        </w:tc>
        <w:tc>
          <w:tcPr>
            <w:tcW w:w="2127"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Times New Roman"/>
                <w:sz w:val="20"/>
                <w:szCs w:val="20"/>
              </w:rPr>
            </w:pPr>
          </w:p>
        </w:tc>
      </w:tr>
      <w:tr w:rsidR="007270BC" w:rsidRPr="00BC3A61" w:rsidTr="007270BC">
        <w:trPr>
          <w:divId w:val="1922986418"/>
          <w:trHeight w:val="315"/>
        </w:trPr>
        <w:tc>
          <w:tcPr>
            <w:tcW w:w="840" w:type="dxa"/>
            <w:tcBorders>
              <w:top w:val="nil"/>
              <w:left w:val="nil"/>
              <w:bottom w:val="nil"/>
              <w:right w:val="nil"/>
            </w:tcBorders>
            <w:shd w:val="clear" w:color="auto" w:fill="auto"/>
            <w:noWrap/>
            <w:vAlign w:val="center"/>
            <w:hideMark/>
          </w:tcPr>
          <w:p w:rsidR="007270BC" w:rsidRPr="00BC3A61" w:rsidRDefault="007270BC" w:rsidP="007270BC">
            <w:pPr>
              <w:spacing w:after="0" w:line="240" w:lineRule="auto"/>
              <w:rPr>
                <w:rFonts w:ascii="Lato" w:eastAsia="Times New Roman" w:hAnsi="Lato" w:cs="Times New Roman"/>
                <w:sz w:val="20"/>
                <w:szCs w:val="20"/>
              </w:rPr>
            </w:pPr>
          </w:p>
        </w:tc>
        <w:tc>
          <w:tcPr>
            <w:tcW w:w="9933"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Times New Roman"/>
                <w:sz w:val="20"/>
                <w:szCs w:val="20"/>
              </w:rPr>
            </w:pPr>
          </w:p>
        </w:tc>
        <w:tc>
          <w:tcPr>
            <w:tcW w:w="2127"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Times New Roman"/>
                <w:sz w:val="20"/>
                <w:szCs w:val="20"/>
              </w:rPr>
            </w:pPr>
          </w:p>
        </w:tc>
      </w:tr>
      <w:tr w:rsidR="007270BC" w:rsidRPr="00BC3A61" w:rsidTr="007270BC">
        <w:trPr>
          <w:divId w:val="1922986418"/>
          <w:trHeight w:val="435"/>
        </w:trPr>
        <w:tc>
          <w:tcPr>
            <w:tcW w:w="12900" w:type="dxa"/>
            <w:gridSpan w:val="3"/>
            <w:tcBorders>
              <w:top w:val="single" w:sz="8" w:space="0" w:color="auto"/>
              <w:left w:val="single" w:sz="8" w:space="0" w:color="auto"/>
              <w:bottom w:val="nil"/>
              <w:right w:val="single" w:sz="8" w:space="0" w:color="000000"/>
            </w:tcBorders>
            <w:shd w:val="clear" w:color="auto" w:fill="auto"/>
            <w:vAlign w:val="center"/>
            <w:hideMark/>
          </w:tcPr>
          <w:p w:rsidR="007270BC" w:rsidRPr="00BC3A61" w:rsidRDefault="007270BC" w:rsidP="007270B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ENTE PUBLICO: PODER EJECUTIVO</w:t>
            </w:r>
          </w:p>
        </w:tc>
      </w:tr>
      <w:tr w:rsidR="007270BC" w:rsidRPr="00BC3A61" w:rsidTr="007270BC">
        <w:trPr>
          <w:divId w:val="1922986418"/>
          <w:trHeight w:val="435"/>
        </w:trPr>
        <w:tc>
          <w:tcPr>
            <w:tcW w:w="12900" w:type="dxa"/>
            <w:gridSpan w:val="3"/>
            <w:tcBorders>
              <w:top w:val="nil"/>
              <w:left w:val="single" w:sz="8" w:space="0" w:color="auto"/>
              <w:bottom w:val="nil"/>
              <w:right w:val="single" w:sz="8" w:space="0" w:color="000000"/>
            </w:tcBorders>
            <w:shd w:val="clear" w:color="auto" w:fill="auto"/>
            <w:vAlign w:val="center"/>
            <w:hideMark/>
          </w:tcPr>
          <w:p w:rsidR="007270BC" w:rsidRPr="00BC3A61" w:rsidRDefault="007270BC" w:rsidP="007270B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Conciliación entre los Egresos Presupuestarios y Contables.</w:t>
            </w:r>
          </w:p>
        </w:tc>
      </w:tr>
      <w:tr w:rsidR="007270BC" w:rsidRPr="00BC3A61" w:rsidTr="007270BC">
        <w:trPr>
          <w:divId w:val="1922986418"/>
          <w:trHeight w:val="435"/>
        </w:trPr>
        <w:tc>
          <w:tcPr>
            <w:tcW w:w="12900" w:type="dxa"/>
            <w:gridSpan w:val="3"/>
            <w:tcBorders>
              <w:top w:val="nil"/>
              <w:left w:val="single" w:sz="8" w:space="0" w:color="auto"/>
              <w:bottom w:val="nil"/>
              <w:right w:val="single" w:sz="8" w:space="0" w:color="000000"/>
            </w:tcBorders>
            <w:shd w:val="clear" w:color="auto" w:fill="auto"/>
            <w:vAlign w:val="center"/>
            <w:hideMark/>
          </w:tcPr>
          <w:p w:rsidR="007270BC" w:rsidRPr="00BC3A61" w:rsidRDefault="007270BC" w:rsidP="007270B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DEL 1o DE ENERO AL 30 DE SEPTIEMBRE DE 2026</w:t>
            </w:r>
          </w:p>
        </w:tc>
      </w:tr>
      <w:tr w:rsidR="007270BC" w:rsidRPr="00BC3A61" w:rsidTr="007270BC">
        <w:trPr>
          <w:divId w:val="1922986418"/>
          <w:trHeight w:val="435"/>
        </w:trPr>
        <w:tc>
          <w:tcPr>
            <w:tcW w:w="12900" w:type="dxa"/>
            <w:gridSpan w:val="3"/>
            <w:tcBorders>
              <w:top w:val="nil"/>
              <w:left w:val="single" w:sz="8" w:space="0" w:color="auto"/>
              <w:bottom w:val="single" w:sz="8" w:space="0" w:color="auto"/>
              <w:right w:val="single" w:sz="8" w:space="0" w:color="000000"/>
            </w:tcBorders>
            <w:shd w:val="clear" w:color="auto" w:fill="auto"/>
            <w:vAlign w:val="center"/>
            <w:hideMark/>
          </w:tcPr>
          <w:p w:rsidR="007270BC" w:rsidRPr="00BC3A61" w:rsidRDefault="007270BC" w:rsidP="007270B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(Cifras en pesos)</w:t>
            </w:r>
          </w:p>
        </w:tc>
      </w:tr>
      <w:tr w:rsidR="007270BC" w:rsidRPr="00BC3A61" w:rsidTr="007270BC">
        <w:trPr>
          <w:divId w:val="1922986418"/>
          <w:trHeight w:val="315"/>
        </w:trPr>
        <w:tc>
          <w:tcPr>
            <w:tcW w:w="840" w:type="dxa"/>
            <w:tcBorders>
              <w:top w:val="nil"/>
              <w:left w:val="nil"/>
              <w:bottom w:val="nil"/>
              <w:right w:val="nil"/>
            </w:tcBorders>
            <w:shd w:val="clear" w:color="auto" w:fill="auto"/>
            <w:noWrap/>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   </w:t>
            </w:r>
          </w:p>
        </w:tc>
        <w:tc>
          <w:tcPr>
            <w:tcW w:w="9933"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Calibri"/>
                <w:color w:val="000000"/>
                <w:sz w:val="20"/>
                <w:szCs w:val="20"/>
              </w:rPr>
            </w:pPr>
          </w:p>
        </w:tc>
        <w:tc>
          <w:tcPr>
            <w:tcW w:w="2127"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Times New Roman"/>
                <w:sz w:val="20"/>
                <w:szCs w:val="20"/>
              </w:rPr>
            </w:pPr>
          </w:p>
        </w:tc>
      </w:tr>
      <w:tr w:rsidR="007270BC" w:rsidRPr="00BC3A61" w:rsidTr="007270BC">
        <w:trPr>
          <w:divId w:val="1922986418"/>
          <w:trHeight w:val="315"/>
        </w:trPr>
        <w:tc>
          <w:tcPr>
            <w:tcW w:w="8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 </w:t>
            </w:r>
          </w:p>
        </w:tc>
        <w:tc>
          <w:tcPr>
            <w:tcW w:w="9933" w:type="dxa"/>
            <w:tcBorders>
              <w:top w:val="single" w:sz="8" w:space="0" w:color="000000"/>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Concepto</w:t>
            </w:r>
          </w:p>
        </w:tc>
        <w:tc>
          <w:tcPr>
            <w:tcW w:w="2127" w:type="dxa"/>
            <w:tcBorders>
              <w:top w:val="single" w:sz="8" w:space="0" w:color="000000"/>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center"/>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2026</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1</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Total de egresos presupuestarios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$43,204,074,748.49</w:t>
            </w:r>
          </w:p>
        </w:tc>
      </w:tr>
      <w:tr w:rsidR="007270BC" w:rsidRPr="00BC3A61" w:rsidTr="007270BC">
        <w:trPr>
          <w:divId w:val="1922986418"/>
          <w:trHeight w:val="315"/>
        </w:trPr>
        <w:tc>
          <w:tcPr>
            <w:tcW w:w="840" w:type="dxa"/>
            <w:tcBorders>
              <w:top w:val="nil"/>
              <w:left w:val="nil"/>
              <w:bottom w:val="nil"/>
              <w:right w:val="nil"/>
            </w:tcBorders>
            <w:shd w:val="clear" w:color="auto" w:fill="auto"/>
            <w:noWrap/>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   </w:t>
            </w:r>
          </w:p>
        </w:tc>
        <w:tc>
          <w:tcPr>
            <w:tcW w:w="9933"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Calibri"/>
                <w:color w:val="000000"/>
                <w:sz w:val="20"/>
                <w:szCs w:val="20"/>
              </w:rPr>
            </w:pPr>
          </w:p>
        </w:tc>
        <w:tc>
          <w:tcPr>
            <w:tcW w:w="2127"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Times New Roman"/>
                <w:sz w:val="20"/>
                <w:szCs w:val="20"/>
              </w:rPr>
            </w:pPr>
          </w:p>
        </w:tc>
      </w:tr>
      <w:tr w:rsidR="007270BC" w:rsidRPr="00BC3A61" w:rsidTr="007270BC">
        <w:trPr>
          <w:divId w:val="1922986418"/>
          <w:trHeight w:val="315"/>
        </w:trPr>
        <w:tc>
          <w:tcPr>
            <w:tcW w:w="8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2</w:t>
            </w:r>
          </w:p>
        </w:tc>
        <w:tc>
          <w:tcPr>
            <w:tcW w:w="9933" w:type="dxa"/>
            <w:tcBorders>
              <w:top w:val="single" w:sz="8" w:space="0" w:color="000000"/>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Menos egresos presupuestarios No contables</w:t>
            </w:r>
          </w:p>
        </w:tc>
        <w:tc>
          <w:tcPr>
            <w:tcW w:w="2127" w:type="dxa"/>
            <w:tcBorders>
              <w:top w:val="single" w:sz="8" w:space="0" w:color="000000"/>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$1,152,414,668.11</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2.1</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Materias Primas Y Materiales De Producción Y Comercialización</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$6,775.00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2.2</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Materiales Y Suministros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$894,652,212.91</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2.3</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Mobiliario Y Equipo De Administración</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$23,707,335.24</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2.4</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Mobiliario Y Equipo Educacional Y Recreativo</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$1,230,999.93</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2.5</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Equipo E Instrumental Médico Y De Laboratorio</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$352,148.12</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2.6</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Vehículos Y Equipo De Transporte</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$2,978,420.00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2.7</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Equipo De Defensa Y Seguridad</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$37,967,629.19</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2.8</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Maquinaria, Otros Equipos Y Herramientas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$7,957,982.82</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2.9</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Activos Biológicos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2.1</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Bienes Inmuebles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2.11</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Activos Intangibles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$25,687,474.75</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2.12</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Obra Pública En Bienes De Dominio Público</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2.13</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Obra Pública En Bienes Propios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$34,741,446.64</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2.14</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Acciones Y Participaciones De Capital</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$1,098,790.00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2.15</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Compra de Títulos y Valores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2.16</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Concesión De Préstamos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$19,985.00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lastRenderedPageBreak/>
              <w:t>2.17</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Inversiones en Fideicomisos, Mandatos y Otros Análogos.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2.18</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Provisiones Para Contingencias Y Otras Erogaciones Especiales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2.19</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Amortización De La Deuda Pública</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$122,013,468.51</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2.2</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Adeudos De Ejercicios Fiscales Anteriores (Adefas)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2.21</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Otros Egresos Presupuestarios No Contables.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nil"/>
              <w:bottom w:val="nil"/>
              <w:right w:val="nil"/>
            </w:tcBorders>
            <w:shd w:val="clear" w:color="auto" w:fill="auto"/>
            <w:noWrap/>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   </w:t>
            </w:r>
          </w:p>
        </w:tc>
        <w:tc>
          <w:tcPr>
            <w:tcW w:w="9933"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Calibri"/>
                <w:color w:val="000000"/>
                <w:sz w:val="20"/>
                <w:szCs w:val="20"/>
              </w:rPr>
            </w:pPr>
          </w:p>
        </w:tc>
        <w:tc>
          <w:tcPr>
            <w:tcW w:w="2127"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Times New Roman"/>
                <w:sz w:val="20"/>
                <w:szCs w:val="20"/>
              </w:rPr>
            </w:pPr>
          </w:p>
        </w:tc>
      </w:tr>
      <w:tr w:rsidR="007270BC" w:rsidRPr="00BC3A61" w:rsidTr="007270BC">
        <w:trPr>
          <w:divId w:val="1922986418"/>
          <w:trHeight w:val="315"/>
        </w:trPr>
        <w:tc>
          <w:tcPr>
            <w:tcW w:w="8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3</w:t>
            </w:r>
          </w:p>
        </w:tc>
        <w:tc>
          <w:tcPr>
            <w:tcW w:w="9933" w:type="dxa"/>
            <w:tcBorders>
              <w:top w:val="single" w:sz="8" w:space="0" w:color="000000"/>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Más Gastos Contables no Presupuestarios</w:t>
            </w:r>
          </w:p>
        </w:tc>
        <w:tc>
          <w:tcPr>
            <w:tcW w:w="2127" w:type="dxa"/>
            <w:tcBorders>
              <w:top w:val="single" w:sz="8" w:space="0" w:color="000000"/>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$1,151,829,092.31</w:t>
            </w:r>
          </w:p>
        </w:tc>
      </w:tr>
      <w:tr w:rsidR="007270BC" w:rsidRPr="00BC3A61" w:rsidTr="007270BC">
        <w:trPr>
          <w:divId w:val="1922986418"/>
          <w:trHeight w:val="55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3.1</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Estimaciones, Depreciaciones, Deterioros, Obsolescencia Y Amortizaciones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$291,159,688.07</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3.2</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Provisiones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3.3</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Disminución De Inventarios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3.4</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Otros Gastos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$11,178,512.65</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3.5</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Inversión Pública No Capitalizable</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3.6</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Materiales Y Suministros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$849,490,891.59</w:t>
            </w:r>
          </w:p>
        </w:tc>
      </w:tr>
      <w:tr w:rsidR="007270BC" w:rsidRPr="00BC3A61" w:rsidTr="007270BC">
        <w:trPr>
          <w:divId w:val="1922986418"/>
          <w:trHeight w:val="315"/>
        </w:trPr>
        <w:tc>
          <w:tcPr>
            <w:tcW w:w="840" w:type="dxa"/>
            <w:tcBorders>
              <w:top w:val="nil"/>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3.7</w:t>
            </w:r>
          </w:p>
        </w:tc>
        <w:tc>
          <w:tcPr>
            <w:tcW w:w="9933"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Otros Gastos Contables No Presupuestarios.</w:t>
            </w:r>
          </w:p>
        </w:tc>
        <w:tc>
          <w:tcPr>
            <w:tcW w:w="2127" w:type="dxa"/>
            <w:tcBorders>
              <w:top w:val="nil"/>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color w:val="000000"/>
                <w:sz w:val="20"/>
                <w:szCs w:val="20"/>
              </w:rPr>
            </w:pPr>
            <w:r w:rsidRPr="00BC3A61">
              <w:rPr>
                <w:rFonts w:ascii="Lato" w:eastAsia="Times New Roman" w:hAnsi="Lato" w:cs="Calibri"/>
                <w:color w:val="000000"/>
                <w:sz w:val="20"/>
                <w:szCs w:val="20"/>
              </w:rPr>
              <w:t>$0.00</w:t>
            </w:r>
          </w:p>
        </w:tc>
      </w:tr>
      <w:tr w:rsidR="007270BC" w:rsidRPr="00BC3A61" w:rsidTr="007270BC">
        <w:trPr>
          <w:divId w:val="1922986418"/>
          <w:trHeight w:val="315"/>
        </w:trPr>
        <w:tc>
          <w:tcPr>
            <w:tcW w:w="840" w:type="dxa"/>
            <w:tcBorders>
              <w:top w:val="nil"/>
              <w:left w:val="nil"/>
              <w:bottom w:val="nil"/>
              <w:right w:val="nil"/>
            </w:tcBorders>
            <w:shd w:val="clear" w:color="auto" w:fill="auto"/>
            <w:noWrap/>
            <w:vAlign w:val="center"/>
            <w:hideMark/>
          </w:tcPr>
          <w:p w:rsidR="007270BC" w:rsidRPr="00BC3A61" w:rsidRDefault="007270BC" w:rsidP="007270BC">
            <w:pPr>
              <w:spacing w:after="0" w:line="240" w:lineRule="auto"/>
              <w:rPr>
                <w:rFonts w:ascii="Lato" w:eastAsia="Times New Roman" w:hAnsi="Lato" w:cs="Calibri"/>
                <w:color w:val="000000"/>
                <w:sz w:val="20"/>
                <w:szCs w:val="20"/>
              </w:rPr>
            </w:pPr>
            <w:r w:rsidRPr="00BC3A61">
              <w:rPr>
                <w:rFonts w:ascii="Lato" w:eastAsia="Times New Roman" w:hAnsi="Lato" w:cs="Calibri"/>
                <w:color w:val="000000"/>
                <w:sz w:val="20"/>
                <w:szCs w:val="20"/>
              </w:rPr>
              <w:t>   </w:t>
            </w:r>
          </w:p>
        </w:tc>
        <w:tc>
          <w:tcPr>
            <w:tcW w:w="9933"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Calibri"/>
                <w:color w:val="000000"/>
                <w:sz w:val="20"/>
                <w:szCs w:val="20"/>
              </w:rPr>
            </w:pPr>
          </w:p>
        </w:tc>
        <w:tc>
          <w:tcPr>
            <w:tcW w:w="2127" w:type="dxa"/>
            <w:tcBorders>
              <w:top w:val="nil"/>
              <w:left w:val="nil"/>
              <w:bottom w:val="nil"/>
              <w:right w:val="nil"/>
            </w:tcBorders>
            <w:shd w:val="clear" w:color="auto" w:fill="auto"/>
            <w:noWrap/>
            <w:vAlign w:val="bottom"/>
            <w:hideMark/>
          </w:tcPr>
          <w:p w:rsidR="007270BC" w:rsidRPr="00BC3A61" w:rsidRDefault="007270BC" w:rsidP="007270BC">
            <w:pPr>
              <w:spacing w:after="0" w:line="240" w:lineRule="auto"/>
              <w:rPr>
                <w:rFonts w:ascii="Lato" w:eastAsia="Times New Roman" w:hAnsi="Lato" w:cs="Times New Roman"/>
                <w:sz w:val="20"/>
                <w:szCs w:val="20"/>
              </w:rPr>
            </w:pPr>
          </w:p>
        </w:tc>
      </w:tr>
      <w:tr w:rsidR="007270BC" w:rsidRPr="00BC3A61" w:rsidTr="007270BC">
        <w:trPr>
          <w:divId w:val="1922986418"/>
          <w:trHeight w:val="315"/>
        </w:trPr>
        <w:tc>
          <w:tcPr>
            <w:tcW w:w="8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4</w:t>
            </w:r>
          </w:p>
        </w:tc>
        <w:tc>
          <w:tcPr>
            <w:tcW w:w="9933" w:type="dxa"/>
            <w:tcBorders>
              <w:top w:val="single" w:sz="8" w:space="0" w:color="000000"/>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Total de Gasto Contables</w:t>
            </w:r>
          </w:p>
        </w:tc>
        <w:tc>
          <w:tcPr>
            <w:tcW w:w="2127" w:type="dxa"/>
            <w:tcBorders>
              <w:top w:val="single" w:sz="8" w:space="0" w:color="000000"/>
              <w:left w:val="nil"/>
              <w:bottom w:val="single" w:sz="8" w:space="0" w:color="000000"/>
              <w:right w:val="single" w:sz="8" w:space="0" w:color="000000"/>
            </w:tcBorders>
            <w:shd w:val="clear" w:color="auto" w:fill="auto"/>
            <w:vAlign w:val="center"/>
            <w:hideMark/>
          </w:tcPr>
          <w:p w:rsidR="007270BC" w:rsidRPr="00BC3A61" w:rsidRDefault="007270BC" w:rsidP="007270BC">
            <w:pPr>
              <w:spacing w:after="0" w:line="240" w:lineRule="auto"/>
              <w:jc w:val="right"/>
              <w:rPr>
                <w:rFonts w:ascii="Lato" w:eastAsia="Times New Roman" w:hAnsi="Lato" w:cs="Calibri"/>
                <w:b/>
                <w:bCs/>
                <w:color w:val="000000"/>
                <w:sz w:val="20"/>
                <w:szCs w:val="20"/>
              </w:rPr>
            </w:pPr>
            <w:r w:rsidRPr="00BC3A61">
              <w:rPr>
                <w:rFonts w:ascii="Lato" w:eastAsia="Times New Roman" w:hAnsi="Lato" w:cs="Calibri"/>
                <w:b/>
                <w:bCs/>
                <w:color w:val="000000"/>
                <w:sz w:val="20"/>
                <w:szCs w:val="20"/>
              </w:rPr>
              <w:t>$43,203,489,172.69</w:t>
            </w:r>
          </w:p>
        </w:tc>
      </w:tr>
    </w:tbl>
    <w:p w:rsidR="007270BC" w:rsidRPr="00BC3A61" w:rsidRDefault="007270BC">
      <w:pPr>
        <w:jc w:val="both"/>
        <w:divId w:val="1922986418"/>
        <w:rPr>
          <w:rFonts w:ascii="Lato" w:eastAsia="Times New Roman" w:hAnsi="Lato"/>
          <w:sz w:val="20"/>
          <w:szCs w:val="20"/>
        </w:rPr>
      </w:pPr>
    </w:p>
    <w:p w:rsidR="00830713" w:rsidRDefault="00196B7D" w:rsidP="00830713">
      <w:pPr>
        <w:ind w:left="360"/>
        <w:rPr>
          <w:rStyle w:val="Textoennegrita"/>
          <w:rFonts w:ascii="Lato" w:eastAsia="Times New Roman" w:hAnsi="Lato"/>
          <w:sz w:val="20"/>
          <w:szCs w:val="20"/>
        </w:rPr>
      </w:pPr>
      <w:r w:rsidRPr="00BC3A61">
        <w:rPr>
          <w:rStyle w:val="Textoennegrita"/>
          <w:rFonts w:ascii="Lato" w:eastAsia="Times New Roman" w:hAnsi="Lato"/>
          <w:sz w:val="20"/>
          <w:szCs w:val="20"/>
        </w:rPr>
        <w:t>C) NOTAS DE MEMORIA</w:t>
      </w:r>
    </w:p>
    <w:p w:rsidR="00E873CD" w:rsidRPr="00BC3A61" w:rsidRDefault="00196B7D" w:rsidP="00830713">
      <w:pPr>
        <w:ind w:left="360"/>
        <w:rPr>
          <w:rFonts w:ascii="Lato" w:eastAsia="Times New Roman" w:hAnsi="Lato"/>
          <w:sz w:val="20"/>
          <w:szCs w:val="20"/>
        </w:rPr>
      </w:pPr>
      <w:r w:rsidRPr="00BC3A61">
        <w:rPr>
          <w:rFonts w:ascii="Lato" w:eastAsia="Times New Roman" w:hAnsi="Lato"/>
          <w:sz w:val="20"/>
          <w:szCs w:val="20"/>
        </w:rPr>
        <w:t>Los saldos de las cuentas de orden contables y presupuestales se presentan a continuación:</w:t>
      </w:r>
    </w:p>
    <w:p w:rsidR="00E873CD" w:rsidRPr="00BC3A61" w:rsidRDefault="00196B7D">
      <w:pPr>
        <w:ind w:left="840"/>
        <w:rPr>
          <w:rFonts w:ascii="Lato" w:eastAsia="Times New Roman" w:hAnsi="Lato"/>
          <w:sz w:val="20"/>
          <w:szCs w:val="20"/>
        </w:rPr>
      </w:pPr>
      <w:r w:rsidRPr="00BC3A61">
        <w:rPr>
          <w:rFonts w:ascii="Lato" w:eastAsia="Times New Roman" w:hAnsi="Lato" w:cs="Times New Roman"/>
          <w:sz w:val="20"/>
          <w:szCs w:val="20"/>
        </w:rPr>
        <w:t>●</w:t>
      </w:r>
      <w:r w:rsidRPr="00BC3A61">
        <w:rPr>
          <w:rFonts w:ascii="Lato" w:eastAsia="Times New Roman" w:hAnsi="Lato"/>
          <w:sz w:val="20"/>
          <w:szCs w:val="20"/>
        </w:rPr>
        <w:t xml:space="preserve"> Cuentas contables.</w:t>
      </w:r>
    </w:p>
    <w:tbl>
      <w:tblPr>
        <w:tblW w:w="8320" w:type="dxa"/>
        <w:tblCellMar>
          <w:left w:w="70" w:type="dxa"/>
          <w:right w:w="70" w:type="dxa"/>
        </w:tblCellMar>
        <w:tblLook w:val="04A0" w:firstRow="1" w:lastRow="0" w:firstColumn="1" w:lastColumn="0" w:noHBand="0" w:noVBand="1"/>
      </w:tblPr>
      <w:tblGrid>
        <w:gridCol w:w="6460"/>
        <w:gridCol w:w="1860"/>
      </w:tblGrid>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b/>
                <w:bCs/>
                <w:color w:val="000000"/>
                <w:sz w:val="20"/>
                <w:szCs w:val="20"/>
              </w:rPr>
            </w:pPr>
            <w:r w:rsidRPr="00E84DF7">
              <w:rPr>
                <w:rFonts w:ascii="Lato" w:eastAsia="Times New Roman" w:hAnsi="Lato" w:cs="Calibri"/>
                <w:b/>
                <w:bCs/>
                <w:color w:val="000000"/>
                <w:sz w:val="20"/>
                <w:szCs w:val="20"/>
              </w:rPr>
              <w:t>CUENTAS DE ORDEN CONTABLES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b/>
                <w:bCs/>
                <w:color w:val="000000"/>
                <w:sz w:val="20"/>
                <w:szCs w:val="20"/>
              </w:rPr>
            </w:pP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b/>
                <w:bCs/>
                <w:color w:val="000000"/>
                <w:sz w:val="20"/>
                <w:szCs w:val="20"/>
              </w:rPr>
            </w:pPr>
            <w:r w:rsidRPr="00E84DF7">
              <w:rPr>
                <w:rFonts w:ascii="Lato" w:eastAsia="Times New Roman" w:hAnsi="Lato" w:cs="Calibri"/>
                <w:b/>
                <w:bCs/>
                <w:color w:val="000000"/>
                <w:sz w:val="20"/>
                <w:szCs w:val="20"/>
              </w:rPr>
              <w:t>VALORES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b/>
                <w:bCs/>
                <w:color w:val="000000"/>
                <w:sz w:val="20"/>
                <w:szCs w:val="20"/>
              </w:rPr>
            </w:pP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VALORES EN CUSTODIA</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CUSTODIA DE VALORES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74,500.00</w:t>
            </w:r>
          </w:p>
        </w:tc>
      </w:tr>
      <w:tr w:rsidR="00E84DF7" w:rsidRPr="00E84DF7" w:rsidTr="00E84DF7">
        <w:trPr>
          <w:trHeight w:val="51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INSTRUMENTOS DE CRÉDITO PRESTADOS A FORMADORES DE MERCADO</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51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lastRenderedPageBreak/>
              <w:t>PRÉSTAMO DE INSTRUMENTOS DE CRÉDITO A FORMADORES DE MERCADO Y SU GARANTÍA</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51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INSTRUMENTOS DE CRÉDITO RECIBIDOS EN GARANTÍA DE LOS FORMADORES DE MERCADO</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51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GARANTÍA DE CRÉDITOS RECIBIDOS DE LOS FORMADORES DE MERCADO</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b/>
                <w:bCs/>
                <w:color w:val="000000"/>
                <w:sz w:val="20"/>
                <w:szCs w:val="20"/>
              </w:rPr>
            </w:pPr>
            <w:r w:rsidRPr="00E84DF7">
              <w:rPr>
                <w:rFonts w:ascii="Lato" w:eastAsia="Times New Roman" w:hAnsi="Lato" w:cs="Calibri"/>
                <w:b/>
                <w:bCs/>
                <w:color w:val="000000"/>
                <w:sz w:val="20"/>
                <w:szCs w:val="20"/>
              </w:rPr>
              <w:t>EMISIÓN DE OBLIGACIONES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b/>
                <w:bCs/>
                <w:color w:val="000000"/>
                <w:sz w:val="20"/>
                <w:szCs w:val="20"/>
              </w:rPr>
            </w:pPr>
          </w:p>
        </w:tc>
      </w:tr>
      <w:tr w:rsidR="00E84DF7" w:rsidRPr="00E84DF7" w:rsidTr="00E84DF7">
        <w:trPr>
          <w:trHeight w:val="51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AUTORIZACIÓN PARA LA EMISIÓN DE BONOS, TÍTULOS Y VALORES DE LA DEUDA PÚBLICA INTERNA</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51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AUTORIZACIÓN PARA LA EMISIÓN DE BONOS, TÍTULOS Y VALORES DE LA DEUDA PÚBLICA EXTERNA</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51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EMISIONES AUTORIZADAS DE LA DEUDA PÚBLICA INTERNA Y EXTERNA</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51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SUSCRIPCIÓN DE CONTRATOS DE PRÉSTAMOS Y OTRAS OBLIGACIONES DE LA DEUDA PÚBLICA INTERNA</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51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SUSCRIPCIÓN DE CONTRATOS DE PRÉSTAMOS Y OTRAS OBLIGACIONES DE LA DEUDA PÚBLICA EXTERNA</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51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CONTRATOS DE PRÉSTAMOS Y OTRAS OBLIGACIONES DE LA DEUDA PÚBLICA INTERNA Y EXTERNA</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525,130,731.46</w:t>
            </w: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b/>
                <w:bCs/>
                <w:color w:val="000000"/>
                <w:sz w:val="20"/>
                <w:szCs w:val="20"/>
              </w:rPr>
            </w:pPr>
            <w:r w:rsidRPr="00E84DF7">
              <w:rPr>
                <w:rFonts w:ascii="Lato" w:eastAsia="Times New Roman" w:hAnsi="Lato" w:cs="Calibri"/>
                <w:b/>
                <w:bCs/>
                <w:color w:val="000000"/>
                <w:sz w:val="20"/>
                <w:szCs w:val="20"/>
              </w:rPr>
              <w:t>AVALES Y GARANTÍAS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b/>
                <w:bCs/>
                <w:color w:val="000000"/>
                <w:sz w:val="20"/>
                <w:szCs w:val="20"/>
              </w:rPr>
            </w:pP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AVALES AUTORIZADOS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AVALES FIRMADOS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FIANZAS Y GARANTÍAS RECIBIDAS POR DEUDAS A COBRAR</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FIANZAS Y GARANTÍAS RECIBIDAS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19,000.10</w:t>
            </w:r>
          </w:p>
        </w:tc>
      </w:tr>
      <w:tr w:rsidR="00E84DF7" w:rsidRPr="00E84DF7" w:rsidTr="00E84DF7">
        <w:trPr>
          <w:trHeight w:val="51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FIANZAS OTORGADAS PARA RESPALDAR OBLIGACIONES NO FISCALES DEL GOBIERNO</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51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FIANZAS OTORGADAS DEL GOBIERNO PARA RESPALDAR OBLIGACIONES NO FISCALES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b/>
                <w:bCs/>
                <w:color w:val="000000"/>
                <w:sz w:val="20"/>
                <w:szCs w:val="20"/>
              </w:rPr>
            </w:pPr>
            <w:r w:rsidRPr="00E84DF7">
              <w:rPr>
                <w:rFonts w:ascii="Lato" w:eastAsia="Times New Roman" w:hAnsi="Lato" w:cs="Calibri"/>
                <w:b/>
                <w:bCs/>
                <w:color w:val="000000"/>
                <w:sz w:val="20"/>
                <w:szCs w:val="20"/>
              </w:rPr>
              <w:t>JUICIOS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b/>
                <w:bCs/>
                <w:color w:val="000000"/>
                <w:sz w:val="20"/>
                <w:szCs w:val="20"/>
              </w:rPr>
            </w:pP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DEMANDAS JUDICIAL EN PROCESO DE RESOLUCIÓN</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RESOLUCIÓN DE DEMANDAS EN PROCESO JUDICIAL</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51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b/>
                <w:bCs/>
                <w:color w:val="000000"/>
                <w:sz w:val="20"/>
                <w:szCs w:val="20"/>
              </w:rPr>
            </w:pPr>
            <w:r w:rsidRPr="00E84DF7">
              <w:rPr>
                <w:rFonts w:ascii="Lato" w:eastAsia="Times New Roman" w:hAnsi="Lato" w:cs="Calibri"/>
                <w:b/>
                <w:bCs/>
                <w:color w:val="000000"/>
                <w:sz w:val="20"/>
                <w:szCs w:val="20"/>
              </w:rPr>
              <w:t>INVERSIÓN MEDIANTE PROYECTOS PARA PRESTACIÓN DE SERVICIOS (PPS) Y SIMILARES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b/>
                <w:bCs/>
                <w:color w:val="000000"/>
                <w:sz w:val="20"/>
                <w:szCs w:val="20"/>
              </w:rPr>
            </w:pPr>
          </w:p>
        </w:tc>
      </w:tr>
      <w:tr w:rsidR="00E84DF7" w:rsidRPr="00E84DF7" w:rsidTr="00E84DF7">
        <w:trPr>
          <w:trHeight w:val="51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lastRenderedPageBreak/>
              <w:t>CONTRATOS PARA INVERSIÓN MEDIANTE PROYECTOS PARA PRESTACIÓN DE SERVICIOS (PPS) Y SIMILARES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51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INVERSIÓN PÚBLICA CONTRATADA MEDIANTE PROYECTOS PARA PRESTACIÓN DE SERVICIOS (PPS) Y SIMILARES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b/>
                <w:bCs/>
                <w:color w:val="000000"/>
                <w:sz w:val="20"/>
                <w:szCs w:val="20"/>
              </w:rPr>
            </w:pPr>
            <w:r w:rsidRPr="00E84DF7">
              <w:rPr>
                <w:rFonts w:ascii="Lato" w:eastAsia="Times New Roman" w:hAnsi="Lato" w:cs="Calibri"/>
                <w:b/>
                <w:bCs/>
                <w:color w:val="000000"/>
                <w:sz w:val="20"/>
                <w:szCs w:val="20"/>
              </w:rPr>
              <w:t>BIENES EN CONCESIONADOS O EN COMODATO</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b/>
                <w:bCs/>
                <w:color w:val="000000"/>
                <w:sz w:val="20"/>
                <w:szCs w:val="20"/>
              </w:rPr>
            </w:pP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BIENES BAJO CONTRATO EN CONCESIÓN</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CONTRATO DE CONCESIÓN POR BIENES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BIENES BAJO CONTRATO EN COMODATO</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CONTRATO DE COMODATO POR BIENES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51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b/>
                <w:bCs/>
                <w:color w:val="000000"/>
                <w:sz w:val="20"/>
                <w:szCs w:val="20"/>
              </w:rPr>
            </w:pPr>
            <w:r w:rsidRPr="00E84DF7">
              <w:rPr>
                <w:rFonts w:ascii="Lato" w:eastAsia="Times New Roman" w:hAnsi="Lato" w:cs="Calibri"/>
                <w:b/>
                <w:bCs/>
                <w:color w:val="000000"/>
                <w:sz w:val="20"/>
                <w:szCs w:val="20"/>
              </w:rPr>
              <w:t>BIENES ARQUEOLÓGICOS, ARTÍSTICOS E HISTÓRICOS EN CUSTODIA</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b/>
                <w:bCs/>
                <w:color w:val="000000"/>
                <w:sz w:val="20"/>
                <w:szCs w:val="20"/>
              </w:rPr>
            </w:pP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BIENES ARQUEOLÓGICOS EN CUSTODIA</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CUSTODIA DE BIENES ARQUEOLÓGICOS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BIENES ARTÍSTICOS EN CUSTODIA</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CUSTODIA DE BIENES ARTÍSTICOS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30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BIENES HISTÓRICOS EN CUSTODIA</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0</w:t>
            </w:r>
          </w:p>
        </w:tc>
      </w:tr>
      <w:tr w:rsidR="00E84DF7" w:rsidRPr="00E84DF7" w:rsidTr="00E84DF7">
        <w:trPr>
          <w:trHeight w:val="315"/>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color w:val="000000"/>
                <w:sz w:val="20"/>
                <w:szCs w:val="20"/>
              </w:rPr>
            </w:pPr>
            <w:r w:rsidRPr="00E84DF7">
              <w:rPr>
                <w:rFonts w:ascii="Lato" w:eastAsia="Times New Roman" w:hAnsi="Lato" w:cs="Calibri"/>
                <w:color w:val="000000"/>
                <w:sz w:val="20"/>
                <w:szCs w:val="20"/>
              </w:rPr>
              <w:t>CUSTODIA DE BIENES HISTÓRICOS</w:t>
            </w:r>
          </w:p>
        </w:tc>
        <w:tc>
          <w:tcPr>
            <w:tcW w:w="18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color w:val="000000"/>
                <w:sz w:val="20"/>
                <w:szCs w:val="20"/>
              </w:rPr>
            </w:pPr>
            <w:r w:rsidRPr="00E84DF7">
              <w:rPr>
                <w:rFonts w:ascii="Lato" w:eastAsia="Times New Roman" w:hAnsi="Lato" w:cs="Calibri"/>
                <w:color w:val="000000"/>
                <w:sz w:val="20"/>
                <w:szCs w:val="20"/>
              </w:rPr>
              <w:t>53</w:t>
            </w:r>
          </w:p>
        </w:tc>
      </w:tr>
      <w:tr w:rsidR="00E84DF7" w:rsidRPr="00E84DF7" w:rsidTr="00E84DF7">
        <w:trPr>
          <w:trHeight w:val="330"/>
        </w:trPr>
        <w:tc>
          <w:tcPr>
            <w:tcW w:w="6460" w:type="dxa"/>
            <w:tcBorders>
              <w:top w:val="nil"/>
              <w:left w:val="nil"/>
              <w:bottom w:val="nil"/>
              <w:right w:val="nil"/>
            </w:tcBorders>
            <w:shd w:val="clear" w:color="auto" w:fill="auto"/>
            <w:vAlign w:val="center"/>
            <w:hideMark/>
          </w:tcPr>
          <w:p w:rsidR="00E84DF7" w:rsidRPr="00E84DF7" w:rsidRDefault="00E84DF7" w:rsidP="00E84DF7">
            <w:pPr>
              <w:spacing w:after="0" w:line="240" w:lineRule="auto"/>
              <w:rPr>
                <w:rFonts w:ascii="Lato" w:eastAsia="Times New Roman" w:hAnsi="Lato" w:cs="Calibri"/>
                <w:b/>
                <w:bCs/>
                <w:color w:val="000000"/>
                <w:sz w:val="20"/>
                <w:szCs w:val="20"/>
              </w:rPr>
            </w:pPr>
            <w:r w:rsidRPr="00E84DF7">
              <w:rPr>
                <w:rFonts w:ascii="Lato" w:eastAsia="Times New Roman" w:hAnsi="Lato" w:cs="Calibri"/>
                <w:b/>
                <w:bCs/>
                <w:color w:val="000000"/>
                <w:sz w:val="20"/>
                <w:szCs w:val="20"/>
              </w:rPr>
              <w:t>TOTAL</w:t>
            </w:r>
          </w:p>
        </w:tc>
        <w:tc>
          <w:tcPr>
            <w:tcW w:w="1860" w:type="dxa"/>
            <w:tcBorders>
              <w:top w:val="single" w:sz="12" w:space="0" w:color="000000"/>
              <w:left w:val="nil"/>
              <w:bottom w:val="single" w:sz="12" w:space="0" w:color="000000"/>
              <w:right w:val="nil"/>
            </w:tcBorders>
            <w:shd w:val="clear" w:color="auto" w:fill="auto"/>
            <w:vAlign w:val="center"/>
            <w:hideMark/>
          </w:tcPr>
          <w:p w:rsidR="00E84DF7" w:rsidRPr="00E84DF7" w:rsidRDefault="00E84DF7" w:rsidP="00E84DF7">
            <w:pPr>
              <w:spacing w:after="0" w:line="240" w:lineRule="auto"/>
              <w:jc w:val="right"/>
              <w:rPr>
                <w:rFonts w:ascii="Lato" w:eastAsia="Times New Roman" w:hAnsi="Lato" w:cs="Calibri"/>
                <w:b/>
                <w:bCs/>
                <w:color w:val="000000"/>
                <w:sz w:val="20"/>
                <w:szCs w:val="20"/>
              </w:rPr>
            </w:pPr>
            <w:r w:rsidRPr="00E84DF7">
              <w:rPr>
                <w:rFonts w:ascii="Lato" w:eastAsia="Times New Roman" w:hAnsi="Lato" w:cs="Calibri"/>
                <w:b/>
                <w:bCs/>
                <w:color w:val="000000"/>
                <w:sz w:val="20"/>
                <w:szCs w:val="20"/>
              </w:rPr>
              <w:t>525,224,284.56</w:t>
            </w:r>
          </w:p>
        </w:tc>
      </w:tr>
    </w:tbl>
    <w:p w:rsidR="00E873CD" w:rsidRPr="00BC3A61" w:rsidRDefault="00196B7D">
      <w:pPr>
        <w:ind w:left="840"/>
        <w:rPr>
          <w:rFonts w:ascii="Lato" w:eastAsia="Times New Roman" w:hAnsi="Lato"/>
          <w:sz w:val="20"/>
          <w:szCs w:val="20"/>
        </w:rPr>
      </w:pPr>
      <w:r w:rsidRPr="00BC3A61">
        <w:rPr>
          <w:rFonts w:ascii="Lato" w:eastAsia="Times New Roman" w:hAnsi="Lato" w:cs="Times New Roman"/>
          <w:sz w:val="20"/>
          <w:szCs w:val="20"/>
        </w:rPr>
        <w:t>●</w:t>
      </w:r>
      <w:r w:rsidRPr="00BC3A61">
        <w:rPr>
          <w:rFonts w:ascii="Lato" w:eastAsia="Times New Roman" w:hAnsi="Lato" w:cs="Barlow"/>
          <w:sz w:val="20"/>
          <w:szCs w:val="20"/>
        </w:rPr>
        <w:t>  </w:t>
      </w:r>
      <w:r w:rsidRPr="00BC3A61">
        <w:rPr>
          <w:rFonts w:ascii="Lato" w:eastAsia="Times New Roman" w:hAnsi="Lato"/>
          <w:sz w:val="20"/>
          <w:szCs w:val="20"/>
        </w:rPr>
        <w:t xml:space="preserve"> Cuentas presupuestarias.</w:t>
      </w:r>
    </w:p>
    <w:tbl>
      <w:tblPr>
        <w:tblW w:w="3000" w:type="pct"/>
        <w:tblCellSpacing w:w="15" w:type="dxa"/>
        <w:tblCellMar>
          <w:top w:w="15" w:type="dxa"/>
          <w:left w:w="15" w:type="dxa"/>
          <w:bottom w:w="15" w:type="dxa"/>
          <w:right w:w="15" w:type="dxa"/>
        </w:tblCellMar>
        <w:tblLook w:val="04A0" w:firstRow="1" w:lastRow="0" w:firstColumn="1" w:lastColumn="0" w:noHBand="0" w:noVBand="1"/>
      </w:tblPr>
      <w:tblGrid>
        <w:gridCol w:w="5993"/>
        <w:gridCol w:w="1783"/>
      </w:tblGrid>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LEY DE INGRESOS</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LEY DE INGRESOS ESTIMADA</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66,407,949,735.00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LEY DE INGRESOS POR EJECUTAR</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21,802,216,939.74</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MODIFICACIONES A LA LEY DE INGRESOS ESTIMADA</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32,000,000.00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LEY DE INGRESOS DEVENGADA</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0.00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LEY DE INGRESOS RECAUDADA</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44,637,732,795.26</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sz w:val="20"/>
                <w:szCs w:val="20"/>
              </w:rPr>
            </w:pPr>
            <w:r w:rsidRPr="00BC3A61">
              <w:rPr>
                <w:rStyle w:val="Textoennegrita"/>
                <w:rFonts w:ascii="Lato" w:eastAsia="Times New Roman" w:hAnsi="Lato"/>
                <w:color w:val="000000"/>
                <w:sz w:val="20"/>
                <w:szCs w:val="20"/>
              </w:rPr>
              <w:t>PRESUPUESTO DE EGRESOS</w:t>
            </w:r>
          </w:p>
        </w:tc>
        <w:tc>
          <w:tcPr>
            <w:tcW w:w="0" w:type="auto"/>
            <w:vAlign w:val="center"/>
            <w:hideMark/>
          </w:tcPr>
          <w:p w:rsidR="00E873CD" w:rsidRPr="00BC3A61" w:rsidRDefault="00E873CD">
            <w:pPr>
              <w:rPr>
                <w:rFonts w:ascii="Lato" w:eastAsia="Times New Roman" w:hAnsi="Lato"/>
                <w:sz w:val="20"/>
                <w:szCs w:val="20"/>
              </w:rPr>
            </w:pP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lastRenderedPageBreak/>
              <w:t>PRESUPUESTO DE EGRESOS APROBADO</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66,379,310,677.00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MODIFICACIONES AL PRESUPUESTO DE EGRESOS APROBADO</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1,414,079,106.61</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PRESUPUESTO DE EGRESOS POR EJERCER</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23,782,806,253.09</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PRESUPUESTO DE EGRESOS COMPROMETIDO</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806,508,782.03</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PRESUPUESTO DE EGRESOS DEVENGADO</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782,912,705.74</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PRESUPUESTO DE EGRESOS EJERCIDO</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67,094,105.20</w:t>
            </w:r>
          </w:p>
        </w:tc>
      </w:tr>
      <w:tr w:rsidR="00E873CD" w:rsidRPr="00BC3A61">
        <w:trPr>
          <w:divId w:val="1922986418"/>
          <w:tblCellSpacing w:w="15" w:type="dxa"/>
        </w:trPr>
        <w:tc>
          <w:tcPr>
            <w:tcW w:w="0" w:type="auto"/>
            <w:vAlign w:val="center"/>
            <w:hideMark/>
          </w:tcPr>
          <w:p w:rsidR="00E873CD" w:rsidRPr="00BC3A61" w:rsidRDefault="00196B7D">
            <w:pPr>
              <w:rPr>
                <w:rFonts w:ascii="Lato" w:eastAsia="Times New Roman" w:hAnsi="Lato"/>
                <w:color w:val="000000"/>
                <w:sz w:val="20"/>
                <w:szCs w:val="20"/>
              </w:rPr>
            </w:pPr>
            <w:r w:rsidRPr="00BC3A61">
              <w:rPr>
                <w:rFonts w:ascii="Lato" w:eastAsia="Times New Roman" w:hAnsi="Lato"/>
                <w:color w:val="000000"/>
                <w:sz w:val="20"/>
                <w:szCs w:val="20"/>
              </w:rPr>
              <w:t>PRESUPUESTO DE EGRESOS PAGADO</w:t>
            </w:r>
          </w:p>
        </w:tc>
        <w:tc>
          <w:tcPr>
            <w:tcW w:w="0" w:type="auto"/>
            <w:vAlign w:val="center"/>
            <w:hideMark/>
          </w:tcPr>
          <w:p w:rsidR="00E873CD" w:rsidRPr="00BC3A61" w:rsidRDefault="00196B7D">
            <w:pPr>
              <w:jc w:val="right"/>
              <w:rPr>
                <w:rFonts w:ascii="Lato" w:eastAsia="Times New Roman" w:hAnsi="Lato"/>
                <w:sz w:val="20"/>
                <w:szCs w:val="20"/>
              </w:rPr>
            </w:pPr>
            <w:r w:rsidRPr="00BC3A61">
              <w:rPr>
                <w:rFonts w:ascii="Lato" w:eastAsia="Times New Roman" w:hAnsi="Lato"/>
                <w:color w:val="000000"/>
                <w:sz w:val="20"/>
                <w:szCs w:val="20"/>
              </w:rPr>
              <w:t>42,354,067,937.55</w:t>
            </w:r>
          </w:p>
        </w:tc>
      </w:tr>
    </w:tbl>
    <w:p w:rsidR="00E873CD" w:rsidRPr="00BC3A61" w:rsidRDefault="00E873CD">
      <w:pPr>
        <w:rPr>
          <w:rFonts w:ascii="Lato" w:eastAsia="Times New Roman" w:hAnsi="Lato"/>
          <w:sz w:val="20"/>
          <w:szCs w:val="20"/>
        </w:rPr>
      </w:pPr>
    </w:p>
    <w:p w:rsidR="00E873CD" w:rsidRPr="00BC3A61" w:rsidRDefault="00196B7D">
      <w:pPr>
        <w:jc w:val="both"/>
        <w:divId w:val="1922986418"/>
        <w:rPr>
          <w:rFonts w:ascii="Lato" w:eastAsia="Times New Roman" w:hAnsi="Lato"/>
          <w:sz w:val="20"/>
          <w:szCs w:val="20"/>
        </w:rPr>
      </w:pPr>
      <w:r w:rsidRPr="00BC3A61">
        <w:rPr>
          <w:rFonts w:ascii="Lato" w:eastAsia="Times New Roman" w:hAnsi="Lato"/>
          <w:sz w:val="20"/>
          <w:szCs w:val="20"/>
        </w:rPr>
        <w:t xml:space="preserve">Bajo protesta de decir verdad declaramos que los Estados Financieros y sus Notas son razonablemente correctos y </w:t>
      </w:r>
      <w:r w:rsidR="0080260A" w:rsidRPr="00BC3A61">
        <w:rPr>
          <w:rFonts w:ascii="Lato" w:eastAsia="Times New Roman" w:hAnsi="Lato"/>
          <w:sz w:val="20"/>
          <w:szCs w:val="20"/>
        </w:rPr>
        <w:t xml:space="preserve">son </w:t>
      </w:r>
      <w:r w:rsidRPr="00BC3A61">
        <w:rPr>
          <w:rFonts w:ascii="Lato" w:eastAsia="Times New Roman" w:hAnsi="Lato"/>
          <w:sz w:val="20"/>
          <w:szCs w:val="20"/>
        </w:rPr>
        <w:t>responsabilidad del emisor.</w:t>
      </w:r>
    </w:p>
    <w:p w:rsidR="00196B7D" w:rsidRPr="00BC3A61" w:rsidRDefault="00196B7D">
      <w:pPr>
        <w:rPr>
          <w:rFonts w:ascii="Lato" w:eastAsia="Times New Roman" w:hAnsi="Lato"/>
          <w:sz w:val="20"/>
          <w:szCs w:val="20"/>
        </w:rPr>
      </w:pPr>
    </w:p>
    <w:sectPr w:rsidR="00196B7D" w:rsidRPr="00BC3A61">
      <w:headerReference w:type="default" r:id="rId10"/>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EFE" w:rsidRDefault="005C3EFE" w:rsidP="001520CE">
      <w:pPr>
        <w:spacing w:after="0" w:line="240" w:lineRule="auto"/>
      </w:pPr>
      <w:r>
        <w:separator/>
      </w:r>
    </w:p>
  </w:endnote>
  <w:endnote w:type="continuationSeparator" w:id="0">
    <w:p w:rsidR="005C3EFE" w:rsidRDefault="005C3EFE" w:rsidP="00152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Barlow">
    <w:panose1 w:val="00000500000000000000"/>
    <w:charset w:val="00"/>
    <w:family w:val="auto"/>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Soberana Sans">
    <w:panose1 w:val="00000000000000000000"/>
    <w:charset w:val="00"/>
    <w:family w:val="modern"/>
    <w:notTrueType/>
    <w:pitch w:val="variable"/>
    <w:sig w:usb0="800000AF" w:usb1="4000204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EFE" w:rsidRDefault="005C3EFE" w:rsidP="001520CE">
      <w:pPr>
        <w:spacing w:after="0" w:line="240" w:lineRule="auto"/>
      </w:pPr>
      <w:r>
        <w:separator/>
      </w:r>
    </w:p>
  </w:footnote>
  <w:footnote w:type="continuationSeparator" w:id="0">
    <w:p w:rsidR="005C3EFE" w:rsidRDefault="005C3EFE" w:rsidP="001520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0CE" w:rsidRDefault="001520CE">
    <w:pPr>
      <w:pStyle w:val="Encabezado"/>
    </w:pPr>
    <w:r>
      <w:rPr>
        <w:noProof/>
      </w:rPr>
      <w:drawing>
        <wp:inline distT="0" distB="0" distL="0" distR="0" wp14:anchorId="5E2CADC7" wp14:editId="4E464244">
          <wp:extent cx="2714625" cy="552450"/>
          <wp:effectExtent l="0" t="0" r="9525" b="0"/>
          <wp:docPr id="102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4625"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44240"/>
    <w:multiLevelType w:val="hybridMultilevel"/>
    <w:tmpl w:val="C75A7D20"/>
    <w:lvl w:ilvl="0" w:tplc="080A000B">
      <w:start w:val="1"/>
      <w:numFmt w:val="bullet"/>
      <w:lvlText w:val=""/>
      <w:lvlJc w:val="left"/>
      <w:pPr>
        <w:ind w:left="1931" w:hanging="360"/>
      </w:pPr>
      <w:rPr>
        <w:rFonts w:ascii="Wingdings" w:hAnsi="Wingdings" w:hint="default"/>
        <w:color w:val="000000"/>
      </w:rPr>
    </w:lvl>
    <w:lvl w:ilvl="1" w:tplc="080A0019" w:tentative="1">
      <w:start w:val="1"/>
      <w:numFmt w:val="lowerLetter"/>
      <w:lvlText w:val="%2."/>
      <w:lvlJc w:val="left"/>
      <w:pPr>
        <w:ind w:left="2651" w:hanging="360"/>
      </w:pPr>
    </w:lvl>
    <w:lvl w:ilvl="2" w:tplc="080A001B" w:tentative="1">
      <w:start w:val="1"/>
      <w:numFmt w:val="lowerRoman"/>
      <w:lvlText w:val="%3."/>
      <w:lvlJc w:val="right"/>
      <w:pPr>
        <w:ind w:left="3371" w:hanging="180"/>
      </w:pPr>
    </w:lvl>
    <w:lvl w:ilvl="3" w:tplc="080A000F" w:tentative="1">
      <w:start w:val="1"/>
      <w:numFmt w:val="decimal"/>
      <w:lvlText w:val="%4."/>
      <w:lvlJc w:val="left"/>
      <w:pPr>
        <w:ind w:left="4091" w:hanging="360"/>
      </w:pPr>
    </w:lvl>
    <w:lvl w:ilvl="4" w:tplc="080A0019" w:tentative="1">
      <w:start w:val="1"/>
      <w:numFmt w:val="lowerLetter"/>
      <w:lvlText w:val="%5."/>
      <w:lvlJc w:val="left"/>
      <w:pPr>
        <w:ind w:left="4811" w:hanging="360"/>
      </w:pPr>
    </w:lvl>
    <w:lvl w:ilvl="5" w:tplc="080A001B" w:tentative="1">
      <w:start w:val="1"/>
      <w:numFmt w:val="lowerRoman"/>
      <w:lvlText w:val="%6."/>
      <w:lvlJc w:val="right"/>
      <w:pPr>
        <w:ind w:left="5531" w:hanging="180"/>
      </w:pPr>
    </w:lvl>
    <w:lvl w:ilvl="6" w:tplc="080A000F" w:tentative="1">
      <w:start w:val="1"/>
      <w:numFmt w:val="decimal"/>
      <w:lvlText w:val="%7."/>
      <w:lvlJc w:val="left"/>
      <w:pPr>
        <w:ind w:left="6251" w:hanging="360"/>
      </w:pPr>
    </w:lvl>
    <w:lvl w:ilvl="7" w:tplc="080A0019" w:tentative="1">
      <w:start w:val="1"/>
      <w:numFmt w:val="lowerLetter"/>
      <w:lvlText w:val="%8."/>
      <w:lvlJc w:val="left"/>
      <w:pPr>
        <w:ind w:left="6971" w:hanging="360"/>
      </w:pPr>
    </w:lvl>
    <w:lvl w:ilvl="8" w:tplc="080A001B" w:tentative="1">
      <w:start w:val="1"/>
      <w:numFmt w:val="lowerRoman"/>
      <w:lvlText w:val="%9."/>
      <w:lvlJc w:val="right"/>
      <w:pPr>
        <w:ind w:left="7691" w:hanging="180"/>
      </w:pPr>
    </w:lvl>
  </w:abstractNum>
  <w:abstractNum w:abstractNumId="1" w15:restartNumberingAfterBreak="0">
    <w:nsid w:val="043C2AEE"/>
    <w:multiLevelType w:val="hybridMultilevel"/>
    <w:tmpl w:val="4BAEDD56"/>
    <w:lvl w:ilvl="0" w:tplc="080A0001">
      <w:start w:val="1"/>
      <w:numFmt w:val="bullet"/>
      <w:lvlText w:val=""/>
      <w:lvlJc w:val="left"/>
      <w:pPr>
        <w:ind w:left="1320" w:hanging="360"/>
      </w:pPr>
      <w:rPr>
        <w:rFonts w:ascii="Symbol" w:hAnsi="Symbol" w:hint="default"/>
      </w:rPr>
    </w:lvl>
    <w:lvl w:ilvl="1" w:tplc="080A0003" w:tentative="1">
      <w:start w:val="1"/>
      <w:numFmt w:val="bullet"/>
      <w:lvlText w:val="o"/>
      <w:lvlJc w:val="left"/>
      <w:pPr>
        <w:ind w:left="2040" w:hanging="360"/>
      </w:pPr>
      <w:rPr>
        <w:rFonts w:ascii="Courier New" w:hAnsi="Courier New" w:cs="Courier New" w:hint="default"/>
      </w:rPr>
    </w:lvl>
    <w:lvl w:ilvl="2" w:tplc="080A0005" w:tentative="1">
      <w:start w:val="1"/>
      <w:numFmt w:val="bullet"/>
      <w:lvlText w:val=""/>
      <w:lvlJc w:val="left"/>
      <w:pPr>
        <w:ind w:left="2760" w:hanging="360"/>
      </w:pPr>
      <w:rPr>
        <w:rFonts w:ascii="Wingdings" w:hAnsi="Wingdings" w:hint="default"/>
      </w:rPr>
    </w:lvl>
    <w:lvl w:ilvl="3" w:tplc="080A0001" w:tentative="1">
      <w:start w:val="1"/>
      <w:numFmt w:val="bullet"/>
      <w:lvlText w:val=""/>
      <w:lvlJc w:val="left"/>
      <w:pPr>
        <w:ind w:left="3480" w:hanging="360"/>
      </w:pPr>
      <w:rPr>
        <w:rFonts w:ascii="Symbol" w:hAnsi="Symbol" w:hint="default"/>
      </w:rPr>
    </w:lvl>
    <w:lvl w:ilvl="4" w:tplc="080A0003" w:tentative="1">
      <w:start w:val="1"/>
      <w:numFmt w:val="bullet"/>
      <w:lvlText w:val="o"/>
      <w:lvlJc w:val="left"/>
      <w:pPr>
        <w:ind w:left="4200" w:hanging="360"/>
      </w:pPr>
      <w:rPr>
        <w:rFonts w:ascii="Courier New" w:hAnsi="Courier New" w:cs="Courier New" w:hint="default"/>
      </w:rPr>
    </w:lvl>
    <w:lvl w:ilvl="5" w:tplc="080A0005" w:tentative="1">
      <w:start w:val="1"/>
      <w:numFmt w:val="bullet"/>
      <w:lvlText w:val=""/>
      <w:lvlJc w:val="left"/>
      <w:pPr>
        <w:ind w:left="4920" w:hanging="360"/>
      </w:pPr>
      <w:rPr>
        <w:rFonts w:ascii="Wingdings" w:hAnsi="Wingdings" w:hint="default"/>
      </w:rPr>
    </w:lvl>
    <w:lvl w:ilvl="6" w:tplc="080A0001" w:tentative="1">
      <w:start w:val="1"/>
      <w:numFmt w:val="bullet"/>
      <w:lvlText w:val=""/>
      <w:lvlJc w:val="left"/>
      <w:pPr>
        <w:ind w:left="5640" w:hanging="360"/>
      </w:pPr>
      <w:rPr>
        <w:rFonts w:ascii="Symbol" w:hAnsi="Symbol" w:hint="default"/>
      </w:rPr>
    </w:lvl>
    <w:lvl w:ilvl="7" w:tplc="080A0003" w:tentative="1">
      <w:start w:val="1"/>
      <w:numFmt w:val="bullet"/>
      <w:lvlText w:val="o"/>
      <w:lvlJc w:val="left"/>
      <w:pPr>
        <w:ind w:left="6360" w:hanging="360"/>
      </w:pPr>
      <w:rPr>
        <w:rFonts w:ascii="Courier New" w:hAnsi="Courier New" w:cs="Courier New" w:hint="default"/>
      </w:rPr>
    </w:lvl>
    <w:lvl w:ilvl="8" w:tplc="080A0005" w:tentative="1">
      <w:start w:val="1"/>
      <w:numFmt w:val="bullet"/>
      <w:lvlText w:val=""/>
      <w:lvlJc w:val="left"/>
      <w:pPr>
        <w:ind w:left="7080" w:hanging="360"/>
      </w:pPr>
      <w:rPr>
        <w:rFonts w:ascii="Wingdings" w:hAnsi="Wingdings" w:hint="default"/>
      </w:rPr>
    </w:lvl>
  </w:abstractNum>
  <w:abstractNum w:abstractNumId="2" w15:restartNumberingAfterBreak="0">
    <w:nsid w:val="0488747A"/>
    <w:multiLevelType w:val="hybridMultilevel"/>
    <w:tmpl w:val="9288F5D0"/>
    <w:lvl w:ilvl="0" w:tplc="080A0001">
      <w:start w:val="1"/>
      <w:numFmt w:val="bullet"/>
      <w:lvlText w:val=""/>
      <w:lvlJc w:val="left"/>
      <w:pPr>
        <w:ind w:left="1320" w:hanging="360"/>
      </w:pPr>
      <w:rPr>
        <w:rFonts w:ascii="Symbol" w:hAnsi="Symbol" w:hint="default"/>
      </w:rPr>
    </w:lvl>
    <w:lvl w:ilvl="1" w:tplc="080A0003" w:tentative="1">
      <w:start w:val="1"/>
      <w:numFmt w:val="bullet"/>
      <w:lvlText w:val="o"/>
      <w:lvlJc w:val="left"/>
      <w:pPr>
        <w:ind w:left="2040" w:hanging="360"/>
      </w:pPr>
      <w:rPr>
        <w:rFonts w:ascii="Courier New" w:hAnsi="Courier New" w:cs="Courier New" w:hint="default"/>
      </w:rPr>
    </w:lvl>
    <w:lvl w:ilvl="2" w:tplc="080A0005" w:tentative="1">
      <w:start w:val="1"/>
      <w:numFmt w:val="bullet"/>
      <w:lvlText w:val=""/>
      <w:lvlJc w:val="left"/>
      <w:pPr>
        <w:ind w:left="2760" w:hanging="360"/>
      </w:pPr>
      <w:rPr>
        <w:rFonts w:ascii="Wingdings" w:hAnsi="Wingdings" w:hint="default"/>
      </w:rPr>
    </w:lvl>
    <w:lvl w:ilvl="3" w:tplc="080A0001" w:tentative="1">
      <w:start w:val="1"/>
      <w:numFmt w:val="bullet"/>
      <w:lvlText w:val=""/>
      <w:lvlJc w:val="left"/>
      <w:pPr>
        <w:ind w:left="3480" w:hanging="360"/>
      </w:pPr>
      <w:rPr>
        <w:rFonts w:ascii="Symbol" w:hAnsi="Symbol" w:hint="default"/>
      </w:rPr>
    </w:lvl>
    <w:lvl w:ilvl="4" w:tplc="080A0003" w:tentative="1">
      <w:start w:val="1"/>
      <w:numFmt w:val="bullet"/>
      <w:lvlText w:val="o"/>
      <w:lvlJc w:val="left"/>
      <w:pPr>
        <w:ind w:left="4200" w:hanging="360"/>
      </w:pPr>
      <w:rPr>
        <w:rFonts w:ascii="Courier New" w:hAnsi="Courier New" w:cs="Courier New" w:hint="default"/>
      </w:rPr>
    </w:lvl>
    <w:lvl w:ilvl="5" w:tplc="080A0005" w:tentative="1">
      <w:start w:val="1"/>
      <w:numFmt w:val="bullet"/>
      <w:lvlText w:val=""/>
      <w:lvlJc w:val="left"/>
      <w:pPr>
        <w:ind w:left="4920" w:hanging="360"/>
      </w:pPr>
      <w:rPr>
        <w:rFonts w:ascii="Wingdings" w:hAnsi="Wingdings" w:hint="default"/>
      </w:rPr>
    </w:lvl>
    <w:lvl w:ilvl="6" w:tplc="080A0001" w:tentative="1">
      <w:start w:val="1"/>
      <w:numFmt w:val="bullet"/>
      <w:lvlText w:val=""/>
      <w:lvlJc w:val="left"/>
      <w:pPr>
        <w:ind w:left="5640" w:hanging="360"/>
      </w:pPr>
      <w:rPr>
        <w:rFonts w:ascii="Symbol" w:hAnsi="Symbol" w:hint="default"/>
      </w:rPr>
    </w:lvl>
    <w:lvl w:ilvl="7" w:tplc="080A0003" w:tentative="1">
      <w:start w:val="1"/>
      <w:numFmt w:val="bullet"/>
      <w:lvlText w:val="o"/>
      <w:lvlJc w:val="left"/>
      <w:pPr>
        <w:ind w:left="6360" w:hanging="360"/>
      </w:pPr>
      <w:rPr>
        <w:rFonts w:ascii="Courier New" w:hAnsi="Courier New" w:cs="Courier New" w:hint="default"/>
      </w:rPr>
    </w:lvl>
    <w:lvl w:ilvl="8" w:tplc="080A0005" w:tentative="1">
      <w:start w:val="1"/>
      <w:numFmt w:val="bullet"/>
      <w:lvlText w:val=""/>
      <w:lvlJc w:val="left"/>
      <w:pPr>
        <w:ind w:left="7080" w:hanging="360"/>
      </w:pPr>
      <w:rPr>
        <w:rFonts w:ascii="Wingdings" w:hAnsi="Wingdings" w:hint="default"/>
      </w:rPr>
    </w:lvl>
  </w:abstractNum>
  <w:abstractNum w:abstractNumId="3" w15:restartNumberingAfterBreak="0">
    <w:nsid w:val="0EC12D96"/>
    <w:multiLevelType w:val="hybridMultilevel"/>
    <w:tmpl w:val="909051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07F0361"/>
    <w:multiLevelType w:val="hybridMultilevel"/>
    <w:tmpl w:val="AD9E09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2C00C18"/>
    <w:multiLevelType w:val="hybridMultilevel"/>
    <w:tmpl w:val="23D2B816"/>
    <w:lvl w:ilvl="0" w:tplc="38708386">
      <w:start w:val="1"/>
      <w:numFmt w:val="lowerLetter"/>
      <w:lvlText w:val="%1)"/>
      <w:lvlJc w:val="left"/>
      <w:pPr>
        <w:ind w:left="1931" w:hanging="360"/>
      </w:pPr>
      <w:rPr>
        <w:rFonts w:hint="default"/>
        <w:color w:val="000000"/>
      </w:rPr>
    </w:lvl>
    <w:lvl w:ilvl="1" w:tplc="080A0019" w:tentative="1">
      <w:start w:val="1"/>
      <w:numFmt w:val="lowerLetter"/>
      <w:lvlText w:val="%2."/>
      <w:lvlJc w:val="left"/>
      <w:pPr>
        <w:ind w:left="2651" w:hanging="360"/>
      </w:pPr>
    </w:lvl>
    <w:lvl w:ilvl="2" w:tplc="080A001B" w:tentative="1">
      <w:start w:val="1"/>
      <w:numFmt w:val="lowerRoman"/>
      <w:lvlText w:val="%3."/>
      <w:lvlJc w:val="right"/>
      <w:pPr>
        <w:ind w:left="3371" w:hanging="180"/>
      </w:pPr>
    </w:lvl>
    <w:lvl w:ilvl="3" w:tplc="080A000F" w:tentative="1">
      <w:start w:val="1"/>
      <w:numFmt w:val="decimal"/>
      <w:lvlText w:val="%4."/>
      <w:lvlJc w:val="left"/>
      <w:pPr>
        <w:ind w:left="4091" w:hanging="360"/>
      </w:pPr>
    </w:lvl>
    <w:lvl w:ilvl="4" w:tplc="080A0019" w:tentative="1">
      <w:start w:val="1"/>
      <w:numFmt w:val="lowerLetter"/>
      <w:lvlText w:val="%5."/>
      <w:lvlJc w:val="left"/>
      <w:pPr>
        <w:ind w:left="4811" w:hanging="360"/>
      </w:pPr>
    </w:lvl>
    <w:lvl w:ilvl="5" w:tplc="080A001B" w:tentative="1">
      <w:start w:val="1"/>
      <w:numFmt w:val="lowerRoman"/>
      <w:lvlText w:val="%6."/>
      <w:lvlJc w:val="right"/>
      <w:pPr>
        <w:ind w:left="5531" w:hanging="180"/>
      </w:pPr>
    </w:lvl>
    <w:lvl w:ilvl="6" w:tplc="080A000F" w:tentative="1">
      <w:start w:val="1"/>
      <w:numFmt w:val="decimal"/>
      <w:lvlText w:val="%7."/>
      <w:lvlJc w:val="left"/>
      <w:pPr>
        <w:ind w:left="6251" w:hanging="360"/>
      </w:pPr>
    </w:lvl>
    <w:lvl w:ilvl="7" w:tplc="080A0019" w:tentative="1">
      <w:start w:val="1"/>
      <w:numFmt w:val="lowerLetter"/>
      <w:lvlText w:val="%8."/>
      <w:lvlJc w:val="left"/>
      <w:pPr>
        <w:ind w:left="6971" w:hanging="360"/>
      </w:pPr>
    </w:lvl>
    <w:lvl w:ilvl="8" w:tplc="080A001B" w:tentative="1">
      <w:start w:val="1"/>
      <w:numFmt w:val="lowerRoman"/>
      <w:lvlText w:val="%9."/>
      <w:lvlJc w:val="right"/>
      <w:pPr>
        <w:ind w:left="7691" w:hanging="180"/>
      </w:pPr>
    </w:lvl>
  </w:abstractNum>
  <w:abstractNum w:abstractNumId="6" w15:restartNumberingAfterBreak="0">
    <w:nsid w:val="23202A8E"/>
    <w:multiLevelType w:val="hybridMultilevel"/>
    <w:tmpl w:val="A2C28DA6"/>
    <w:lvl w:ilvl="0" w:tplc="68CAA766">
      <w:start w:val="1"/>
      <w:numFmt w:val="lowerLetter"/>
      <w:lvlText w:val="%1)"/>
      <w:lvlJc w:val="left"/>
      <w:pPr>
        <w:ind w:left="975" w:hanging="61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F760C53"/>
    <w:multiLevelType w:val="hybridMultilevel"/>
    <w:tmpl w:val="672ED804"/>
    <w:lvl w:ilvl="0" w:tplc="59C06C76">
      <w:start w:val="1"/>
      <w:numFmt w:val="decimal"/>
      <w:lvlText w:val="%1)"/>
      <w:lvlJc w:val="left"/>
      <w:pPr>
        <w:ind w:left="2345"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38C34F8"/>
    <w:multiLevelType w:val="hybridMultilevel"/>
    <w:tmpl w:val="82C438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F67254A"/>
    <w:multiLevelType w:val="hybridMultilevel"/>
    <w:tmpl w:val="779E6C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2CF30E4"/>
    <w:multiLevelType w:val="hybridMultilevel"/>
    <w:tmpl w:val="578AE512"/>
    <w:lvl w:ilvl="0" w:tplc="080A000B">
      <w:start w:val="1"/>
      <w:numFmt w:val="bullet"/>
      <w:lvlText w:val=""/>
      <w:lvlJc w:val="left"/>
      <w:pPr>
        <w:ind w:left="765" w:hanging="360"/>
      </w:pPr>
      <w:rPr>
        <w:rFonts w:ascii="Wingdings" w:hAnsi="Wingding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1" w15:restartNumberingAfterBreak="0">
    <w:nsid w:val="46A26EE9"/>
    <w:multiLevelType w:val="hybridMultilevel"/>
    <w:tmpl w:val="6CBA79C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AEC1015"/>
    <w:multiLevelType w:val="hybridMultilevel"/>
    <w:tmpl w:val="542A6590"/>
    <w:lvl w:ilvl="0" w:tplc="E60A97F0">
      <w:start w:val="1"/>
      <w:numFmt w:val="decimal"/>
      <w:lvlText w:val="%1)"/>
      <w:lvlJc w:val="left"/>
      <w:pPr>
        <w:ind w:left="786"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AAD69E7"/>
    <w:multiLevelType w:val="hybridMultilevel"/>
    <w:tmpl w:val="2708B650"/>
    <w:lvl w:ilvl="0" w:tplc="080A0001">
      <w:start w:val="1"/>
      <w:numFmt w:val="bullet"/>
      <w:lvlText w:val=""/>
      <w:lvlJc w:val="left"/>
      <w:pPr>
        <w:ind w:left="1320" w:hanging="360"/>
      </w:pPr>
      <w:rPr>
        <w:rFonts w:ascii="Symbol" w:hAnsi="Symbol" w:hint="default"/>
      </w:rPr>
    </w:lvl>
    <w:lvl w:ilvl="1" w:tplc="080A0003" w:tentative="1">
      <w:start w:val="1"/>
      <w:numFmt w:val="bullet"/>
      <w:lvlText w:val="o"/>
      <w:lvlJc w:val="left"/>
      <w:pPr>
        <w:ind w:left="2040" w:hanging="360"/>
      </w:pPr>
      <w:rPr>
        <w:rFonts w:ascii="Courier New" w:hAnsi="Courier New" w:cs="Courier New" w:hint="default"/>
      </w:rPr>
    </w:lvl>
    <w:lvl w:ilvl="2" w:tplc="080A0005" w:tentative="1">
      <w:start w:val="1"/>
      <w:numFmt w:val="bullet"/>
      <w:lvlText w:val=""/>
      <w:lvlJc w:val="left"/>
      <w:pPr>
        <w:ind w:left="2760" w:hanging="360"/>
      </w:pPr>
      <w:rPr>
        <w:rFonts w:ascii="Wingdings" w:hAnsi="Wingdings" w:hint="default"/>
      </w:rPr>
    </w:lvl>
    <w:lvl w:ilvl="3" w:tplc="080A0001" w:tentative="1">
      <w:start w:val="1"/>
      <w:numFmt w:val="bullet"/>
      <w:lvlText w:val=""/>
      <w:lvlJc w:val="left"/>
      <w:pPr>
        <w:ind w:left="3480" w:hanging="360"/>
      </w:pPr>
      <w:rPr>
        <w:rFonts w:ascii="Symbol" w:hAnsi="Symbol" w:hint="default"/>
      </w:rPr>
    </w:lvl>
    <w:lvl w:ilvl="4" w:tplc="080A0003" w:tentative="1">
      <w:start w:val="1"/>
      <w:numFmt w:val="bullet"/>
      <w:lvlText w:val="o"/>
      <w:lvlJc w:val="left"/>
      <w:pPr>
        <w:ind w:left="4200" w:hanging="360"/>
      </w:pPr>
      <w:rPr>
        <w:rFonts w:ascii="Courier New" w:hAnsi="Courier New" w:cs="Courier New" w:hint="default"/>
      </w:rPr>
    </w:lvl>
    <w:lvl w:ilvl="5" w:tplc="080A0005" w:tentative="1">
      <w:start w:val="1"/>
      <w:numFmt w:val="bullet"/>
      <w:lvlText w:val=""/>
      <w:lvlJc w:val="left"/>
      <w:pPr>
        <w:ind w:left="4920" w:hanging="360"/>
      </w:pPr>
      <w:rPr>
        <w:rFonts w:ascii="Wingdings" w:hAnsi="Wingdings" w:hint="default"/>
      </w:rPr>
    </w:lvl>
    <w:lvl w:ilvl="6" w:tplc="080A0001" w:tentative="1">
      <w:start w:val="1"/>
      <w:numFmt w:val="bullet"/>
      <w:lvlText w:val=""/>
      <w:lvlJc w:val="left"/>
      <w:pPr>
        <w:ind w:left="5640" w:hanging="360"/>
      </w:pPr>
      <w:rPr>
        <w:rFonts w:ascii="Symbol" w:hAnsi="Symbol" w:hint="default"/>
      </w:rPr>
    </w:lvl>
    <w:lvl w:ilvl="7" w:tplc="080A0003" w:tentative="1">
      <w:start w:val="1"/>
      <w:numFmt w:val="bullet"/>
      <w:lvlText w:val="o"/>
      <w:lvlJc w:val="left"/>
      <w:pPr>
        <w:ind w:left="6360" w:hanging="360"/>
      </w:pPr>
      <w:rPr>
        <w:rFonts w:ascii="Courier New" w:hAnsi="Courier New" w:cs="Courier New" w:hint="default"/>
      </w:rPr>
    </w:lvl>
    <w:lvl w:ilvl="8" w:tplc="080A0005" w:tentative="1">
      <w:start w:val="1"/>
      <w:numFmt w:val="bullet"/>
      <w:lvlText w:val=""/>
      <w:lvlJc w:val="left"/>
      <w:pPr>
        <w:ind w:left="7080" w:hanging="360"/>
      </w:pPr>
      <w:rPr>
        <w:rFonts w:ascii="Wingdings" w:hAnsi="Wingdings" w:hint="default"/>
      </w:rPr>
    </w:lvl>
  </w:abstractNum>
  <w:abstractNum w:abstractNumId="14" w15:restartNumberingAfterBreak="0">
    <w:nsid w:val="5DA4249A"/>
    <w:multiLevelType w:val="hybridMultilevel"/>
    <w:tmpl w:val="73BC86B2"/>
    <w:lvl w:ilvl="0" w:tplc="080A0001">
      <w:start w:val="1"/>
      <w:numFmt w:val="bullet"/>
      <w:lvlText w:val=""/>
      <w:lvlJc w:val="left"/>
      <w:pPr>
        <w:ind w:left="1320" w:hanging="360"/>
      </w:pPr>
      <w:rPr>
        <w:rFonts w:ascii="Symbol" w:hAnsi="Symbol" w:hint="default"/>
      </w:rPr>
    </w:lvl>
    <w:lvl w:ilvl="1" w:tplc="080A0003" w:tentative="1">
      <w:start w:val="1"/>
      <w:numFmt w:val="bullet"/>
      <w:lvlText w:val="o"/>
      <w:lvlJc w:val="left"/>
      <w:pPr>
        <w:ind w:left="2040" w:hanging="360"/>
      </w:pPr>
      <w:rPr>
        <w:rFonts w:ascii="Courier New" w:hAnsi="Courier New" w:cs="Courier New" w:hint="default"/>
      </w:rPr>
    </w:lvl>
    <w:lvl w:ilvl="2" w:tplc="080A0005" w:tentative="1">
      <w:start w:val="1"/>
      <w:numFmt w:val="bullet"/>
      <w:lvlText w:val=""/>
      <w:lvlJc w:val="left"/>
      <w:pPr>
        <w:ind w:left="2760" w:hanging="360"/>
      </w:pPr>
      <w:rPr>
        <w:rFonts w:ascii="Wingdings" w:hAnsi="Wingdings" w:hint="default"/>
      </w:rPr>
    </w:lvl>
    <w:lvl w:ilvl="3" w:tplc="080A0001" w:tentative="1">
      <w:start w:val="1"/>
      <w:numFmt w:val="bullet"/>
      <w:lvlText w:val=""/>
      <w:lvlJc w:val="left"/>
      <w:pPr>
        <w:ind w:left="3480" w:hanging="360"/>
      </w:pPr>
      <w:rPr>
        <w:rFonts w:ascii="Symbol" w:hAnsi="Symbol" w:hint="default"/>
      </w:rPr>
    </w:lvl>
    <w:lvl w:ilvl="4" w:tplc="080A0003" w:tentative="1">
      <w:start w:val="1"/>
      <w:numFmt w:val="bullet"/>
      <w:lvlText w:val="o"/>
      <w:lvlJc w:val="left"/>
      <w:pPr>
        <w:ind w:left="4200" w:hanging="360"/>
      </w:pPr>
      <w:rPr>
        <w:rFonts w:ascii="Courier New" w:hAnsi="Courier New" w:cs="Courier New" w:hint="default"/>
      </w:rPr>
    </w:lvl>
    <w:lvl w:ilvl="5" w:tplc="080A0005" w:tentative="1">
      <w:start w:val="1"/>
      <w:numFmt w:val="bullet"/>
      <w:lvlText w:val=""/>
      <w:lvlJc w:val="left"/>
      <w:pPr>
        <w:ind w:left="4920" w:hanging="360"/>
      </w:pPr>
      <w:rPr>
        <w:rFonts w:ascii="Wingdings" w:hAnsi="Wingdings" w:hint="default"/>
      </w:rPr>
    </w:lvl>
    <w:lvl w:ilvl="6" w:tplc="080A0001" w:tentative="1">
      <w:start w:val="1"/>
      <w:numFmt w:val="bullet"/>
      <w:lvlText w:val=""/>
      <w:lvlJc w:val="left"/>
      <w:pPr>
        <w:ind w:left="5640" w:hanging="360"/>
      </w:pPr>
      <w:rPr>
        <w:rFonts w:ascii="Symbol" w:hAnsi="Symbol" w:hint="default"/>
      </w:rPr>
    </w:lvl>
    <w:lvl w:ilvl="7" w:tplc="080A0003" w:tentative="1">
      <w:start w:val="1"/>
      <w:numFmt w:val="bullet"/>
      <w:lvlText w:val="o"/>
      <w:lvlJc w:val="left"/>
      <w:pPr>
        <w:ind w:left="6360" w:hanging="360"/>
      </w:pPr>
      <w:rPr>
        <w:rFonts w:ascii="Courier New" w:hAnsi="Courier New" w:cs="Courier New" w:hint="default"/>
      </w:rPr>
    </w:lvl>
    <w:lvl w:ilvl="8" w:tplc="080A0005" w:tentative="1">
      <w:start w:val="1"/>
      <w:numFmt w:val="bullet"/>
      <w:lvlText w:val=""/>
      <w:lvlJc w:val="left"/>
      <w:pPr>
        <w:ind w:left="7080" w:hanging="360"/>
      </w:pPr>
      <w:rPr>
        <w:rFonts w:ascii="Wingdings" w:hAnsi="Wingdings" w:hint="default"/>
      </w:rPr>
    </w:lvl>
  </w:abstractNum>
  <w:abstractNum w:abstractNumId="15" w15:restartNumberingAfterBreak="0">
    <w:nsid w:val="5F1919CB"/>
    <w:multiLevelType w:val="hybridMultilevel"/>
    <w:tmpl w:val="882228BA"/>
    <w:lvl w:ilvl="0" w:tplc="080A0001">
      <w:start w:val="1"/>
      <w:numFmt w:val="bullet"/>
      <w:lvlText w:val=""/>
      <w:lvlJc w:val="left"/>
      <w:pPr>
        <w:ind w:left="1320" w:hanging="360"/>
      </w:pPr>
      <w:rPr>
        <w:rFonts w:ascii="Symbol" w:hAnsi="Symbol" w:hint="default"/>
      </w:rPr>
    </w:lvl>
    <w:lvl w:ilvl="1" w:tplc="080A0003" w:tentative="1">
      <w:start w:val="1"/>
      <w:numFmt w:val="bullet"/>
      <w:lvlText w:val="o"/>
      <w:lvlJc w:val="left"/>
      <w:pPr>
        <w:ind w:left="2040" w:hanging="360"/>
      </w:pPr>
      <w:rPr>
        <w:rFonts w:ascii="Courier New" w:hAnsi="Courier New" w:cs="Courier New" w:hint="default"/>
      </w:rPr>
    </w:lvl>
    <w:lvl w:ilvl="2" w:tplc="080A0005" w:tentative="1">
      <w:start w:val="1"/>
      <w:numFmt w:val="bullet"/>
      <w:lvlText w:val=""/>
      <w:lvlJc w:val="left"/>
      <w:pPr>
        <w:ind w:left="2760" w:hanging="360"/>
      </w:pPr>
      <w:rPr>
        <w:rFonts w:ascii="Wingdings" w:hAnsi="Wingdings" w:hint="default"/>
      </w:rPr>
    </w:lvl>
    <w:lvl w:ilvl="3" w:tplc="080A0001" w:tentative="1">
      <w:start w:val="1"/>
      <w:numFmt w:val="bullet"/>
      <w:lvlText w:val=""/>
      <w:lvlJc w:val="left"/>
      <w:pPr>
        <w:ind w:left="3480" w:hanging="360"/>
      </w:pPr>
      <w:rPr>
        <w:rFonts w:ascii="Symbol" w:hAnsi="Symbol" w:hint="default"/>
      </w:rPr>
    </w:lvl>
    <w:lvl w:ilvl="4" w:tplc="080A0003" w:tentative="1">
      <w:start w:val="1"/>
      <w:numFmt w:val="bullet"/>
      <w:lvlText w:val="o"/>
      <w:lvlJc w:val="left"/>
      <w:pPr>
        <w:ind w:left="4200" w:hanging="360"/>
      </w:pPr>
      <w:rPr>
        <w:rFonts w:ascii="Courier New" w:hAnsi="Courier New" w:cs="Courier New" w:hint="default"/>
      </w:rPr>
    </w:lvl>
    <w:lvl w:ilvl="5" w:tplc="080A0005" w:tentative="1">
      <w:start w:val="1"/>
      <w:numFmt w:val="bullet"/>
      <w:lvlText w:val=""/>
      <w:lvlJc w:val="left"/>
      <w:pPr>
        <w:ind w:left="4920" w:hanging="360"/>
      </w:pPr>
      <w:rPr>
        <w:rFonts w:ascii="Wingdings" w:hAnsi="Wingdings" w:hint="default"/>
      </w:rPr>
    </w:lvl>
    <w:lvl w:ilvl="6" w:tplc="080A0001" w:tentative="1">
      <w:start w:val="1"/>
      <w:numFmt w:val="bullet"/>
      <w:lvlText w:val=""/>
      <w:lvlJc w:val="left"/>
      <w:pPr>
        <w:ind w:left="5640" w:hanging="360"/>
      </w:pPr>
      <w:rPr>
        <w:rFonts w:ascii="Symbol" w:hAnsi="Symbol" w:hint="default"/>
      </w:rPr>
    </w:lvl>
    <w:lvl w:ilvl="7" w:tplc="080A0003" w:tentative="1">
      <w:start w:val="1"/>
      <w:numFmt w:val="bullet"/>
      <w:lvlText w:val="o"/>
      <w:lvlJc w:val="left"/>
      <w:pPr>
        <w:ind w:left="6360" w:hanging="360"/>
      </w:pPr>
      <w:rPr>
        <w:rFonts w:ascii="Courier New" w:hAnsi="Courier New" w:cs="Courier New" w:hint="default"/>
      </w:rPr>
    </w:lvl>
    <w:lvl w:ilvl="8" w:tplc="080A0005" w:tentative="1">
      <w:start w:val="1"/>
      <w:numFmt w:val="bullet"/>
      <w:lvlText w:val=""/>
      <w:lvlJc w:val="left"/>
      <w:pPr>
        <w:ind w:left="7080" w:hanging="360"/>
      </w:pPr>
      <w:rPr>
        <w:rFonts w:ascii="Wingdings" w:hAnsi="Wingdings" w:hint="default"/>
      </w:rPr>
    </w:lvl>
  </w:abstractNum>
  <w:abstractNum w:abstractNumId="16" w15:restartNumberingAfterBreak="0">
    <w:nsid w:val="647B08C9"/>
    <w:multiLevelType w:val="hybridMultilevel"/>
    <w:tmpl w:val="7F0A49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6B86E8F"/>
    <w:multiLevelType w:val="hybridMultilevel"/>
    <w:tmpl w:val="5E22CDE6"/>
    <w:lvl w:ilvl="0" w:tplc="080A000B">
      <w:start w:val="1"/>
      <w:numFmt w:val="bullet"/>
      <w:lvlText w:val=""/>
      <w:lvlJc w:val="left"/>
      <w:pPr>
        <w:ind w:left="1320" w:hanging="360"/>
      </w:pPr>
      <w:rPr>
        <w:rFonts w:ascii="Wingdings" w:hAnsi="Wingdings" w:hint="default"/>
      </w:rPr>
    </w:lvl>
    <w:lvl w:ilvl="1" w:tplc="080A0003" w:tentative="1">
      <w:start w:val="1"/>
      <w:numFmt w:val="bullet"/>
      <w:lvlText w:val="o"/>
      <w:lvlJc w:val="left"/>
      <w:pPr>
        <w:ind w:left="2040" w:hanging="360"/>
      </w:pPr>
      <w:rPr>
        <w:rFonts w:ascii="Courier New" w:hAnsi="Courier New" w:cs="Courier New" w:hint="default"/>
      </w:rPr>
    </w:lvl>
    <w:lvl w:ilvl="2" w:tplc="080A0005" w:tentative="1">
      <w:start w:val="1"/>
      <w:numFmt w:val="bullet"/>
      <w:lvlText w:val=""/>
      <w:lvlJc w:val="left"/>
      <w:pPr>
        <w:ind w:left="2760" w:hanging="360"/>
      </w:pPr>
      <w:rPr>
        <w:rFonts w:ascii="Wingdings" w:hAnsi="Wingdings" w:hint="default"/>
      </w:rPr>
    </w:lvl>
    <w:lvl w:ilvl="3" w:tplc="080A0001" w:tentative="1">
      <w:start w:val="1"/>
      <w:numFmt w:val="bullet"/>
      <w:lvlText w:val=""/>
      <w:lvlJc w:val="left"/>
      <w:pPr>
        <w:ind w:left="3480" w:hanging="360"/>
      </w:pPr>
      <w:rPr>
        <w:rFonts w:ascii="Symbol" w:hAnsi="Symbol" w:hint="default"/>
      </w:rPr>
    </w:lvl>
    <w:lvl w:ilvl="4" w:tplc="080A0003" w:tentative="1">
      <w:start w:val="1"/>
      <w:numFmt w:val="bullet"/>
      <w:lvlText w:val="o"/>
      <w:lvlJc w:val="left"/>
      <w:pPr>
        <w:ind w:left="4200" w:hanging="360"/>
      </w:pPr>
      <w:rPr>
        <w:rFonts w:ascii="Courier New" w:hAnsi="Courier New" w:cs="Courier New" w:hint="default"/>
      </w:rPr>
    </w:lvl>
    <w:lvl w:ilvl="5" w:tplc="080A0005" w:tentative="1">
      <w:start w:val="1"/>
      <w:numFmt w:val="bullet"/>
      <w:lvlText w:val=""/>
      <w:lvlJc w:val="left"/>
      <w:pPr>
        <w:ind w:left="4920" w:hanging="360"/>
      </w:pPr>
      <w:rPr>
        <w:rFonts w:ascii="Wingdings" w:hAnsi="Wingdings" w:hint="default"/>
      </w:rPr>
    </w:lvl>
    <w:lvl w:ilvl="6" w:tplc="080A0001" w:tentative="1">
      <w:start w:val="1"/>
      <w:numFmt w:val="bullet"/>
      <w:lvlText w:val=""/>
      <w:lvlJc w:val="left"/>
      <w:pPr>
        <w:ind w:left="5640" w:hanging="360"/>
      </w:pPr>
      <w:rPr>
        <w:rFonts w:ascii="Symbol" w:hAnsi="Symbol" w:hint="default"/>
      </w:rPr>
    </w:lvl>
    <w:lvl w:ilvl="7" w:tplc="080A0003" w:tentative="1">
      <w:start w:val="1"/>
      <w:numFmt w:val="bullet"/>
      <w:lvlText w:val="o"/>
      <w:lvlJc w:val="left"/>
      <w:pPr>
        <w:ind w:left="6360" w:hanging="360"/>
      </w:pPr>
      <w:rPr>
        <w:rFonts w:ascii="Courier New" w:hAnsi="Courier New" w:cs="Courier New" w:hint="default"/>
      </w:rPr>
    </w:lvl>
    <w:lvl w:ilvl="8" w:tplc="080A0005" w:tentative="1">
      <w:start w:val="1"/>
      <w:numFmt w:val="bullet"/>
      <w:lvlText w:val=""/>
      <w:lvlJc w:val="left"/>
      <w:pPr>
        <w:ind w:left="7080" w:hanging="360"/>
      </w:pPr>
      <w:rPr>
        <w:rFonts w:ascii="Wingdings" w:hAnsi="Wingdings" w:hint="default"/>
      </w:rPr>
    </w:lvl>
  </w:abstractNum>
  <w:abstractNum w:abstractNumId="18" w15:restartNumberingAfterBreak="0">
    <w:nsid w:val="6D9B29AA"/>
    <w:multiLevelType w:val="hybridMultilevel"/>
    <w:tmpl w:val="4CAE2296"/>
    <w:lvl w:ilvl="0" w:tplc="080A0001">
      <w:start w:val="1"/>
      <w:numFmt w:val="bullet"/>
      <w:lvlText w:val=""/>
      <w:lvlJc w:val="left"/>
      <w:pPr>
        <w:ind w:left="2194" w:hanging="360"/>
      </w:pPr>
      <w:rPr>
        <w:rFonts w:ascii="Symbol" w:hAnsi="Symbol" w:hint="default"/>
      </w:rPr>
    </w:lvl>
    <w:lvl w:ilvl="1" w:tplc="080A0003" w:tentative="1">
      <w:start w:val="1"/>
      <w:numFmt w:val="bullet"/>
      <w:lvlText w:val="o"/>
      <w:lvlJc w:val="left"/>
      <w:pPr>
        <w:ind w:left="2914" w:hanging="360"/>
      </w:pPr>
      <w:rPr>
        <w:rFonts w:ascii="Courier New" w:hAnsi="Courier New" w:cs="Courier New" w:hint="default"/>
      </w:rPr>
    </w:lvl>
    <w:lvl w:ilvl="2" w:tplc="080A0005" w:tentative="1">
      <w:start w:val="1"/>
      <w:numFmt w:val="bullet"/>
      <w:lvlText w:val=""/>
      <w:lvlJc w:val="left"/>
      <w:pPr>
        <w:ind w:left="3634" w:hanging="360"/>
      </w:pPr>
      <w:rPr>
        <w:rFonts w:ascii="Wingdings" w:hAnsi="Wingdings" w:hint="default"/>
      </w:rPr>
    </w:lvl>
    <w:lvl w:ilvl="3" w:tplc="080A0001" w:tentative="1">
      <w:start w:val="1"/>
      <w:numFmt w:val="bullet"/>
      <w:lvlText w:val=""/>
      <w:lvlJc w:val="left"/>
      <w:pPr>
        <w:ind w:left="4354" w:hanging="360"/>
      </w:pPr>
      <w:rPr>
        <w:rFonts w:ascii="Symbol" w:hAnsi="Symbol" w:hint="default"/>
      </w:rPr>
    </w:lvl>
    <w:lvl w:ilvl="4" w:tplc="080A0003" w:tentative="1">
      <w:start w:val="1"/>
      <w:numFmt w:val="bullet"/>
      <w:lvlText w:val="o"/>
      <w:lvlJc w:val="left"/>
      <w:pPr>
        <w:ind w:left="5074" w:hanging="360"/>
      </w:pPr>
      <w:rPr>
        <w:rFonts w:ascii="Courier New" w:hAnsi="Courier New" w:cs="Courier New" w:hint="default"/>
      </w:rPr>
    </w:lvl>
    <w:lvl w:ilvl="5" w:tplc="080A0005" w:tentative="1">
      <w:start w:val="1"/>
      <w:numFmt w:val="bullet"/>
      <w:lvlText w:val=""/>
      <w:lvlJc w:val="left"/>
      <w:pPr>
        <w:ind w:left="5794" w:hanging="360"/>
      </w:pPr>
      <w:rPr>
        <w:rFonts w:ascii="Wingdings" w:hAnsi="Wingdings" w:hint="default"/>
      </w:rPr>
    </w:lvl>
    <w:lvl w:ilvl="6" w:tplc="080A0001" w:tentative="1">
      <w:start w:val="1"/>
      <w:numFmt w:val="bullet"/>
      <w:lvlText w:val=""/>
      <w:lvlJc w:val="left"/>
      <w:pPr>
        <w:ind w:left="6514" w:hanging="360"/>
      </w:pPr>
      <w:rPr>
        <w:rFonts w:ascii="Symbol" w:hAnsi="Symbol" w:hint="default"/>
      </w:rPr>
    </w:lvl>
    <w:lvl w:ilvl="7" w:tplc="080A0003" w:tentative="1">
      <w:start w:val="1"/>
      <w:numFmt w:val="bullet"/>
      <w:lvlText w:val="o"/>
      <w:lvlJc w:val="left"/>
      <w:pPr>
        <w:ind w:left="7234" w:hanging="360"/>
      </w:pPr>
      <w:rPr>
        <w:rFonts w:ascii="Courier New" w:hAnsi="Courier New" w:cs="Courier New" w:hint="default"/>
      </w:rPr>
    </w:lvl>
    <w:lvl w:ilvl="8" w:tplc="080A0005" w:tentative="1">
      <w:start w:val="1"/>
      <w:numFmt w:val="bullet"/>
      <w:lvlText w:val=""/>
      <w:lvlJc w:val="left"/>
      <w:pPr>
        <w:ind w:left="7954" w:hanging="360"/>
      </w:pPr>
      <w:rPr>
        <w:rFonts w:ascii="Wingdings" w:hAnsi="Wingdings" w:hint="default"/>
      </w:rPr>
    </w:lvl>
  </w:abstractNum>
  <w:abstractNum w:abstractNumId="19" w15:restartNumberingAfterBreak="0">
    <w:nsid w:val="793B2F31"/>
    <w:multiLevelType w:val="hybridMultilevel"/>
    <w:tmpl w:val="440CD3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
  </w:num>
  <w:num w:numId="4">
    <w:abstractNumId w:val="8"/>
  </w:num>
  <w:num w:numId="5">
    <w:abstractNumId w:val="11"/>
  </w:num>
  <w:num w:numId="6">
    <w:abstractNumId w:val="6"/>
  </w:num>
  <w:num w:numId="7">
    <w:abstractNumId w:val="16"/>
  </w:num>
  <w:num w:numId="8">
    <w:abstractNumId w:val="19"/>
  </w:num>
  <w:num w:numId="9">
    <w:abstractNumId w:val="12"/>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5"/>
  </w:num>
  <w:num w:numId="13">
    <w:abstractNumId w:val="18"/>
  </w:num>
  <w:num w:numId="14">
    <w:abstractNumId w:val="10"/>
  </w:num>
  <w:num w:numId="15">
    <w:abstractNumId w:val="0"/>
  </w:num>
  <w:num w:numId="16">
    <w:abstractNumId w:val="17"/>
  </w:num>
  <w:num w:numId="17">
    <w:abstractNumId w:val="15"/>
  </w:num>
  <w:num w:numId="18">
    <w:abstractNumId w:val="13"/>
  </w:num>
  <w:num w:numId="19">
    <w:abstractNumId w:val="2"/>
  </w:num>
  <w:num w:numId="20">
    <w:abstractNumId w:val="1"/>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D98"/>
    <w:rsid w:val="00003002"/>
    <w:rsid w:val="00044659"/>
    <w:rsid w:val="00064054"/>
    <w:rsid w:val="000836EA"/>
    <w:rsid w:val="00111BC3"/>
    <w:rsid w:val="001127DC"/>
    <w:rsid w:val="001335B3"/>
    <w:rsid w:val="00150EA1"/>
    <w:rsid w:val="001520CE"/>
    <w:rsid w:val="00194A0D"/>
    <w:rsid w:val="00196B7D"/>
    <w:rsid w:val="001E0491"/>
    <w:rsid w:val="001E326F"/>
    <w:rsid w:val="00211E12"/>
    <w:rsid w:val="002D0394"/>
    <w:rsid w:val="00352353"/>
    <w:rsid w:val="00356CA7"/>
    <w:rsid w:val="00396E31"/>
    <w:rsid w:val="003977EF"/>
    <w:rsid w:val="003F0ABE"/>
    <w:rsid w:val="00536D98"/>
    <w:rsid w:val="005C3EFE"/>
    <w:rsid w:val="005C4DAA"/>
    <w:rsid w:val="005D3B61"/>
    <w:rsid w:val="00692875"/>
    <w:rsid w:val="006E66AF"/>
    <w:rsid w:val="006F21C9"/>
    <w:rsid w:val="007270BC"/>
    <w:rsid w:val="007659CA"/>
    <w:rsid w:val="007E785D"/>
    <w:rsid w:val="0080260A"/>
    <w:rsid w:val="00830713"/>
    <w:rsid w:val="0085236E"/>
    <w:rsid w:val="008C1453"/>
    <w:rsid w:val="008C758C"/>
    <w:rsid w:val="008D384B"/>
    <w:rsid w:val="00965D26"/>
    <w:rsid w:val="00997C1B"/>
    <w:rsid w:val="00A6364B"/>
    <w:rsid w:val="00A92A7E"/>
    <w:rsid w:val="00B27D4C"/>
    <w:rsid w:val="00B31BE7"/>
    <w:rsid w:val="00BB43EC"/>
    <w:rsid w:val="00BC3A61"/>
    <w:rsid w:val="00C2751B"/>
    <w:rsid w:val="00C5427B"/>
    <w:rsid w:val="00C7149A"/>
    <w:rsid w:val="00C921F7"/>
    <w:rsid w:val="00CD5315"/>
    <w:rsid w:val="00CF1479"/>
    <w:rsid w:val="00CF7908"/>
    <w:rsid w:val="00D47547"/>
    <w:rsid w:val="00E036F5"/>
    <w:rsid w:val="00E247AA"/>
    <w:rsid w:val="00E25F85"/>
    <w:rsid w:val="00E63C61"/>
    <w:rsid w:val="00E84DF7"/>
    <w:rsid w:val="00E873CD"/>
    <w:rsid w:val="00E900D2"/>
    <w:rsid w:val="00E93349"/>
    <w:rsid w:val="00ED5A9E"/>
    <w:rsid w:val="00EF6E52"/>
    <w:rsid w:val="00F40E4B"/>
    <w:rsid w:val="00F45C26"/>
    <w:rsid w:val="00FA0DCE"/>
    <w:rsid w:val="00FA268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D08A3"/>
  <w15:docId w15:val="{83A53B2F-D65D-4817-87F1-1D6D7D88C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character" w:styleId="Textoennegrita">
    <w:name w:val="Strong"/>
    <w:basedOn w:val="Fuentedeprrafopredeter"/>
    <w:uiPriority w:val="22"/>
    <w:qFormat/>
    <w:rPr>
      <w:b/>
      <w:bCs/>
    </w:rPr>
  </w:style>
  <w:style w:type="character" w:styleId="Hipervnculo">
    <w:name w:val="Hyperlink"/>
    <w:basedOn w:val="Fuentedeprrafopredeter"/>
    <w:uiPriority w:val="99"/>
    <w:unhideWhenUsed/>
    <w:rsid w:val="001E0491"/>
    <w:rPr>
      <w:color w:val="0563C1" w:themeColor="hyperlink"/>
      <w:u w:val="single"/>
    </w:rPr>
  </w:style>
  <w:style w:type="paragraph" w:styleId="Prrafodelista">
    <w:name w:val="List Paragraph"/>
    <w:basedOn w:val="Normal"/>
    <w:uiPriority w:val="34"/>
    <w:qFormat/>
    <w:rsid w:val="001E0491"/>
    <w:pPr>
      <w:spacing w:after="0" w:line="240" w:lineRule="auto"/>
      <w:ind w:left="720"/>
      <w:contextualSpacing/>
    </w:pPr>
    <w:rPr>
      <w:rFonts w:ascii="Calibri" w:eastAsiaTheme="minorHAnsi" w:hAnsi="Calibri" w:cs="Times New Roman"/>
      <w:lang w:eastAsia="en-US"/>
    </w:rPr>
  </w:style>
  <w:style w:type="table" w:styleId="Tabladecuadrcula1clara">
    <w:name w:val="Grid Table 1 Light"/>
    <w:basedOn w:val="Tablanormal"/>
    <w:uiPriority w:val="46"/>
    <w:rsid w:val="006E66AF"/>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Encabezado">
    <w:name w:val="header"/>
    <w:basedOn w:val="Normal"/>
    <w:link w:val="EncabezadoCar"/>
    <w:uiPriority w:val="99"/>
    <w:unhideWhenUsed/>
    <w:rsid w:val="001520C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520CE"/>
  </w:style>
  <w:style w:type="paragraph" w:styleId="Piedepgina">
    <w:name w:val="footer"/>
    <w:basedOn w:val="Normal"/>
    <w:link w:val="PiedepginaCar"/>
    <w:uiPriority w:val="99"/>
    <w:unhideWhenUsed/>
    <w:rsid w:val="001520C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52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506748">
      <w:bodyDiv w:val="1"/>
      <w:marLeft w:val="0"/>
      <w:marRight w:val="0"/>
      <w:marTop w:val="0"/>
      <w:marBottom w:val="0"/>
      <w:divBdr>
        <w:top w:val="none" w:sz="0" w:space="0" w:color="auto"/>
        <w:left w:val="none" w:sz="0" w:space="0" w:color="auto"/>
        <w:bottom w:val="none" w:sz="0" w:space="0" w:color="auto"/>
        <w:right w:val="none" w:sz="0" w:space="0" w:color="auto"/>
      </w:divBdr>
    </w:div>
    <w:div w:id="362285827">
      <w:bodyDiv w:val="1"/>
      <w:marLeft w:val="0"/>
      <w:marRight w:val="0"/>
      <w:marTop w:val="0"/>
      <w:marBottom w:val="0"/>
      <w:divBdr>
        <w:top w:val="none" w:sz="0" w:space="0" w:color="auto"/>
        <w:left w:val="none" w:sz="0" w:space="0" w:color="auto"/>
        <w:bottom w:val="none" w:sz="0" w:space="0" w:color="auto"/>
        <w:right w:val="none" w:sz="0" w:space="0" w:color="auto"/>
      </w:divBdr>
    </w:div>
    <w:div w:id="390467181">
      <w:bodyDiv w:val="1"/>
      <w:marLeft w:val="0"/>
      <w:marRight w:val="0"/>
      <w:marTop w:val="0"/>
      <w:marBottom w:val="0"/>
      <w:divBdr>
        <w:top w:val="none" w:sz="0" w:space="0" w:color="auto"/>
        <w:left w:val="none" w:sz="0" w:space="0" w:color="auto"/>
        <w:bottom w:val="none" w:sz="0" w:space="0" w:color="auto"/>
        <w:right w:val="none" w:sz="0" w:space="0" w:color="auto"/>
      </w:divBdr>
    </w:div>
    <w:div w:id="479005832">
      <w:bodyDiv w:val="1"/>
      <w:marLeft w:val="0"/>
      <w:marRight w:val="0"/>
      <w:marTop w:val="0"/>
      <w:marBottom w:val="0"/>
      <w:divBdr>
        <w:top w:val="none" w:sz="0" w:space="0" w:color="auto"/>
        <w:left w:val="none" w:sz="0" w:space="0" w:color="auto"/>
        <w:bottom w:val="none" w:sz="0" w:space="0" w:color="auto"/>
        <w:right w:val="none" w:sz="0" w:space="0" w:color="auto"/>
      </w:divBdr>
    </w:div>
    <w:div w:id="639921238">
      <w:bodyDiv w:val="1"/>
      <w:marLeft w:val="0"/>
      <w:marRight w:val="0"/>
      <w:marTop w:val="0"/>
      <w:marBottom w:val="0"/>
      <w:divBdr>
        <w:top w:val="none" w:sz="0" w:space="0" w:color="auto"/>
        <w:left w:val="none" w:sz="0" w:space="0" w:color="auto"/>
        <w:bottom w:val="none" w:sz="0" w:space="0" w:color="auto"/>
        <w:right w:val="none" w:sz="0" w:space="0" w:color="auto"/>
      </w:divBdr>
    </w:div>
    <w:div w:id="706830225">
      <w:bodyDiv w:val="1"/>
      <w:marLeft w:val="0"/>
      <w:marRight w:val="0"/>
      <w:marTop w:val="0"/>
      <w:marBottom w:val="0"/>
      <w:divBdr>
        <w:top w:val="none" w:sz="0" w:space="0" w:color="auto"/>
        <w:left w:val="none" w:sz="0" w:space="0" w:color="auto"/>
        <w:bottom w:val="none" w:sz="0" w:space="0" w:color="auto"/>
        <w:right w:val="none" w:sz="0" w:space="0" w:color="auto"/>
      </w:divBdr>
    </w:div>
    <w:div w:id="733621706">
      <w:bodyDiv w:val="1"/>
      <w:marLeft w:val="0"/>
      <w:marRight w:val="0"/>
      <w:marTop w:val="0"/>
      <w:marBottom w:val="0"/>
      <w:divBdr>
        <w:top w:val="none" w:sz="0" w:space="0" w:color="auto"/>
        <w:left w:val="none" w:sz="0" w:space="0" w:color="auto"/>
        <w:bottom w:val="none" w:sz="0" w:space="0" w:color="auto"/>
        <w:right w:val="none" w:sz="0" w:space="0" w:color="auto"/>
      </w:divBdr>
    </w:div>
    <w:div w:id="917861659">
      <w:bodyDiv w:val="1"/>
      <w:marLeft w:val="0"/>
      <w:marRight w:val="0"/>
      <w:marTop w:val="0"/>
      <w:marBottom w:val="0"/>
      <w:divBdr>
        <w:top w:val="none" w:sz="0" w:space="0" w:color="auto"/>
        <w:left w:val="none" w:sz="0" w:space="0" w:color="auto"/>
        <w:bottom w:val="none" w:sz="0" w:space="0" w:color="auto"/>
        <w:right w:val="none" w:sz="0" w:space="0" w:color="auto"/>
      </w:divBdr>
    </w:div>
    <w:div w:id="1601258929">
      <w:bodyDiv w:val="1"/>
      <w:marLeft w:val="0"/>
      <w:marRight w:val="0"/>
      <w:marTop w:val="0"/>
      <w:marBottom w:val="0"/>
      <w:divBdr>
        <w:top w:val="none" w:sz="0" w:space="0" w:color="auto"/>
        <w:left w:val="none" w:sz="0" w:space="0" w:color="auto"/>
        <w:bottom w:val="none" w:sz="0" w:space="0" w:color="auto"/>
        <w:right w:val="none" w:sz="0" w:space="0" w:color="auto"/>
      </w:divBdr>
    </w:div>
    <w:div w:id="1790934272">
      <w:bodyDiv w:val="1"/>
      <w:marLeft w:val="0"/>
      <w:marRight w:val="0"/>
      <w:marTop w:val="0"/>
      <w:marBottom w:val="0"/>
      <w:divBdr>
        <w:top w:val="none" w:sz="0" w:space="0" w:color="auto"/>
        <w:left w:val="none" w:sz="0" w:space="0" w:color="auto"/>
        <w:bottom w:val="none" w:sz="0" w:space="0" w:color="auto"/>
        <w:right w:val="none" w:sz="0" w:space="0" w:color="auto"/>
      </w:divBdr>
    </w:div>
    <w:div w:id="1846826353">
      <w:bodyDiv w:val="1"/>
      <w:marLeft w:val="0"/>
      <w:marRight w:val="0"/>
      <w:marTop w:val="0"/>
      <w:marBottom w:val="0"/>
      <w:divBdr>
        <w:top w:val="none" w:sz="0" w:space="0" w:color="auto"/>
        <w:left w:val="none" w:sz="0" w:space="0" w:color="auto"/>
        <w:bottom w:val="none" w:sz="0" w:space="0" w:color="auto"/>
        <w:right w:val="none" w:sz="0" w:space="0" w:color="auto"/>
      </w:divBdr>
    </w:div>
    <w:div w:id="1922986418">
      <w:marLeft w:val="0"/>
      <w:marRight w:val="0"/>
      <w:marTop w:val="0"/>
      <w:marBottom w:val="0"/>
      <w:divBdr>
        <w:top w:val="none" w:sz="0" w:space="0" w:color="auto"/>
        <w:left w:val="none" w:sz="0" w:space="0" w:color="auto"/>
        <w:bottom w:val="none" w:sz="0" w:space="0" w:color="auto"/>
        <w:right w:val="none" w:sz="0" w:space="0" w:color="auto"/>
      </w:divBdr>
      <w:divsChild>
        <w:div w:id="1437674607">
          <w:marLeft w:val="0"/>
          <w:marRight w:val="0"/>
          <w:marTop w:val="0"/>
          <w:marBottom w:val="0"/>
          <w:divBdr>
            <w:top w:val="none" w:sz="0" w:space="0" w:color="auto"/>
            <w:left w:val="none" w:sz="0" w:space="0" w:color="auto"/>
            <w:bottom w:val="none" w:sz="0" w:space="0" w:color="auto"/>
            <w:right w:val="none" w:sz="0" w:space="0" w:color="auto"/>
          </w:divBdr>
        </w:div>
        <w:div w:id="778335994">
          <w:marLeft w:val="600"/>
          <w:marRight w:val="0"/>
          <w:marTop w:val="0"/>
          <w:marBottom w:val="0"/>
          <w:divBdr>
            <w:top w:val="none" w:sz="0" w:space="0" w:color="auto"/>
            <w:left w:val="none" w:sz="0" w:space="0" w:color="auto"/>
            <w:bottom w:val="none" w:sz="0" w:space="0" w:color="auto"/>
            <w:right w:val="none" w:sz="0" w:space="0" w:color="auto"/>
          </w:divBdr>
        </w:div>
        <w:div w:id="1279487507">
          <w:marLeft w:val="0"/>
          <w:marRight w:val="0"/>
          <w:marTop w:val="0"/>
          <w:marBottom w:val="0"/>
          <w:divBdr>
            <w:top w:val="none" w:sz="0" w:space="0" w:color="auto"/>
            <w:left w:val="none" w:sz="0" w:space="0" w:color="auto"/>
            <w:bottom w:val="none" w:sz="0" w:space="0" w:color="auto"/>
            <w:right w:val="none" w:sz="0" w:space="0" w:color="auto"/>
          </w:divBdr>
        </w:div>
        <w:div w:id="97720093">
          <w:marLeft w:val="600"/>
          <w:marRight w:val="0"/>
          <w:marTop w:val="0"/>
          <w:marBottom w:val="0"/>
          <w:divBdr>
            <w:top w:val="none" w:sz="0" w:space="0" w:color="auto"/>
            <w:left w:val="none" w:sz="0" w:space="0" w:color="auto"/>
            <w:bottom w:val="none" w:sz="0" w:space="0" w:color="auto"/>
            <w:right w:val="none" w:sz="0" w:space="0" w:color="auto"/>
          </w:divBdr>
        </w:div>
        <w:div w:id="1207907961">
          <w:marLeft w:val="360"/>
          <w:marRight w:val="0"/>
          <w:marTop w:val="0"/>
          <w:marBottom w:val="0"/>
          <w:divBdr>
            <w:top w:val="none" w:sz="0" w:space="0" w:color="auto"/>
            <w:left w:val="none" w:sz="0" w:space="0" w:color="auto"/>
            <w:bottom w:val="none" w:sz="0" w:space="0" w:color="auto"/>
            <w:right w:val="none" w:sz="0" w:space="0" w:color="auto"/>
          </w:divBdr>
        </w:div>
        <w:div w:id="1579514272">
          <w:marLeft w:val="360"/>
          <w:marRight w:val="0"/>
          <w:marTop w:val="0"/>
          <w:marBottom w:val="0"/>
          <w:divBdr>
            <w:top w:val="none" w:sz="0" w:space="0" w:color="auto"/>
            <w:left w:val="none" w:sz="0" w:space="0" w:color="auto"/>
            <w:bottom w:val="none" w:sz="0" w:space="0" w:color="auto"/>
            <w:right w:val="none" w:sz="0" w:space="0" w:color="auto"/>
          </w:divBdr>
        </w:div>
        <w:div w:id="320698800">
          <w:marLeft w:val="360"/>
          <w:marRight w:val="0"/>
          <w:marTop w:val="0"/>
          <w:marBottom w:val="0"/>
          <w:divBdr>
            <w:top w:val="none" w:sz="0" w:space="0" w:color="auto"/>
            <w:left w:val="none" w:sz="0" w:space="0" w:color="auto"/>
            <w:bottom w:val="none" w:sz="0" w:space="0" w:color="auto"/>
            <w:right w:val="none" w:sz="0" w:space="0" w:color="auto"/>
          </w:divBdr>
        </w:div>
        <w:div w:id="60375159">
          <w:marLeft w:val="360"/>
          <w:marRight w:val="0"/>
          <w:marTop w:val="0"/>
          <w:marBottom w:val="0"/>
          <w:divBdr>
            <w:top w:val="none" w:sz="0" w:space="0" w:color="auto"/>
            <w:left w:val="none" w:sz="0" w:space="0" w:color="auto"/>
            <w:bottom w:val="none" w:sz="0" w:space="0" w:color="auto"/>
            <w:right w:val="none" w:sz="0" w:space="0" w:color="auto"/>
          </w:divBdr>
        </w:div>
        <w:div w:id="658657655">
          <w:marLeft w:val="600"/>
          <w:marRight w:val="0"/>
          <w:marTop w:val="0"/>
          <w:marBottom w:val="0"/>
          <w:divBdr>
            <w:top w:val="none" w:sz="0" w:space="0" w:color="auto"/>
            <w:left w:val="none" w:sz="0" w:space="0" w:color="auto"/>
            <w:bottom w:val="none" w:sz="0" w:space="0" w:color="auto"/>
            <w:right w:val="none" w:sz="0" w:space="0" w:color="auto"/>
          </w:divBdr>
        </w:div>
        <w:div w:id="1894854344">
          <w:marLeft w:val="840"/>
          <w:marRight w:val="0"/>
          <w:marTop w:val="0"/>
          <w:marBottom w:val="0"/>
          <w:divBdr>
            <w:top w:val="none" w:sz="0" w:space="0" w:color="auto"/>
            <w:left w:val="none" w:sz="0" w:space="0" w:color="auto"/>
            <w:bottom w:val="none" w:sz="0" w:space="0" w:color="auto"/>
            <w:right w:val="none" w:sz="0" w:space="0" w:color="auto"/>
          </w:divBdr>
        </w:div>
        <w:div w:id="1169637690">
          <w:marLeft w:val="840"/>
          <w:marRight w:val="0"/>
          <w:marTop w:val="0"/>
          <w:marBottom w:val="0"/>
          <w:divBdr>
            <w:top w:val="none" w:sz="0" w:space="0" w:color="auto"/>
            <w:left w:val="none" w:sz="0" w:space="0" w:color="auto"/>
            <w:bottom w:val="none" w:sz="0" w:space="0" w:color="auto"/>
            <w:right w:val="none" w:sz="0" w:space="0" w:color="auto"/>
          </w:divBdr>
        </w:div>
        <w:div w:id="1602180659">
          <w:marLeft w:val="840"/>
          <w:marRight w:val="0"/>
          <w:marTop w:val="0"/>
          <w:marBottom w:val="0"/>
          <w:divBdr>
            <w:top w:val="none" w:sz="0" w:space="0" w:color="auto"/>
            <w:left w:val="none" w:sz="0" w:space="0" w:color="auto"/>
            <w:bottom w:val="none" w:sz="0" w:space="0" w:color="auto"/>
            <w:right w:val="none" w:sz="0" w:space="0" w:color="auto"/>
          </w:divBdr>
        </w:div>
        <w:div w:id="2142307574">
          <w:marLeft w:val="840"/>
          <w:marRight w:val="0"/>
          <w:marTop w:val="0"/>
          <w:marBottom w:val="0"/>
          <w:divBdr>
            <w:top w:val="none" w:sz="0" w:space="0" w:color="auto"/>
            <w:left w:val="none" w:sz="0" w:space="0" w:color="auto"/>
            <w:bottom w:val="none" w:sz="0" w:space="0" w:color="auto"/>
            <w:right w:val="none" w:sz="0" w:space="0" w:color="auto"/>
          </w:divBdr>
        </w:div>
        <w:div w:id="1460218785">
          <w:marLeft w:val="840"/>
          <w:marRight w:val="0"/>
          <w:marTop w:val="0"/>
          <w:marBottom w:val="0"/>
          <w:divBdr>
            <w:top w:val="none" w:sz="0" w:space="0" w:color="auto"/>
            <w:left w:val="none" w:sz="0" w:space="0" w:color="auto"/>
            <w:bottom w:val="none" w:sz="0" w:space="0" w:color="auto"/>
            <w:right w:val="none" w:sz="0" w:space="0" w:color="auto"/>
          </w:divBdr>
        </w:div>
        <w:div w:id="1157068310">
          <w:marLeft w:val="840"/>
          <w:marRight w:val="0"/>
          <w:marTop w:val="0"/>
          <w:marBottom w:val="0"/>
          <w:divBdr>
            <w:top w:val="none" w:sz="0" w:space="0" w:color="auto"/>
            <w:left w:val="none" w:sz="0" w:space="0" w:color="auto"/>
            <w:bottom w:val="none" w:sz="0" w:space="0" w:color="auto"/>
            <w:right w:val="none" w:sz="0" w:space="0" w:color="auto"/>
          </w:divBdr>
        </w:div>
        <w:div w:id="1445661388">
          <w:marLeft w:val="840"/>
          <w:marRight w:val="0"/>
          <w:marTop w:val="0"/>
          <w:marBottom w:val="0"/>
          <w:divBdr>
            <w:top w:val="none" w:sz="0" w:space="0" w:color="auto"/>
            <w:left w:val="none" w:sz="0" w:space="0" w:color="auto"/>
            <w:bottom w:val="none" w:sz="0" w:space="0" w:color="auto"/>
            <w:right w:val="none" w:sz="0" w:space="0" w:color="auto"/>
          </w:divBdr>
        </w:div>
        <w:div w:id="983580186">
          <w:marLeft w:val="840"/>
          <w:marRight w:val="0"/>
          <w:marTop w:val="0"/>
          <w:marBottom w:val="0"/>
          <w:divBdr>
            <w:top w:val="none" w:sz="0" w:space="0" w:color="auto"/>
            <w:left w:val="none" w:sz="0" w:space="0" w:color="auto"/>
            <w:bottom w:val="none" w:sz="0" w:space="0" w:color="auto"/>
            <w:right w:val="none" w:sz="0" w:space="0" w:color="auto"/>
          </w:divBdr>
        </w:div>
        <w:div w:id="2104379662">
          <w:marLeft w:val="840"/>
          <w:marRight w:val="0"/>
          <w:marTop w:val="0"/>
          <w:marBottom w:val="0"/>
          <w:divBdr>
            <w:top w:val="none" w:sz="0" w:space="0" w:color="auto"/>
            <w:left w:val="none" w:sz="0" w:space="0" w:color="auto"/>
            <w:bottom w:val="none" w:sz="0" w:space="0" w:color="auto"/>
            <w:right w:val="none" w:sz="0" w:space="0" w:color="auto"/>
          </w:divBdr>
        </w:div>
        <w:div w:id="789132449">
          <w:marLeft w:val="840"/>
          <w:marRight w:val="0"/>
          <w:marTop w:val="0"/>
          <w:marBottom w:val="0"/>
          <w:divBdr>
            <w:top w:val="none" w:sz="0" w:space="0" w:color="auto"/>
            <w:left w:val="none" w:sz="0" w:space="0" w:color="auto"/>
            <w:bottom w:val="none" w:sz="0" w:space="0" w:color="auto"/>
            <w:right w:val="none" w:sz="0" w:space="0" w:color="auto"/>
          </w:divBdr>
        </w:div>
        <w:div w:id="528027690">
          <w:marLeft w:val="840"/>
          <w:marRight w:val="0"/>
          <w:marTop w:val="0"/>
          <w:marBottom w:val="0"/>
          <w:divBdr>
            <w:top w:val="none" w:sz="0" w:space="0" w:color="auto"/>
            <w:left w:val="none" w:sz="0" w:space="0" w:color="auto"/>
            <w:bottom w:val="none" w:sz="0" w:space="0" w:color="auto"/>
            <w:right w:val="none" w:sz="0" w:space="0" w:color="auto"/>
          </w:divBdr>
        </w:div>
        <w:div w:id="896865993">
          <w:marLeft w:val="360"/>
          <w:marRight w:val="0"/>
          <w:marTop w:val="0"/>
          <w:marBottom w:val="0"/>
          <w:divBdr>
            <w:top w:val="none" w:sz="0" w:space="0" w:color="auto"/>
            <w:left w:val="none" w:sz="0" w:space="0" w:color="auto"/>
            <w:bottom w:val="none" w:sz="0" w:space="0" w:color="auto"/>
            <w:right w:val="none" w:sz="0" w:space="0" w:color="auto"/>
          </w:divBdr>
        </w:div>
        <w:div w:id="1508599233">
          <w:marLeft w:val="0"/>
          <w:marRight w:val="0"/>
          <w:marTop w:val="0"/>
          <w:marBottom w:val="0"/>
          <w:divBdr>
            <w:top w:val="none" w:sz="0" w:space="0" w:color="auto"/>
            <w:left w:val="none" w:sz="0" w:space="0" w:color="auto"/>
            <w:bottom w:val="none" w:sz="0" w:space="0" w:color="auto"/>
            <w:right w:val="none" w:sz="0" w:space="0" w:color="auto"/>
          </w:divBdr>
        </w:div>
        <w:div w:id="910963772">
          <w:marLeft w:val="0"/>
          <w:marRight w:val="0"/>
          <w:marTop w:val="0"/>
          <w:marBottom w:val="0"/>
          <w:divBdr>
            <w:top w:val="none" w:sz="0" w:space="0" w:color="auto"/>
            <w:left w:val="none" w:sz="0" w:space="0" w:color="auto"/>
            <w:bottom w:val="none" w:sz="0" w:space="0" w:color="auto"/>
            <w:right w:val="none" w:sz="0" w:space="0" w:color="auto"/>
          </w:divBdr>
        </w:div>
        <w:div w:id="158162316">
          <w:marLeft w:val="0"/>
          <w:marRight w:val="0"/>
          <w:marTop w:val="0"/>
          <w:marBottom w:val="0"/>
          <w:divBdr>
            <w:top w:val="none" w:sz="0" w:space="0" w:color="auto"/>
            <w:left w:val="none" w:sz="0" w:space="0" w:color="auto"/>
            <w:bottom w:val="none" w:sz="0" w:space="0" w:color="auto"/>
            <w:right w:val="none" w:sz="0" w:space="0" w:color="auto"/>
          </w:divBdr>
        </w:div>
        <w:div w:id="1986662372">
          <w:marLeft w:val="0"/>
          <w:marRight w:val="0"/>
          <w:marTop w:val="0"/>
          <w:marBottom w:val="0"/>
          <w:divBdr>
            <w:top w:val="none" w:sz="0" w:space="0" w:color="auto"/>
            <w:left w:val="none" w:sz="0" w:space="0" w:color="auto"/>
            <w:bottom w:val="none" w:sz="0" w:space="0" w:color="auto"/>
            <w:right w:val="none" w:sz="0" w:space="0" w:color="auto"/>
          </w:divBdr>
        </w:div>
        <w:div w:id="435949354">
          <w:marLeft w:val="0"/>
          <w:marRight w:val="0"/>
          <w:marTop w:val="0"/>
          <w:marBottom w:val="0"/>
          <w:divBdr>
            <w:top w:val="none" w:sz="0" w:space="0" w:color="auto"/>
            <w:left w:val="none" w:sz="0" w:space="0" w:color="auto"/>
            <w:bottom w:val="none" w:sz="0" w:space="0" w:color="auto"/>
            <w:right w:val="none" w:sz="0" w:space="0" w:color="auto"/>
          </w:divBdr>
        </w:div>
        <w:div w:id="102826163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ontaduria.uady.mx/fca-investigacion/ieey" TargetMode="External"/><Relationship Id="rId3" Type="http://schemas.openxmlformats.org/officeDocument/2006/relationships/settings" Target="settings.xml"/><Relationship Id="rId7" Type="http://schemas.openxmlformats.org/officeDocument/2006/relationships/hyperlink" Target="https://www.banxico.org.mx/publicaciones-y-prensa/informes-trimestrales/informes-trimestrales-precio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disciplinafinanciera.hacienda.gob.mx/es/DISCIPLINA_FINANCIERA/Entidades_Federativas_20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9729</Words>
  <Characters>53511</Characters>
  <Application>Microsoft Office Word</Application>
  <DocSecurity>0</DocSecurity>
  <Lines>445</Lines>
  <Paragraphs>126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63114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Victoria Pacheco Cardeña</dc:creator>
  <cp:lastModifiedBy>Laura V. Pacheco Cardeña</cp:lastModifiedBy>
  <cp:revision>2</cp:revision>
  <dcterms:created xsi:type="dcterms:W3CDTF">2026-10-30T20:16:00Z</dcterms:created>
  <dcterms:modified xsi:type="dcterms:W3CDTF">2026-10-30T20:16:00Z</dcterms:modified>
</cp:coreProperties>
</file>