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7B5" w:rsidRPr="005663F8" w:rsidRDefault="00B027B5">
      <w:pPr>
        <w:divId w:val="147788063"/>
        <w:rPr>
          <w:rFonts w:ascii="Lato" w:eastAsia="Times New Roman" w:hAnsi="Lato"/>
          <w:sz w:val="20"/>
          <w:szCs w:val="20"/>
        </w:rPr>
      </w:pPr>
    </w:p>
    <w:p w:rsidR="00B027B5" w:rsidRPr="00EB63BB" w:rsidRDefault="00642EB6">
      <w:pPr>
        <w:jc w:val="center"/>
        <w:divId w:val="35980657"/>
        <w:rPr>
          <w:rFonts w:ascii="Lato" w:eastAsia="Times New Roman" w:hAnsi="Lato"/>
          <w:sz w:val="20"/>
          <w:szCs w:val="20"/>
        </w:rPr>
      </w:pPr>
      <w:r w:rsidRPr="00EB63BB">
        <w:rPr>
          <w:rStyle w:val="Textoennegrita"/>
          <w:rFonts w:ascii="Lato" w:eastAsia="Times New Roman" w:hAnsi="Lato" w:cs="Calibri"/>
          <w:sz w:val="20"/>
          <w:szCs w:val="20"/>
        </w:rPr>
        <w:t>Ente Público: PODER EJECUTIVO</w:t>
      </w:r>
    </w:p>
    <w:p w:rsidR="00B027B5" w:rsidRPr="00EB63BB" w:rsidRDefault="00642EB6">
      <w:pPr>
        <w:jc w:val="center"/>
        <w:divId w:val="35980657"/>
        <w:rPr>
          <w:rFonts w:ascii="Lato" w:eastAsia="Times New Roman" w:hAnsi="Lato"/>
          <w:sz w:val="20"/>
          <w:szCs w:val="20"/>
        </w:rPr>
      </w:pPr>
      <w:r w:rsidRPr="00EB63BB">
        <w:rPr>
          <w:rStyle w:val="Textoennegrita"/>
          <w:rFonts w:ascii="Lato" w:eastAsia="Times New Roman" w:hAnsi="Lato" w:cs="Calibri"/>
          <w:sz w:val="20"/>
          <w:szCs w:val="20"/>
        </w:rPr>
        <w:t>Notas a los estados financieros</w:t>
      </w:r>
    </w:p>
    <w:p w:rsidR="00B027B5" w:rsidRPr="00EB63BB" w:rsidRDefault="008A1650">
      <w:pPr>
        <w:jc w:val="center"/>
        <w:divId w:val="35980657"/>
        <w:rPr>
          <w:rFonts w:ascii="Lato" w:eastAsia="Times New Roman" w:hAnsi="Lato"/>
          <w:sz w:val="20"/>
          <w:szCs w:val="20"/>
        </w:rPr>
      </w:pPr>
      <w:r w:rsidRPr="00EB63BB">
        <w:rPr>
          <w:rStyle w:val="Textoennegrita"/>
          <w:rFonts w:ascii="Lato" w:eastAsia="Times New Roman" w:hAnsi="Lato" w:cs="Calibri"/>
          <w:sz w:val="20"/>
          <w:szCs w:val="20"/>
        </w:rPr>
        <w:t>Al 30 de junio</w:t>
      </w:r>
      <w:r w:rsidR="00F872A8" w:rsidRPr="00EB63BB">
        <w:rPr>
          <w:rStyle w:val="Textoennegrita"/>
          <w:rFonts w:ascii="Lato" w:eastAsia="Times New Roman" w:hAnsi="Lato" w:cs="Calibri"/>
          <w:sz w:val="20"/>
          <w:szCs w:val="20"/>
        </w:rPr>
        <w:t xml:space="preserve"> de 2026</w:t>
      </w:r>
      <w:r w:rsidR="00642EB6" w:rsidRPr="00EB63BB">
        <w:rPr>
          <w:rStyle w:val="Textoennegrita"/>
          <w:rFonts w:ascii="Lato" w:eastAsia="Times New Roman" w:hAnsi="Lato" w:cs="Calibri"/>
          <w:sz w:val="20"/>
          <w:szCs w:val="20"/>
        </w:rPr>
        <w:t>.</w:t>
      </w:r>
    </w:p>
    <w:p w:rsidR="00B027B5" w:rsidRPr="00EB63BB" w:rsidRDefault="00642EB6">
      <w:pPr>
        <w:jc w:val="center"/>
        <w:divId w:val="35980657"/>
        <w:rPr>
          <w:rFonts w:ascii="Lato" w:eastAsia="Times New Roman" w:hAnsi="Lato"/>
          <w:sz w:val="20"/>
          <w:szCs w:val="20"/>
        </w:rPr>
      </w:pPr>
      <w:r w:rsidRPr="00EB63BB">
        <w:rPr>
          <w:rStyle w:val="Textoennegrita"/>
          <w:rFonts w:ascii="Lato" w:eastAsia="Times New Roman" w:hAnsi="Lato" w:cs="Calibri"/>
          <w:sz w:val="20"/>
          <w:szCs w:val="20"/>
        </w:rPr>
        <w:t>(Pesos)</w:t>
      </w:r>
    </w:p>
    <w:p w:rsidR="00EB616F" w:rsidRPr="00EB63BB" w:rsidRDefault="00EB616F" w:rsidP="00EB616F">
      <w:pPr>
        <w:jc w:val="both"/>
        <w:divId w:val="35980657"/>
        <w:rPr>
          <w:rFonts w:ascii="Lato" w:eastAsia="Times New Roman" w:hAnsi="Lato"/>
          <w:sz w:val="20"/>
          <w:szCs w:val="20"/>
        </w:rPr>
      </w:pPr>
      <w:r w:rsidRPr="00EB63BB">
        <w:rPr>
          <w:rStyle w:val="Textoennegrita"/>
          <w:rFonts w:ascii="Lato" w:eastAsia="Times New Roman" w:hAnsi="Lato"/>
          <w:sz w:val="20"/>
          <w:szCs w:val="20"/>
        </w:rPr>
        <w:t>Con el propósito de dar cumplimiento a los artículos 44, 45, 46, 47, 49, 52, y 53 de la Ley General de Contabilidad Gubernamental, artículo 31 fracciones XXVI y XXXII del Código de Administración Pública de Yucatán y al artículo 59 fracciones XXV y XXVII del Reglamento del Código de la Administración Pública de Yucatán, el Poder Ejecutivo del Estado de Yucatán, ha preparado los Estados Financieros incluyendo las opera</w:t>
      </w:r>
      <w:r w:rsidR="008A1650" w:rsidRPr="00EB63BB">
        <w:rPr>
          <w:rStyle w:val="Textoennegrita"/>
          <w:rFonts w:ascii="Lato" w:eastAsia="Times New Roman" w:hAnsi="Lato"/>
          <w:sz w:val="20"/>
          <w:szCs w:val="20"/>
        </w:rPr>
        <w:t>ciones efectuadas al 30 de junio</w:t>
      </w:r>
      <w:r w:rsidRPr="00EB63BB">
        <w:rPr>
          <w:rStyle w:val="Textoennegrita"/>
          <w:rFonts w:ascii="Lato" w:eastAsia="Times New Roman" w:hAnsi="Lato"/>
          <w:sz w:val="20"/>
          <w:szCs w:val="20"/>
        </w:rPr>
        <w:t xml:space="preserve"> de 2026.</w:t>
      </w:r>
    </w:p>
    <w:p w:rsidR="00EB616F" w:rsidRPr="00EB63BB" w:rsidRDefault="00EB616F" w:rsidP="00EB616F">
      <w:pPr>
        <w:divId w:val="35980657"/>
        <w:rPr>
          <w:rFonts w:ascii="Lato" w:eastAsia="Times New Roman" w:hAnsi="Lato"/>
          <w:sz w:val="20"/>
          <w:szCs w:val="20"/>
        </w:rPr>
      </w:pPr>
      <w:r w:rsidRPr="00EB63BB">
        <w:rPr>
          <w:rStyle w:val="Textoennegrita"/>
          <w:rFonts w:ascii="Lato" w:eastAsia="Times New Roman" w:hAnsi="Lato"/>
          <w:sz w:val="20"/>
          <w:szCs w:val="20"/>
        </w:rPr>
        <w:t>A) NOTAS DE GESTIÓN ADMINISTRATIVA</w:t>
      </w:r>
    </w:p>
    <w:p w:rsidR="00EB616F" w:rsidRPr="00EB63BB" w:rsidRDefault="00EB616F" w:rsidP="00EB616F">
      <w:pPr>
        <w:divId w:val="35980657"/>
        <w:rPr>
          <w:rFonts w:ascii="Lato" w:eastAsia="Times New Roman" w:hAnsi="Lato"/>
          <w:sz w:val="20"/>
          <w:szCs w:val="20"/>
        </w:rPr>
      </w:pPr>
      <w:r w:rsidRPr="00EB63BB">
        <w:rPr>
          <w:rStyle w:val="Textoennegrita"/>
          <w:rFonts w:ascii="Lato" w:eastAsia="Times New Roman" w:hAnsi="Lato"/>
          <w:sz w:val="20"/>
          <w:szCs w:val="20"/>
        </w:rPr>
        <w:t>1.-Autorización e Historia</w:t>
      </w:r>
    </w:p>
    <w:p w:rsidR="00EB616F" w:rsidRPr="00EB63BB" w:rsidRDefault="00EB616F" w:rsidP="00EB616F">
      <w:pPr>
        <w:divId w:val="35980657"/>
        <w:rPr>
          <w:rFonts w:ascii="Lato" w:eastAsia="Times New Roman" w:hAnsi="Lato"/>
          <w:sz w:val="20"/>
          <w:szCs w:val="20"/>
        </w:rPr>
      </w:pPr>
      <w:r w:rsidRPr="00EB63BB">
        <w:rPr>
          <w:rStyle w:val="Textoennegrita"/>
          <w:rFonts w:ascii="Lato" w:eastAsia="Times New Roman" w:hAnsi="Lato"/>
          <w:sz w:val="20"/>
          <w:szCs w:val="20"/>
        </w:rPr>
        <w:t xml:space="preserve">a) Fecha de creación del ente. </w:t>
      </w:r>
    </w:p>
    <w:p w:rsidR="00EB616F" w:rsidRPr="00EB63BB" w:rsidRDefault="00EB616F" w:rsidP="00EB616F">
      <w:pPr>
        <w:ind w:firstLine="360"/>
        <w:jc w:val="both"/>
        <w:divId w:val="35980657"/>
        <w:rPr>
          <w:rFonts w:ascii="Lato" w:eastAsia="Times New Roman" w:hAnsi="Lato"/>
          <w:sz w:val="20"/>
          <w:szCs w:val="20"/>
        </w:rPr>
      </w:pPr>
      <w:r w:rsidRPr="00EB63BB">
        <w:rPr>
          <w:rFonts w:ascii="Lato" w:eastAsia="Times New Roman" w:hAnsi="Lato"/>
          <w:sz w:val="20"/>
          <w:szCs w:val="20"/>
        </w:rPr>
        <w:t>La fecha del Registro Federal de Contribuyentes de la Secretaría, corresponde al 12 de mayo de 1984, con base en la Ley Orgánica del Poder Ejecutivo del Estado de Yucatán de fecha 10 de mayo de 1984.</w:t>
      </w:r>
    </w:p>
    <w:p w:rsidR="00EB616F" w:rsidRPr="00EB63BB" w:rsidRDefault="00EB616F" w:rsidP="00EB616F">
      <w:pPr>
        <w:divId w:val="35980657"/>
        <w:rPr>
          <w:rStyle w:val="Textoennegrita"/>
          <w:rFonts w:ascii="Lato" w:eastAsia="Times New Roman" w:hAnsi="Lato"/>
          <w:sz w:val="20"/>
          <w:szCs w:val="20"/>
        </w:rPr>
      </w:pPr>
      <w:r w:rsidRPr="00EB63BB">
        <w:rPr>
          <w:rStyle w:val="Textoennegrita"/>
          <w:rFonts w:ascii="Lato" w:eastAsia="Times New Roman" w:hAnsi="Lato"/>
          <w:sz w:val="20"/>
          <w:szCs w:val="20"/>
        </w:rPr>
        <w:t>b) Principales cambios en su estructura.</w:t>
      </w:r>
    </w:p>
    <w:p w:rsidR="00B1794E" w:rsidRPr="00EB63BB" w:rsidRDefault="00B1794E" w:rsidP="00B1794E">
      <w:pPr>
        <w:ind w:firstLine="360"/>
        <w:jc w:val="both"/>
        <w:divId w:val="35980657"/>
        <w:rPr>
          <w:rFonts w:ascii="Lato" w:eastAsia="Times New Roman" w:hAnsi="Lato"/>
          <w:sz w:val="20"/>
          <w:szCs w:val="20"/>
        </w:rPr>
      </w:pPr>
      <w:r w:rsidRPr="00EB63BB">
        <w:rPr>
          <w:rFonts w:ascii="Lato" w:eastAsia="Times New Roman" w:hAnsi="Lato"/>
          <w:sz w:val="20"/>
          <w:szCs w:val="20"/>
        </w:rPr>
        <w:t>Las modificaciones a la estructura de la administración Pública centralizada del Gobierno del Estado de Yucatán, surgen por nuevas disposiciones legales, la Ley Orgánica del Poder Ejecutivo del Estado se abroga, dando lugar a la “Ley Orgánica de la Administración Pública del Estado de Yucatán” a los 8 días del mes de Marzo del año de mil novecientos ochenta y ocho, esta última se abroga al entrar en vigor “ El Código de la Administración Pública de Yucatán” (CAPY) el 1º de Enero del 2008, la última actualización se publicó el 31 de diciembre de 2025.</w:t>
      </w:r>
    </w:p>
    <w:p w:rsidR="00B1794E" w:rsidRPr="00EB63BB" w:rsidRDefault="00B1794E" w:rsidP="00B1794E">
      <w:pPr>
        <w:ind w:firstLine="360"/>
        <w:jc w:val="both"/>
        <w:divId w:val="35980657"/>
        <w:rPr>
          <w:rFonts w:ascii="Lato" w:eastAsia="Times New Roman" w:hAnsi="Lato"/>
          <w:sz w:val="20"/>
          <w:szCs w:val="20"/>
        </w:rPr>
      </w:pPr>
      <w:r w:rsidRPr="00EB63BB">
        <w:rPr>
          <w:rFonts w:ascii="Lato" w:eastAsia="Times New Roman" w:hAnsi="Lato"/>
          <w:sz w:val="20"/>
          <w:szCs w:val="20"/>
        </w:rPr>
        <w:t>En el decreto número 28 de fecha 1 de enero del 2013 se reforman, derogan y adicionan diversas disposiciones del Reglamento del Código de la Administración Pública de Yucatán, la última actualización se publicó el 24 de noviembre de 2025.</w:t>
      </w:r>
    </w:p>
    <w:p w:rsidR="003C767A" w:rsidRPr="00EB63BB" w:rsidRDefault="003C767A" w:rsidP="00B1794E">
      <w:pPr>
        <w:ind w:firstLine="360"/>
        <w:jc w:val="both"/>
        <w:divId w:val="35980657"/>
        <w:rPr>
          <w:rFonts w:ascii="Lato" w:eastAsia="Times New Roman" w:hAnsi="Lato"/>
          <w:sz w:val="20"/>
          <w:szCs w:val="20"/>
        </w:rPr>
      </w:pPr>
    </w:p>
    <w:p w:rsidR="003C767A" w:rsidRPr="00EB63BB" w:rsidRDefault="003C767A" w:rsidP="00B1794E">
      <w:pPr>
        <w:ind w:firstLine="360"/>
        <w:jc w:val="both"/>
        <w:divId w:val="35980657"/>
        <w:rPr>
          <w:rFonts w:ascii="Lato" w:eastAsia="Times New Roman" w:hAnsi="Lato"/>
          <w:sz w:val="20"/>
          <w:szCs w:val="20"/>
        </w:rPr>
      </w:pPr>
    </w:p>
    <w:p w:rsidR="003C767A" w:rsidRPr="00EB63BB" w:rsidRDefault="003C767A" w:rsidP="00B1794E">
      <w:pPr>
        <w:ind w:firstLine="360"/>
        <w:jc w:val="both"/>
        <w:divId w:val="35980657"/>
        <w:rPr>
          <w:rFonts w:ascii="Lato" w:eastAsia="Times New Roman" w:hAnsi="Lato"/>
          <w:sz w:val="20"/>
          <w:szCs w:val="20"/>
        </w:rPr>
      </w:pPr>
    </w:p>
    <w:p w:rsidR="003C767A" w:rsidRPr="00EB63BB" w:rsidRDefault="003C767A" w:rsidP="00B1794E">
      <w:pPr>
        <w:ind w:firstLine="360"/>
        <w:jc w:val="both"/>
        <w:divId w:val="35980657"/>
        <w:rPr>
          <w:rFonts w:ascii="Lato" w:eastAsia="Times New Roman" w:hAnsi="Lato"/>
          <w:sz w:val="20"/>
          <w:szCs w:val="20"/>
        </w:rPr>
      </w:pPr>
    </w:p>
    <w:p w:rsidR="003C767A" w:rsidRPr="00EB63BB" w:rsidRDefault="003C767A" w:rsidP="003C767A">
      <w:pPr>
        <w:divId w:val="35980657"/>
        <w:rPr>
          <w:rFonts w:ascii="Lato" w:eastAsia="Times New Roman" w:hAnsi="Lato"/>
          <w:sz w:val="20"/>
          <w:szCs w:val="20"/>
        </w:rPr>
      </w:pPr>
      <w:r w:rsidRPr="00EB63BB">
        <w:rPr>
          <w:rStyle w:val="Textoennegrita"/>
          <w:rFonts w:ascii="Lato" w:eastAsia="Times New Roman" w:hAnsi="Lato"/>
          <w:sz w:val="20"/>
          <w:szCs w:val="20"/>
        </w:rPr>
        <w:lastRenderedPageBreak/>
        <w:t>2.-Panorama Económico y Financiero</w:t>
      </w:r>
    </w:p>
    <w:p w:rsidR="003C767A" w:rsidRPr="00EB63BB" w:rsidRDefault="003C767A" w:rsidP="003C767A">
      <w:pPr>
        <w:divId w:val="35980657"/>
        <w:rPr>
          <w:rStyle w:val="Textoennegrita"/>
          <w:rFonts w:ascii="Lato" w:eastAsia="Times New Roman" w:hAnsi="Lato"/>
          <w:sz w:val="20"/>
          <w:szCs w:val="20"/>
        </w:rPr>
      </w:pPr>
      <w:r w:rsidRPr="00EB63BB">
        <w:rPr>
          <w:rStyle w:val="Textoennegrita"/>
          <w:rFonts w:ascii="Lato" w:eastAsia="Times New Roman" w:hAnsi="Lato"/>
          <w:sz w:val="20"/>
          <w:szCs w:val="20"/>
        </w:rPr>
        <w:t>2.1 Panorama económico nacional</w:t>
      </w:r>
    </w:p>
    <w:p w:rsidR="003C767A" w:rsidRPr="00EB63BB" w:rsidRDefault="003C767A" w:rsidP="003C767A">
      <w:pPr>
        <w:ind w:firstLine="708"/>
        <w:divId w:val="35980657"/>
        <w:rPr>
          <w:rFonts w:ascii="Lato" w:hAnsi="Lato" w:cs="Times New Roman"/>
          <w:sz w:val="20"/>
          <w:szCs w:val="20"/>
        </w:rPr>
      </w:pPr>
      <w:r w:rsidRPr="00EB63BB">
        <w:rPr>
          <w:rStyle w:val="Textoennegrita"/>
          <w:rFonts w:ascii="Lato" w:eastAsia="Times New Roman" w:hAnsi="Lato"/>
          <w:b w:val="0"/>
          <w:sz w:val="20"/>
          <w:szCs w:val="20"/>
        </w:rPr>
        <w:t>Se</w:t>
      </w:r>
      <w:r w:rsidRPr="00EB63BB">
        <w:rPr>
          <w:rStyle w:val="Textoennegrita"/>
          <w:rFonts w:ascii="Lato" w:eastAsia="Times New Roman" w:hAnsi="Lato"/>
          <w:sz w:val="20"/>
          <w:szCs w:val="20"/>
        </w:rPr>
        <w:t xml:space="preserve"> </w:t>
      </w:r>
      <w:r w:rsidRPr="00EB63BB">
        <w:rPr>
          <w:rFonts w:ascii="Lato" w:eastAsia="Times New Roman" w:hAnsi="Lato" w:cs="Times New Roman"/>
          <w:sz w:val="20"/>
          <w:szCs w:val="20"/>
        </w:rPr>
        <w:t xml:space="preserve">describe el panorama económico nacional con base en el Informe Trimestral del Banco de México correspondiente al periodo enero - marzo del 2026, que es el último publicado y disponible a la fecha en que se elaboran las presentes notas. </w:t>
      </w:r>
    </w:p>
    <w:p w:rsidR="003C767A" w:rsidRPr="00EB63BB" w:rsidRDefault="003C767A" w:rsidP="003C767A">
      <w:pPr>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1. Actividad Económica y Crecimiento del PIB</w:t>
      </w:r>
    </w:p>
    <w:p w:rsidR="003C767A" w:rsidRPr="00EB63BB" w:rsidRDefault="003C767A" w:rsidP="003C767A">
      <w:pPr>
        <w:spacing w:after="0" w:line="240" w:lineRule="auto"/>
        <w:jc w:val="both"/>
        <w:divId w:val="35980657"/>
        <w:rPr>
          <w:rFonts w:ascii="Lato" w:eastAsia="Times New Roman" w:hAnsi="Lato" w:cs="Times New Roman"/>
          <w:sz w:val="20"/>
          <w:szCs w:val="20"/>
        </w:rPr>
      </w:pPr>
    </w:p>
    <w:p w:rsidR="003C767A" w:rsidRPr="00EB63BB" w:rsidRDefault="003C767A" w:rsidP="003C767A">
      <w:pPr>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Durante el primer trimestre de 2026, el PIB de México registró una reducción trimestral del 0.62% con cifras desestacionalizadas, contrarrestando la mejoría del 0.72% observada al cierre del año anterior y rompiendo con el comportamiento de 2025 (cuyas variaciones trimestrales fueron de 0.61%, 0.34%, -0.07% y 0.72%). Este resultado reflejó una marcada debilidad en la actividad económica nacional, impulsada por un retroceso generalizado en sus tres grandes sectores. En concreto, las actividades primarias se redujeron un 1.70% trimestral, frenando el avance logrado en el segundo semestre de 2025; la actividad industrial (secundaria) cayó un 1.02%, revirtiendo la moderada reactivación previa; y los servicios (terciarios) disminuyeron un 0.37%, interrumpiendo la tendencia al alza que mantenían desde el año anterior.</w:t>
      </w:r>
    </w:p>
    <w:p w:rsidR="003C767A" w:rsidRPr="00EB63BB" w:rsidRDefault="003C767A" w:rsidP="003C767A">
      <w:pPr>
        <w:spacing w:after="0" w:line="240" w:lineRule="auto"/>
        <w:jc w:val="both"/>
        <w:divId w:val="35980657"/>
        <w:rPr>
          <w:rFonts w:ascii="Lato" w:eastAsia="Times New Roman" w:hAnsi="Lato" w:cs="Times New Roman"/>
          <w:sz w:val="20"/>
          <w:szCs w:val="20"/>
        </w:rPr>
      </w:pPr>
    </w:p>
    <w:p w:rsidR="003C767A" w:rsidRPr="00EB63BB" w:rsidRDefault="003C767A" w:rsidP="003C767A">
      <w:pPr>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2. Inflación y Precios</w:t>
      </w:r>
    </w:p>
    <w:p w:rsidR="003C767A" w:rsidRPr="00EB63BB" w:rsidRDefault="003C767A" w:rsidP="003C767A">
      <w:pPr>
        <w:spacing w:after="0" w:line="240" w:lineRule="auto"/>
        <w:jc w:val="both"/>
        <w:divId w:val="35980657"/>
        <w:rPr>
          <w:rFonts w:ascii="Lato" w:eastAsia="Times New Roman" w:hAnsi="Lato" w:cs="Times New Roman"/>
          <w:sz w:val="20"/>
          <w:szCs w:val="20"/>
        </w:rPr>
      </w:pPr>
    </w:p>
    <w:p w:rsidR="003C767A" w:rsidRPr="00EB63BB" w:rsidRDefault="003C767A" w:rsidP="003C767A">
      <w:pPr>
        <w:spacing w:after="0" w:line="240" w:lineRule="auto"/>
        <w:ind w:firstLine="708"/>
        <w:jc w:val="both"/>
        <w:divId w:val="35980657"/>
        <w:rPr>
          <w:rFonts w:ascii="Lato" w:eastAsia="Times New Roman" w:hAnsi="Lato" w:cs="Times New Roman"/>
          <w:sz w:val="20"/>
          <w:szCs w:val="20"/>
        </w:rPr>
      </w:pPr>
      <w:r w:rsidRPr="00EB63BB">
        <w:rPr>
          <w:rFonts w:ascii="Lato" w:eastAsia="Times New Roman" w:hAnsi="Lato" w:cs="Times New Roman"/>
          <w:sz w:val="20"/>
          <w:szCs w:val="20"/>
        </w:rPr>
        <w:t>Entre el cuarto trimestre de 2025 y el primer trimestre de 2026, la inflación general anual aumentó de 3.69% a 4.13%. Este comportamiento obedeció principalmente al repunte del componente no subyacente y, en menor medida, al incremento de la inflación subyacente.</w:t>
      </w:r>
    </w:p>
    <w:p w:rsidR="003C767A" w:rsidRPr="00EB63BB" w:rsidRDefault="003C767A" w:rsidP="003C767A">
      <w:pPr>
        <w:spacing w:after="0" w:line="240" w:lineRule="auto"/>
        <w:ind w:firstLine="708"/>
        <w:jc w:val="both"/>
        <w:divId w:val="35980657"/>
        <w:rPr>
          <w:rFonts w:ascii="Lato" w:eastAsia="Times New Roman" w:hAnsi="Lato" w:cs="Times New Roman"/>
          <w:sz w:val="20"/>
          <w:szCs w:val="20"/>
        </w:rPr>
      </w:pPr>
    </w:p>
    <w:p w:rsidR="003C767A" w:rsidRPr="00EB63BB" w:rsidRDefault="003C767A" w:rsidP="003C767A">
      <w:pPr>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En particular, luego de registrar niveles bajos de 1.51% en los dos últimos trimestres de 2025, la inflación no subyacente anual se elevó a 2.96% en el primer trimestre de 2026. Este comportamiento reflejó el aumento de la inflación de los agropecuarios, explicado por los notables incrementos de precios de ciertas verduras con elevada ponderación dentro del Índice Nacional de Precios al Consumidor (INPC). En cuanto a la inflación de los energéticos, esta se mantuvo en niveles bajos e incluso descendió entre trimestres, si bien exhibió cierto aumento desde marzo. Por su parte, la inflación subyacente anual se incrementó de 4.35 a 4.49% en el lapso trimestral referido debido, mayoritariamente, a los cambios al Impuesto Especial sobre Producción y Servicios (IEPS) que entraron en vigor a inicios de año, los cuales contribuyeron a incrementar la inflación del rubro de las mercancías.</w:t>
      </w:r>
    </w:p>
    <w:p w:rsidR="003C767A" w:rsidRPr="00EB63BB" w:rsidRDefault="003C767A" w:rsidP="003C767A">
      <w:pPr>
        <w:spacing w:after="0" w:line="240" w:lineRule="auto"/>
        <w:jc w:val="both"/>
        <w:divId w:val="35980657"/>
        <w:rPr>
          <w:rFonts w:ascii="Lato" w:eastAsia="Times New Roman" w:hAnsi="Lato" w:cs="Times New Roman"/>
          <w:sz w:val="20"/>
          <w:szCs w:val="20"/>
        </w:rPr>
      </w:pPr>
    </w:p>
    <w:p w:rsidR="003C767A" w:rsidRPr="00EB63BB" w:rsidRDefault="003C767A" w:rsidP="003C767A">
      <w:pPr>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La canasta del INPC con variaciones de precios ajustadas por estacionalidad y anualizadas menores o iguales a 3% se elevó a 39% entre el cuarto trimestre de 2025 y el primer trimestre de 2026 y descendió a 28% en su lectura más reciente</w:t>
      </w:r>
    </w:p>
    <w:p w:rsidR="003C767A" w:rsidRPr="00EB63BB" w:rsidRDefault="003C767A" w:rsidP="003C767A">
      <w:pPr>
        <w:spacing w:after="0" w:line="240" w:lineRule="auto"/>
        <w:jc w:val="both"/>
        <w:divId w:val="35980657"/>
        <w:rPr>
          <w:rFonts w:ascii="Lato" w:eastAsia="Times New Roman" w:hAnsi="Lato" w:cs="Times New Roman"/>
          <w:sz w:val="20"/>
          <w:szCs w:val="20"/>
        </w:rPr>
      </w:pPr>
    </w:p>
    <w:p w:rsidR="003C767A" w:rsidRPr="00EB63BB" w:rsidRDefault="003C767A" w:rsidP="003C767A">
      <w:pPr>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La inflación anual de las mercancías aumentó de 4.26 a 4.50% entre el cuarto trimestre de 2025 y el primer trimestre de 2026.</w:t>
      </w:r>
      <w:r w:rsidRPr="00EB63BB">
        <w:rPr>
          <w:rFonts w:ascii="Lato" w:hAnsi="Lato"/>
          <w:sz w:val="20"/>
          <w:szCs w:val="20"/>
        </w:rPr>
        <w:t xml:space="preserve"> </w:t>
      </w:r>
      <w:r w:rsidRPr="00EB63BB">
        <w:rPr>
          <w:rFonts w:ascii="Lato" w:eastAsia="Times New Roman" w:hAnsi="Lato" w:cs="Times New Roman"/>
          <w:sz w:val="20"/>
          <w:szCs w:val="20"/>
        </w:rPr>
        <w:t>En igual comparación trimestral, la inflación de las mercancías no alimenticias se moderó de 3.48 a 3.18%. En la primera quincena de mayo, la</w:t>
      </w:r>
    </w:p>
    <w:p w:rsidR="003C767A" w:rsidRPr="00EB63BB" w:rsidRDefault="003C767A" w:rsidP="003C767A">
      <w:pPr>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inflación de las mercancías totales descendió a 3.83%, la de las alimenticias a 5.18% y la de las no alimenticias registró 2.67%. En este último caso, su</w:t>
      </w:r>
    </w:p>
    <w:p w:rsidR="003C767A" w:rsidRPr="00EB63BB" w:rsidRDefault="003C767A" w:rsidP="003C767A">
      <w:pPr>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desempeño a la baja en el margen estuvo influido por un efecto de base de comparación.</w:t>
      </w:r>
    </w:p>
    <w:p w:rsidR="003C767A" w:rsidRPr="00EB63BB" w:rsidRDefault="003C767A" w:rsidP="003C767A">
      <w:pPr>
        <w:spacing w:after="0" w:line="240" w:lineRule="auto"/>
        <w:jc w:val="both"/>
        <w:divId w:val="35980657"/>
        <w:rPr>
          <w:rFonts w:ascii="Lato" w:eastAsia="Times New Roman" w:hAnsi="Lato" w:cs="Times New Roman"/>
          <w:sz w:val="20"/>
          <w:szCs w:val="20"/>
        </w:rPr>
      </w:pPr>
    </w:p>
    <w:p w:rsidR="005663F8" w:rsidRPr="00EB63BB" w:rsidRDefault="005663F8" w:rsidP="003C767A">
      <w:pPr>
        <w:spacing w:after="0" w:line="240" w:lineRule="auto"/>
        <w:jc w:val="both"/>
        <w:divId w:val="35980657"/>
        <w:rPr>
          <w:rFonts w:ascii="Lato" w:eastAsia="Times New Roman" w:hAnsi="Lato" w:cs="Times New Roman"/>
          <w:sz w:val="20"/>
          <w:szCs w:val="20"/>
        </w:rPr>
      </w:pPr>
    </w:p>
    <w:p w:rsidR="005663F8" w:rsidRPr="00EB63BB" w:rsidRDefault="005663F8" w:rsidP="003C767A">
      <w:pPr>
        <w:spacing w:after="0" w:line="240" w:lineRule="auto"/>
        <w:jc w:val="both"/>
        <w:divId w:val="35980657"/>
        <w:rPr>
          <w:rFonts w:ascii="Lato" w:eastAsia="Times New Roman" w:hAnsi="Lato" w:cs="Times New Roman"/>
          <w:sz w:val="20"/>
          <w:szCs w:val="20"/>
        </w:rPr>
      </w:pPr>
    </w:p>
    <w:p w:rsidR="003C767A" w:rsidRPr="00EB63BB" w:rsidRDefault="003C767A" w:rsidP="003C767A">
      <w:pPr>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lastRenderedPageBreak/>
        <w:t>3. Mercado Laboral y Salarios</w:t>
      </w:r>
    </w:p>
    <w:p w:rsidR="003C767A" w:rsidRPr="00EB63BB" w:rsidRDefault="003C767A" w:rsidP="003C767A">
      <w:pPr>
        <w:spacing w:after="0" w:line="240" w:lineRule="auto"/>
        <w:jc w:val="both"/>
        <w:divId w:val="35980657"/>
        <w:rPr>
          <w:rFonts w:ascii="Lato" w:eastAsia="Times New Roman" w:hAnsi="Lato" w:cs="Times New Roman"/>
          <w:sz w:val="20"/>
          <w:szCs w:val="20"/>
        </w:rPr>
      </w:pPr>
    </w:p>
    <w:p w:rsidR="003C767A" w:rsidRPr="00EB63BB" w:rsidRDefault="003C767A" w:rsidP="003C767A">
      <w:pPr>
        <w:spacing w:after="0" w:line="240" w:lineRule="auto"/>
        <w:ind w:firstLine="708"/>
        <w:jc w:val="both"/>
        <w:divId w:val="35980657"/>
        <w:rPr>
          <w:rFonts w:ascii="Lato" w:eastAsia="Times New Roman" w:hAnsi="Lato" w:cs="Times New Roman"/>
          <w:sz w:val="20"/>
          <w:szCs w:val="20"/>
        </w:rPr>
      </w:pPr>
      <w:r w:rsidRPr="00EB63BB">
        <w:rPr>
          <w:rFonts w:ascii="Lato" w:eastAsia="Times New Roman" w:hAnsi="Lato" w:cs="Times New Roman"/>
          <w:sz w:val="20"/>
          <w:szCs w:val="20"/>
        </w:rPr>
        <w:t xml:space="preserve">La tasa de participación laboral y la razón de ocupación a población en edad de trabajar disminuyeron por tercer trimestre consecutivo, situándose en el primer trimestre de 2026 en niveles respectivos de 59.0 y 57.4% con datos ajustados por estacionalidad. La evolución conjunta de ambos indicadores siguió explicando que tanto la tasa de desocupación nacional como la urbana permanecieran en niveles bajos. No obstante, en el periodo enero-marzo de 2026 ambas registraron un ligero aumento respecto de los niveles reportados en el último trimestre de 2025. </w:t>
      </w:r>
    </w:p>
    <w:p w:rsidR="003C767A" w:rsidRPr="00EB63BB" w:rsidRDefault="003C767A" w:rsidP="003C767A">
      <w:pPr>
        <w:spacing w:after="0" w:line="240" w:lineRule="auto"/>
        <w:jc w:val="both"/>
        <w:divId w:val="35980657"/>
        <w:rPr>
          <w:rFonts w:ascii="Lato" w:eastAsia="Times New Roman" w:hAnsi="Lato" w:cs="Times New Roman"/>
          <w:sz w:val="20"/>
          <w:szCs w:val="20"/>
        </w:rPr>
      </w:pPr>
    </w:p>
    <w:p w:rsidR="003C767A" w:rsidRPr="00EB63BB" w:rsidRDefault="003C767A" w:rsidP="003C767A">
      <w:pPr>
        <w:spacing w:after="0" w:line="240" w:lineRule="auto"/>
        <w:ind w:firstLine="708"/>
        <w:jc w:val="both"/>
        <w:divId w:val="35980657"/>
        <w:rPr>
          <w:rFonts w:ascii="Lato" w:eastAsia="Times New Roman" w:hAnsi="Lato" w:cs="Times New Roman"/>
          <w:sz w:val="20"/>
          <w:szCs w:val="20"/>
        </w:rPr>
      </w:pPr>
      <w:r w:rsidRPr="00EB63BB">
        <w:rPr>
          <w:rFonts w:ascii="Lato" w:eastAsia="Times New Roman" w:hAnsi="Lato" w:cs="Times New Roman"/>
          <w:sz w:val="20"/>
          <w:szCs w:val="20"/>
        </w:rPr>
        <w:t>En particular, la tasa de desocupación nacional pasó de 2.6% en el cuarto trimestre de 2025 a 2.7% en el primero de 2026, mientras que la urbana aumentó de 3.1 a 3.2% en la misma comparación. La tasa de subocupación registró una ligera alza, al pasar de 6.9% en el cuarto trimestre de 2025 a 7.0% en el periodo enero-marzo de 2026, en tanto que la tasa de desocupación extendida disminuyó de 10.2 a 9.9%.</w:t>
      </w:r>
    </w:p>
    <w:p w:rsidR="003C767A" w:rsidRPr="00EB63BB" w:rsidRDefault="003C767A" w:rsidP="003C767A">
      <w:pPr>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En el lapso enero-marzo de 2026, la tasa de informalidad laboral se situó en 55.0%, ligeramente por debajo del nivel del trimestre previo. A su vez, la tasa de ocupación en el sector informal aumentó en su comparación trimestral y alcanzó un nivel de 29.5%.</w:t>
      </w:r>
    </w:p>
    <w:p w:rsidR="003C767A" w:rsidRPr="00EB63BB" w:rsidRDefault="003C767A" w:rsidP="003C767A">
      <w:pPr>
        <w:spacing w:after="0" w:line="240" w:lineRule="auto"/>
        <w:ind w:firstLine="708"/>
        <w:jc w:val="both"/>
        <w:divId w:val="35980657"/>
        <w:rPr>
          <w:rFonts w:ascii="Lato" w:eastAsia="Times New Roman" w:hAnsi="Lato" w:cs="Times New Roman"/>
          <w:sz w:val="20"/>
          <w:szCs w:val="20"/>
        </w:rPr>
      </w:pPr>
    </w:p>
    <w:p w:rsidR="003C767A" w:rsidRPr="00EB63BB" w:rsidRDefault="003C767A" w:rsidP="003C767A">
      <w:pPr>
        <w:spacing w:after="0" w:line="240" w:lineRule="auto"/>
        <w:ind w:firstLine="708"/>
        <w:jc w:val="both"/>
        <w:divId w:val="35980657"/>
        <w:rPr>
          <w:rFonts w:ascii="Lato" w:eastAsia="Times New Roman" w:hAnsi="Lato" w:cs="Times New Roman"/>
          <w:sz w:val="20"/>
          <w:szCs w:val="20"/>
        </w:rPr>
      </w:pPr>
      <w:r w:rsidRPr="00EB63BB">
        <w:rPr>
          <w:rFonts w:ascii="Lato" w:eastAsia="Times New Roman" w:hAnsi="Lato" w:cs="Times New Roman"/>
          <w:sz w:val="20"/>
          <w:szCs w:val="20"/>
        </w:rPr>
        <w:t>En lo que refiere a los puestos de trabajo asociados con la prueba piloto de afiliación de personas trabajadoras de plataformas digitales, en el primer trimestre de 2026 el salario medio de los trabajadores registrados en el IMSS presentó una variación anual de 7.5%</w:t>
      </w:r>
    </w:p>
    <w:p w:rsidR="003C767A" w:rsidRPr="00EB63BB" w:rsidRDefault="003C767A" w:rsidP="003C767A">
      <w:pPr>
        <w:spacing w:after="0" w:line="240" w:lineRule="auto"/>
        <w:jc w:val="both"/>
        <w:divId w:val="35980657"/>
        <w:rPr>
          <w:rFonts w:ascii="Lato" w:eastAsia="Times New Roman" w:hAnsi="Lato" w:cs="Times New Roman"/>
          <w:sz w:val="20"/>
          <w:szCs w:val="20"/>
        </w:rPr>
      </w:pPr>
    </w:p>
    <w:p w:rsidR="003C767A" w:rsidRPr="00EB63BB" w:rsidRDefault="003C767A" w:rsidP="003C767A">
      <w:pPr>
        <w:spacing w:after="0" w:line="240" w:lineRule="auto"/>
        <w:ind w:firstLine="708"/>
        <w:jc w:val="both"/>
        <w:divId w:val="35980657"/>
        <w:rPr>
          <w:rFonts w:ascii="Lato" w:eastAsia="Times New Roman" w:hAnsi="Lato" w:cs="Times New Roman"/>
          <w:sz w:val="20"/>
          <w:szCs w:val="20"/>
        </w:rPr>
      </w:pPr>
      <w:r w:rsidRPr="00EB63BB">
        <w:rPr>
          <w:rFonts w:ascii="Lato" w:eastAsia="Times New Roman" w:hAnsi="Lato" w:cs="Times New Roman"/>
          <w:sz w:val="20"/>
          <w:szCs w:val="20"/>
        </w:rPr>
        <w:t>Postura Monetaria: El Banco de México disminuyó la tasa de interés de referencia 25 puntos base en cada decisión, llevándola de 7.00 a 6.75%.</w:t>
      </w:r>
    </w:p>
    <w:p w:rsidR="003C767A" w:rsidRPr="00EB63BB" w:rsidRDefault="003C767A" w:rsidP="003C767A">
      <w:pPr>
        <w:spacing w:after="0" w:line="240" w:lineRule="auto"/>
        <w:jc w:val="both"/>
        <w:divId w:val="35980657"/>
        <w:rPr>
          <w:rFonts w:ascii="Lato" w:eastAsia="Times New Roman" w:hAnsi="Lato" w:cs="Times New Roman"/>
          <w:sz w:val="20"/>
          <w:szCs w:val="20"/>
        </w:rPr>
      </w:pPr>
    </w:p>
    <w:p w:rsidR="003C767A" w:rsidRPr="00EB63BB" w:rsidRDefault="003C767A" w:rsidP="003C767A">
      <w:pPr>
        <w:spacing w:after="0" w:line="300" w:lineRule="atLeast"/>
        <w:jc w:val="both"/>
        <w:divId w:val="35980657"/>
        <w:rPr>
          <w:rStyle w:val="Hipervnculo"/>
          <w:rFonts w:ascii="Lato" w:hAnsi="Lato"/>
          <w:sz w:val="20"/>
          <w:szCs w:val="20"/>
        </w:rPr>
      </w:pPr>
      <w:r w:rsidRPr="00EB63BB">
        <w:rPr>
          <w:rFonts w:ascii="Lato" w:eastAsia="Times New Roman" w:hAnsi="Lato" w:cs="Times New Roman"/>
          <w:sz w:val="20"/>
          <w:szCs w:val="20"/>
        </w:rPr>
        <w:t xml:space="preserve">Fuente: Tomado del informe trimestral publicado por el Banco de México: </w:t>
      </w:r>
      <w:hyperlink r:id="rId8" w:history="1">
        <w:r w:rsidRPr="00EB63BB">
          <w:rPr>
            <w:rStyle w:val="Hipervnculo"/>
            <w:rFonts w:ascii="Lato" w:eastAsia="Times New Roman" w:hAnsi="Lato" w:cs="Times New Roman"/>
            <w:sz w:val="20"/>
            <w:szCs w:val="20"/>
          </w:rPr>
          <w:t>https://www.banxico.org.mx/publicaciones-y-prensa/informes-trimestrales/informes-trimestrales-precios.html</w:t>
        </w:r>
      </w:hyperlink>
    </w:p>
    <w:p w:rsidR="003C767A" w:rsidRPr="00EB63BB" w:rsidRDefault="003C767A" w:rsidP="003C767A">
      <w:pPr>
        <w:spacing w:after="0" w:line="300" w:lineRule="atLeast"/>
        <w:jc w:val="both"/>
        <w:divId w:val="35980657"/>
        <w:rPr>
          <w:rFonts w:ascii="Lato" w:hAnsi="Lato"/>
          <w:sz w:val="20"/>
          <w:szCs w:val="20"/>
        </w:rPr>
      </w:pPr>
    </w:p>
    <w:p w:rsidR="003C767A" w:rsidRPr="00EB63BB" w:rsidRDefault="003C767A" w:rsidP="003C767A">
      <w:pPr>
        <w:divId w:val="35980657"/>
        <w:rPr>
          <w:rFonts w:ascii="Lato" w:eastAsia="Times New Roman" w:hAnsi="Lato"/>
          <w:sz w:val="20"/>
          <w:szCs w:val="20"/>
        </w:rPr>
      </w:pPr>
      <w:r w:rsidRPr="00EB63BB">
        <w:rPr>
          <w:rStyle w:val="Textoennegrita"/>
          <w:rFonts w:ascii="Lato" w:eastAsia="Times New Roman" w:hAnsi="Lato"/>
          <w:sz w:val="20"/>
          <w:szCs w:val="20"/>
        </w:rPr>
        <w:t>2.2 Panorama económico local</w:t>
      </w:r>
    </w:p>
    <w:p w:rsidR="003C767A" w:rsidRPr="00EB63BB" w:rsidRDefault="003C767A" w:rsidP="003C767A">
      <w:pPr>
        <w:shd w:val="clear" w:color="auto" w:fill="FFFFFF"/>
        <w:spacing w:after="0" w:line="240" w:lineRule="auto"/>
        <w:ind w:firstLine="709"/>
        <w:jc w:val="both"/>
        <w:divId w:val="35980657"/>
        <w:rPr>
          <w:rFonts w:ascii="Lato" w:eastAsia="Times New Roman" w:hAnsi="Lato" w:cs="Times New Roman"/>
          <w:sz w:val="20"/>
          <w:szCs w:val="20"/>
        </w:rPr>
      </w:pPr>
      <w:r w:rsidRPr="00EB63BB">
        <w:rPr>
          <w:rFonts w:ascii="Lato" w:eastAsia="Times New Roman" w:hAnsi="Lato" w:cs="Times New Roman"/>
          <w:sz w:val="20"/>
          <w:szCs w:val="20"/>
        </w:rPr>
        <w:t>Tomando cifras del último Informe de Indicadores Económicos, con cifras al mes de mayo del 2026, de la Universidad Autónoma de Yucatán, se describe el desempeño económico de Yucatán.</w:t>
      </w:r>
    </w:p>
    <w:p w:rsidR="003C767A" w:rsidRPr="00EB63BB" w:rsidRDefault="003C767A" w:rsidP="003C767A">
      <w:pPr>
        <w:shd w:val="clear" w:color="auto" w:fill="FFFFFF"/>
        <w:spacing w:after="0" w:line="240" w:lineRule="auto"/>
        <w:ind w:firstLine="709"/>
        <w:jc w:val="both"/>
        <w:divId w:val="35980657"/>
        <w:rPr>
          <w:rFonts w:ascii="Lato" w:eastAsia="Times New Roman" w:hAnsi="Lato" w:cs="Times New Roman"/>
          <w:sz w:val="20"/>
          <w:szCs w:val="20"/>
        </w:rPr>
      </w:pPr>
      <w:r w:rsidRPr="00EB63BB">
        <w:rPr>
          <w:rFonts w:ascii="Lato" w:eastAsia="Times New Roman" w:hAnsi="Lato" w:cs="Times New Roman"/>
          <w:sz w:val="20"/>
          <w:szCs w:val="20"/>
        </w:rPr>
        <w:t xml:space="preserve"> Los indicadores de crecimiento y actividad se basan en cifras preliminares, pero marcan tendencias claras en la composición económica del estado.</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1. Actividad Económica y Crecimiento Sectorial</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Durante el cuarto trimestre de 2026, la economía de Yucatán registró el 2.1% (Variación Porcentual Anual) del Indicador Estatal de la Actividad Económica (ITAE). El desempeño fue sumamente heterogéneo entre sectores:</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w:t>
      </w:r>
      <w:r w:rsidRPr="00EB63BB">
        <w:rPr>
          <w:rFonts w:ascii="Lato" w:eastAsia="Times New Roman" w:hAnsi="Lato" w:cs="Times New Roman"/>
          <w:sz w:val="20"/>
          <w:szCs w:val="20"/>
        </w:rPr>
        <w:tab/>
        <w:t>Sector Primario: Fue el motor de crecimiento con un avance anual del 12.0%.</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w:t>
      </w:r>
      <w:r w:rsidRPr="00EB63BB">
        <w:rPr>
          <w:rFonts w:ascii="Lato" w:eastAsia="Times New Roman" w:hAnsi="Lato" w:cs="Times New Roman"/>
          <w:sz w:val="20"/>
          <w:szCs w:val="20"/>
        </w:rPr>
        <w:tab/>
        <w:t>Sector Secundario (Industria): Presentó un crecimiento del 3.2%.</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w:t>
      </w:r>
      <w:r w:rsidRPr="00EB63BB">
        <w:rPr>
          <w:rFonts w:ascii="Lato" w:eastAsia="Times New Roman" w:hAnsi="Lato" w:cs="Times New Roman"/>
          <w:sz w:val="20"/>
          <w:szCs w:val="20"/>
        </w:rPr>
        <w:tab/>
        <w:t>Sector Terciario (Comercio y Servicios): Mostró una expansión discreta del 1.1%.</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2. Inflación y Poder Adquisitivo</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Yucatán, y específicamente su capital Mérida, presentan una situación inflacionaria favorable en comparación con el promedio nacional:</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w:t>
      </w:r>
      <w:r w:rsidRPr="00EB63BB">
        <w:rPr>
          <w:rFonts w:ascii="Lato" w:eastAsia="Times New Roman" w:hAnsi="Lato" w:cs="Times New Roman"/>
          <w:sz w:val="20"/>
          <w:szCs w:val="20"/>
        </w:rPr>
        <w:tab/>
        <w:t>Inflación en Mérida (mayo 2026): La variación mensual fue de 0.35%.</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w:t>
      </w:r>
      <w:r w:rsidRPr="00EB63BB">
        <w:rPr>
          <w:rFonts w:ascii="Lato" w:eastAsia="Times New Roman" w:hAnsi="Lato" w:cs="Times New Roman"/>
          <w:sz w:val="20"/>
          <w:szCs w:val="20"/>
        </w:rPr>
        <w:tab/>
        <w:t>Inflación Anualizada al mes de mayo 2026: Mérida cerró el año con un 4.60%.</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w:t>
      </w:r>
      <w:r w:rsidRPr="00EB63BB">
        <w:rPr>
          <w:rFonts w:ascii="Lato" w:eastAsia="Times New Roman" w:hAnsi="Lato" w:cs="Times New Roman"/>
          <w:sz w:val="20"/>
          <w:szCs w:val="20"/>
        </w:rPr>
        <w:tab/>
        <w:t>Salarios: El salario promedio diario de los trabajadores asegurados en el IMSS en Yucatán es de $559.2, situándose por debajo de la media nacional de $671.3. Para 2026, se ha fijado un salario mínimo general de $315.04 (un incremento del 13% respecto a 2025).</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3. Mercado Laboral y Ocupación</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El estado mantiene niveles de desempleo históricamente bajos, aunque con una ligera pérdida de dinamismo al cierre de año:</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p>
    <w:p w:rsidR="003C767A" w:rsidRPr="00EB63BB" w:rsidRDefault="003C767A" w:rsidP="003C767A">
      <w:pPr>
        <w:shd w:val="clear" w:color="auto" w:fill="FFFFFF"/>
        <w:spacing w:after="0" w:line="240" w:lineRule="auto"/>
        <w:ind w:left="705" w:hanging="705"/>
        <w:jc w:val="both"/>
        <w:divId w:val="35980657"/>
        <w:rPr>
          <w:rFonts w:ascii="Lato" w:eastAsia="Times New Roman" w:hAnsi="Lato" w:cs="Times New Roman"/>
          <w:sz w:val="20"/>
          <w:szCs w:val="20"/>
        </w:rPr>
      </w:pPr>
      <w:r w:rsidRPr="00EB63BB">
        <w:rPr>
          <w:rFonts w:ascii="Lato" w:eastAsia="Times New Roman" w:hAnsi="Lato" w:cs="Times New Roman"/>
          <w:sz w:val="20"/>
          <w:szCs w:val="20"/>
        </w:rPr>
        <w:t>•</w:t>
      </w:r>
      <w:r w:rsidRPr="00EB63BB">
        <w:rPr>
          <w:rFonts w:ascii="Lato" w:eastAsia="Times New Roman" w:hAnsi="Lato" w:cs="Times New Roman"/>
          <w:sz w:val="20"/>
          <w:szCs w:val="20"/>
        </w:rPr>
        <w:tab/>
        <w:t xml:space="preserve">Empleo Formal: A mayo de 2026, se contabilizaron 434,577 trabajadores asegurados en el IMSS, presentando una disminución del 0.136% respecto al mes anterior. </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w:t>
      </w:r>
      <w:r w:rsidRPr="00EB63BB">
        <w:rPr>
          <w:rFonts w:ascii="Lato" w:eastAsia="Times New Roman" w:hAnsi="Lato" w:cs="Times New Roman"/>
          <w:sz w:val="20"/>
          <w:szCs w:val="20"/>
        </w:rPr>
        <w:tab/>
        <w:t>Desocupación: La tasa de desocupación al mes de abril 2026 fue de apenas del 1.5%, notablemente inferior al 2.5% nacional.</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w:t>
      </w:r>
      <w:r w:rsidRPr="00EB63BB">
        <w:rPr>
          <w:rFonts w:ascii="Lato" w:eastAsia="Times New Roman" w:hAnsi="Lato" w:cs="Times New Roman"/>
          <w:sz w:val="20"/>
          <w:szCs w:val="20"/>
        </w:rPr>
        <w:tab/>
        <w:t>Informalidad: Persiste como un reto estructural, con una tasa de informalidad laboral del 56.3% al primer trimestre del 2026.</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w:t>
      </w:r>
      <w:r w:rsidRPr="00EB63BB">
        <w:rPr>
          <w:rFonts w:ascii="Lato" w:eastAsia="Times New Roman" w:hAnsi="Lato" w:cs="Times New Roman"/>
          <w:sz w:val="20"/>
          <w:szCs w:val="20"/>
        </w:rPr>
        <w:tab/>
        <w:t>Distribución por Rama, al primer trimestre 2026: Los sectores con mayor volumen de ocupados son:</w:t>
      </w:r>
    </w:p>
    <w:p w:rsidR="003C767A" w:rsidRPr="00EB63BB" w:rsidRDefault="003C767A" w:rsidP="003C767A">
      <w:pPr>
        <w:pStyle w:val="Prrafodelista"/>
        <w:numPr>
          <w:ilvl w:val="0"/>
          <w:numId w:val="7"/>
        </w:numPr>
        <w:shd w:val="clear" w:color="auto" w:fill="FFFFFF"/>
        <w:jc w:val="both"/>
        <w:divId w:val="35980657"/>
        <w:rPr>
          <w:rFonts w:ascii="Lato" w:eastAsia="Times New Roman" w:hAnsi="Lato"/>
          <w:sz w:val="20"/>
          <w:szCs w:val="20"/>
        </w:rPr>
      </w:pPr>
      <w:r w:rsidRPr="00EB63BB">
        <w:rPr>
          <w:rFonts w:ascii="Lato" w:eastAsia="Times New Roman" w:hAnsi="Lato"/>
          <w:sz w:val="20"/>
          <w:szCs w:val="20"/>
        </w:rPr>
        <w:t>Otros servicios: 478,014 personas.</w:t>
      </w:r>
    </w:p>
    <w:p w:rsidR="003C767A" w:rsidRPr="00EB63BB" w:rsidRDefault="003C767A" w:rsidP="003C767A">
      <w:pPr>
        <w:pStyle w:val="Prrafodelista"/>
        <w:numPr>
          <w:ilvl w:val="0"/>
          <w:numId w:val="7"/>
        </w:numPr>
        <w:shd w:val="clear" w:color="auto" w:fill="FFFFFF"/>
        <w:jc w:val="both"/>
        <w:divId w:val="35980657"/>
        <w:rPr>
          <w:rFonts w:ascii="Lato" w:eastAsia="Times New Roman" w:hAnsi="Lato"/>
          <w:sz w:val="20"/>
          <w:szCs w:val="20"/>
        </w:rPr>
      </w:pPr>
      <w:r w:rsidRPr="00EB63BB">
        <w:rPr>
          <w:rFonts w:ascii="Lato" w:eastAsia="Times New Roman" w:hAnsi="Lato"/>
          <w:sz w:val="20"/>
          <w:szCs w:val="20"/>
        </w:rPr>
        <w:t>Comercio: 229,964 personas.</w:t>
      </w:r>
    </w:p>
    <w:p w:rsidR="003C767A" w:rsidRPr="00EB63BB" w:rsidRDefault="003C767A" w:rsidP="003C767A">
      <w:pPr>
        <w:pStyle w:val="Prrafodelista"/>
        <w:numPr>
          <w:ilvl w:val="0"/>
          <w:numId w:val="7"/>
        </w:numPr>
        <w:shd w:val="clear" w:color="auto" w:fill="FFFFFF"/>
        <w:jc w:val="both"/>
        <w:divId w:val="35980657"/>
        <w:rPr>
          <w:rFonts w:ascii="Lato" w:eastAsia="Times New Roman" w:hAnsi="Lato"/>
          <w:sz w:val="20"/>
          <w:szCs w:val="20"/>
        </w:rPr>
      </w:pPr>
      <w:r w:rsidRPr="00EB63BB">
        <w:rPr>
          <w:rFonts w:ascii="Lato" w:eastAsia="Times New Roman" w:hAnsi="Lato"/>
          <w:sz w:val="20"/>
          <w:szCs w:val="20"/>
        </w:rPr>
        <w:t>Industria manufacturera: 183,722 personas.</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4. Productividad Laboral</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Los indicadores de productividad (basados en horas trabajadas) al primer trimestre de 2026 en valoración porcentual anual respecto al mismo trimestre año anterior:</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w:t>
      </w:r>
      <w:r w:rsidRPr="00EB63BB">
        <w:rPr>
          <w:rFonts w:ascii="Lato" w:eastAsia="Times New Roman" w:hAnsi="Lato" w:cs="Times New Roman"/>
          <w:sz w:val="20"/>
          <w:szCs w:val="20"/>
        </w:rPr>
        <w:tab/>
        <w:t>Comercio al por menor: Creció un 2.9%.</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w:t>
      </w:r>
      <w:r w:rsidRPr="00EB63BB">
        <w:rPr>
          <w:rFonts w:ascii="Lato" w:eastAsia="Times New Roman" w:hAnsi="Lato" w:cs="Times New Roman"/>
          <w:sz w:val="20"/>
          <w:szCs w:val="20"/>
        </w:rPr>
        <w:tab/>
        <w:t>Manufacturas: Variación de un 8.0%.</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r w:rsidRPr="00EB63BB">
        <w:rPr>
          <w:rFonts w:ascii="Lato" w:eastAsia="Times New Roman" w:hAnsi="Lato" w:cs="Times New Roman"/>
          <w:sz w:val="20"/>
          <w:szCs w:val="20"/>
        </w:rPr>
        <w:t>•</w:t>
      </w:r>
      <w:r w:rsidRPr="00EB63BB">
        <w:rPr>
          <w:rFonts w:ascii="Lato" w:eastAsia="Times New Roman" w:hAnsi="Lato" w:cs="Times New Roman"/>
          <w:sz w:val="20"/>
          <w:szCs w:val="20"/>
        </w:rPr>
        <w:tab/>
        <w:t>Comercio al por mayor: 4.4%.</w:t>
      </w:r>
    </w:p>
    <w:p w:rsidR="003C767A" w:rsidRPr="00EB63BB" w:rsidRDefault="003C767A" w:rsidP="003C767A">
      <w:pPr>
        <w:shd w:val="clear" w:color="auto" w:fill="FFFFFF"/>
        <w:spacing w:after="0" w:line="240" w:lineRule="auto"/>
        <w:jc w:val="both"/>
        <w:divId w:val="35980657"/>
        <w:rPr>
          <w:rFonts w:ascii="Lato" w:eastAsia="Times New Roman" w:hAnsi="Lato" w:cs="Times New Roman"/>
          <w:sz w:val="20"/>
          <w:szCs w:val="20"/>
        </w:rPr>
      </w:pPr>
    </w:p>
    <w:p w:rsidR="003C767A" w:rsidRPr="00EB63BB" w:rsidRDefault="003C767A" w:rsidP="003C767A">
      <w:pPr>
        <w:divId w:val="35980657"/>
        <w:rPr>
          <w:rFonts w:ascii="Lato" w:eastAsia="Times New Roman" w:hAnsi="Lato"/>
          <w:sz w:val="20"/>
          <w:szCs w:val="20"/>
        </w:rPr>
      </w:pPr>
      <w:r w:rsidRPr="00EB63BB">
        <w:rPr>
          <w:rFonts w:ascii="Lato" w:eastAsia="Times New Roman" w:hAnsi="Lato"/>
          <w:sz w:val="20"/>
          <w:szCs w:val="20"/>
        </w:rPr>
        <w:t>Fuente:</w:t>
      </w:r>
      <w:r w:rsidRPr="00EB63BB">
        <w:rPr>
          <w:rFonts w:ascii="Lato" w:eastAsia="Times New Roman" w:hAnsi="Lato"/>
          <w:color w:val="0070C0"/>
          <w:sz w:val="20"/>
          <w:szCs w:val="20"/>
        </w:rPr>
        <w:t xml:space="preserve"> </w:t>
      </w:r>
      <w:hyperlink r:id="rId9" w:history="1">
        <w:r w:rsidRPr="00EB63BB">
          <w:rPr>
            <w:rStyle w:val="Hipervnculo"/>
            <w:rFonts w:ascii="Lato" w:eastAsia="Times New Roman" w:hAnsi="Lato"/>
            <w:color w:val="0070C0"/>
            <w:sz w:val="20"/>
            <w:szCs w:val="20"/>
          </w:rPr>
          <w:t>https://contaduria.uady.mx/fca-investigacion/ieey</w:t>
        </w:r>
      </w:hyperlink>
    </w:p>
    <w:p w:rsidR="003C767A" w:rsidRPr="00EB63BB" w:rsidRDefault="003C767A" w:rsidP="003C767A">
      <w:pPr>
        <w:jc w:val="both"/>
        <w:divId w:val="35980657"/>
        <w:rPr>
          <w:rFonts w:ascii="Lato" w:hAnsi="Lato"/>
          <w:sz w:val="20"/>
          <w:szCs w:val="20"/>
        </w:rPr>
      </w:pPr>
      <w:r w:rsidRPr="00EB63BB">
        <w:rPr>
          <w:rFonts w:ascii="Lato" w:hAnsi="Lato"/>
          <w:sz w:val="20"/>
          <w:szCs w:val="20"/>
        </w:rPr>
        <w:t>Con información del primer trimestre 2026 Yucatán se ha catalogado con un endeudamiento sostenible, como resultado de la evaluación realizada por el Sistema de Alertas, a través de los indicadores establecidos para tal fin, en los que se puede observar que la Deuda Pública y Obligaciones representa el 37.3% sobre Ingresos de Libre Disposición, así como el  Servicio de la Deuda y de Obligaciones sobre los Ingresos de Libre Disposición representa el 4.7% y las Obligaciones a Corto Plazo y Proveedores y Contratistas sobre Ingresos Totales es de -5.3%.</w:t>
      </w:r>
    </w:p>
    <w:p w:rsidR="003C767A" w:rsidRPr="00EB63BB" w:rsidRDefault="003C767A" w:rsidP="003C767A">
      <w:pPr>
        <w:divId w:val="35980657"/>
        <w:rPr>
          <w:rFonts w:ascii="Lato" w:hAnsi="Lato"/>
          <w:sz w:val="20"/>
          <w:szCs w:val="20"/>
        </w:rPr>
      </w:pPr>
    </w:p>
    <w:p w:rsidR="003C767A" w:rsidRPr="00EB63BB" w:rsidRDefault="003C767A" w:rsidP="003C767A">
      <w:pPr>
        <w:divId w:val="35980657"/>
        <w:rPr>
          <w:rFonts w:ascii="Lato" w:hAnsi="Lato"/>
          <w:sz w:val="20"/>
          <w:szCs w:val="20"/>
        </w:rPr>
      </w:pPr>
      <w:r w:rsidRPr="00EB63BB">
        <w:rPr>
          <w:rFonts w:ascii="Lato" w:hAnsi="Lato"/>
          <w:sz w:val="20"/>
          <w:szCs w:val="20"/>
        </w:rPr>
        <w:t>La fuente de la información se encuentra en la siguiente dirección electrónica:</w:t>
      </w:r>
    </w:p>
    <w:p w:rsidR="003C767A" w:rsidRPr="00EB63BB" w:rsidRDefault="008A1650" w:rsidP="003C767A">
      <w:pPr>
        <w:divId w:val="35980657"/>
        <w:rPr>
          <w:rFonts w:ascii="Lato" w:hAnsi="Lato"/>
          <w:sz w:val="20"/>
          <w:szCs w:val="20"/>
        </w:rPr>
      </w:pPr>
      <w:hyperlink r:id="rId10" w:history="1">
        <w:r w:rsidR="003C767A" w:rsidRPr="00EB63BB">
          <w:rPr>
            <w:rStyle w:val="Hipervnculo"/>
            <w:rFonts w:ascii="Lato" w:hAnsi="Lato"/>
            <w:sz w:val="20"/>
            <w:szCs w:val="20"/>
          </w:rPr>
          <w:t>https://www.disciplinafinanciera.hacienda.gob.mx/es/DISCIPLINA_FINANCIERA/Entidades_Federativas_2026</w:t>
        </w:r>
      </w:hyperlink>
      <w:r w:rsidR="003C767A" w:rsidRPr="00EB63BB">
        <w:rPr>
          <w:rFonts w:ascii="Lato" w:hAnsi="Lato"/>
          <w:sz w:val="20"/>
          <w:szCs w:val="20"/>
        </w:rPr>
        <w:t xml:space="preserve"> </w:t>
      </w:r>
    </w:p>
    <w:p w:rsidR="00B027B5" w:rsidRPr="00EB63BB" w:rsidRDefault="00642EB6">
      <w:pPr>
        <w:divId w:val="973827586"/>
        <w:rPr>
          <w:rFonts w:ascii="Lato" w:eastAsia="Times New Roman" w:hAnsi="Lato"/>
          <w:sz w:val="20"/>
          <w:szCs w:val="20"/>
        </w:rPr>
      </w:pPr>
      <w:r w:rsidRPr="00EB63BB">
        <w:rPr>
          <w:rStyle w:val="Textoennegrita"/>
          <w:rFonts w:ascii="Lato" w:eastAsia="Times New Roman" w:hAnsi="Lato"/>
          <w:sz w:val="20"/>
          <w:szCs w:val="20"/>
        </w:rPr>
        <w:t>3.- Organización y Objeto Social</w:t>
      </w:r>
    </w:p>
    <w:p w:rsidR="00B027B5" w:rsidRPr="00EB63BB" w:rsidRDefault="00642EB6">
      <w:pPr>
        <w:divId w:val="1506941947"/>
        <w:rPr>
          <w:rFonts w:ascii="Lato" w:eastAsia="Times New Roman" w:hAnsi="Lato"/>
          <w:sz w:val="20"/>
          <w:szCs w:val="20"/>
        </w:rPr>
      </w:pPr>
      <w:r w:rsidRPr="00EB63BB">
        <w:rPr>
          <w:rStyle w:val="Textoennegrita"/>
          <w:rFonts w:ascii="Lato" w:eastAsia="Times New Roman" w:hAnsi="Lato"/>
          <w:sz w:val="20"/>
          <w:szCs w:val="20"/>
        </w:rPr>
        <w:t>a) Objeto social.</w:t>
      </w:r>
    </w:p>
    <w:p w:rsidR="00B027B5" w:rsidRPr="00EB63BB" w:rsidRDefault="00642EB6">
      <w:pPr>
        <w:ind w:firstLine="600"/>
        <w:jc w:val="both"/>
        <w:divId w:val="35980657"/>
        <w:rPr>
          <w:rFonts w:ascii="Lato" w:eastAsia="Times New Roman" w:hAnsi="Lato"/>
          <w:sz w:val="20"/>
          <w:szCs w:val="20"/>
        </w:rPr>
      </w:pPr>
      <w:r w:rsidRPr="00EB63BB">
        <w:rPr>
          <w:rFonts w:ascii="Lato" w:eastAsia="Times New Roman" w:hAnsi="Lato"/>
          <w:sz w:val="20"/>
          <w:szCs w:val="20"/>
        </w:rPr>
        <w:t xml:space="preserve">La Administración Pública del Estado conducirá sus actividades en forma programada, con base en las políticas de planeación que establezca el Titular del Ejecutivo del Estado para el logro de los objetivos y prioridades de desarrollo y en los términos que fijen los convenios de coordinación respectivos, </w:t>
      </w:r>
      <w:r w:rsidR="0001179A" w:rsidRPr="00EB63BB">
        <w:rPr>
          <w:rFonts w:ascii="Lato" w:eastAsia="Times New Roman" w:hAnsi="Lato"/>
          <w:sz w:val="20"/>
          <w:szCs w:val="20"/>
        </w:rPr>
        <w:t>El Plan Estatal de Desarrollo 2024-2030 es la ruta que guiará las acciones y políticas del gobierno en los próximos años, asegurando que cada esfuerzo se traduzca en beneficios reales donde las y los yucatecos tengamos mejores oportunidades y una mejor calidad de vida.</w:t>
      </w:r>
    </w:p>
    <w:p w:rsidR="00B027B5" w:rsidRPr="00EB63BB" w:rsidRDefault="00642EB6">
      <w:pPr>
        <w:divId w:val="1768844726"/>
        <w:rPr>
          <w:rFonts w:ascii="Lato" w:eastAsia="Times New Roman" w:hAnsi="Lato"/>
          <w:sz w:val="20"/>
          <w:szCs w:val="20"/>
        </w:rPr>
      </w:pPr>
      <w:r w:rsidRPr="00EB63BB">
        <w:rPr>
          <w:rStyle w:val="Textoennegrita"/>
          <w:rFonts w:ascii="Lato" w:eastAsia="Times New Roman" w:hAnsi="Lato"/>
          <w:sz w:val="20"/>
          <w:szCs w:val="20"/>
        </w:rPr>
        <w:t>b) Principal actividad</w:t>
      </w:r>
    </w:p>
    <w:p w:rsidR="00B027B5" w:rsidRPr="00EB63BB" w:rsidRDefault="00642EB6">
      <w:pPr>
        <w:ind w:firstLine="600"/>
        <w:jc w:val="both"/>
        <w:divId w:val="35980657"/>
        <w:rPr>
          <w:rFonts w:ascii="Lato" w:eastAsia="Times New Roman" w:hAnsi="Lato"/>
          <w:sz w:val="20"/>
          <w:szCs w:val="20"/>
        </w:rPr>
      </w:pPr>
      <w:r w:rsidRPr="00EB63BB">
        <w:rPr>
          <w:rFonts w:ascii="Lato" w:eastAsia="Times New Roman" w:hAnsi="Lato"/>
          <w:sz w:val="20"/>
          <w:szCs w:val="20"/>
        </w:rPr>
        <w:t>La administración Pública centralizada del Estado, es la parte del Poder Ejecutivo cuya responsabilidad es la realización de actos administrativos, jurídicos y materiales, para la prestación de los servicios públicos, para satisfacer las necesidades colectivas.</w:t>
      </w:r>
    </w:p>
    <w:p w:rsidR="00B027B5" w:rsidRPr="00EB63BB" w:rsidRDefault="00F872A8">
      <w:pPr>
        <w:divId w:val="124860588"/>
        <w:rPr>
          <w:rFonts w:ascii="Lato" w:eastAsia="Times New Roman" w:hAnsi="Lato"/>
          <w:sz w:val="20"/>
          <w:szCs w:val="20"/>
        </w:rPr>
      </w:pPr>
      <w:r w:rsidRPr="00EB63BB">
        <w:rPr>
          <w:rStyle w:val="Textoennegrita"/>
          <w:rFonts w:ascii="Lato" w:eastAsia="Times New Roman" w:hAnsi="Lato"/>
          <w:sz w:val="20"/>
          <w:szCs w:val="20"/>
        </w:rPr>
        <w:t>c) Ejercicio Fiscal 2026</w:t>
      </w:r>
      <w:r w:rsidR="00642EB6" w:rsidRPr="00EB63BB">
        <w:rPr>
          <w:rStyle w:val="Textoennegrita"/>
          <w:rFonts w:ascii="Lato" w:eastAsia="Times New Roman" w:hAnsi="Lato"/>
          <w:sz w:val="20"/>
          <w:szCs w:val="20"/>
        </w:rPr>
        <w:t>.</w:t>
      </w:r>
    </w:p>
    <w:p w:rsidR="00B027B5" w:rsidRPr="00EB63BB" w:rsidRDefault="00642EB6">
      <w:pPr>
        <w:ind w:firstLine="600"/>
        <w:jc w:val="both"/>
        <w:divId w:val="35980657"/>
        <w:rPr>
          <w:rFonts w:ascii="Lato" w:eastAsia="Times New Roman" w:hAnsi="Lato"/>
          <w:sz w:val="20"/>
          <w:szCs w:val="20"/>
        </w:rPr>
      </w:pPr>
      <w:r w:rsidRPr="00EB63BB">
        <w:rPr>
          <w:rFonts w:ascii="Lato" w:eastAsia="Times New Roman" w:hAnsi="Lato"/>
          <w:sz w:val="20"/>
          <w:szCs w:val="20"/>
        </w:rPr>
        <w:t>Las cifras contenidas en los Estados Financieros y que se mencionan en estas notas</w:t>
      </w:r>
      <w:r w:rsidR="0001179A" w:rsidRPr="00EB63BB">
        <w:rPr>
          <w:rFonts w:ascii="Lato" w:eastAsia="Times New Roman" w:hAnsi="Lato"/>
          <w:sz w:val="20"/>
          <w:szCs w:val="20"/>
        </w:rPr>
        <w:t xml:space="preserve"> se presentan al 30 de junio</w:t>
      </w:r>
      <w:r w:rsidR="00F872A8" w:rsidRPr="00EB63BB">
        <w:rPr>
          <w:rFonts w:ascii="Lato" w:eastAsia="Times New Roman" w:hAnsi="Lato"/>
          <w:sz w:val="20"/>
          <w:szCs w:val="20"/>
        </w:rPr>
        <w:t xml:space="preserve"> del Ejercicio Fiscal 2026</w:t>
      </w:r>
      <w:r w:rsidRPr="00EB63BB">
        <w:rPr>
          <w:rFonts w:ascii="Lato" w:eastAsia="Times New Roman" w:hAnsi="Lato"/>
          <w:sz w:val="20"/>
          <w:szCs w:val="20"/>
        </w:rPr>
        <w:t>.</w:t>
      </w:r>
    </w:p>
    <w:p w:rsidR="00B027B5" w:rsidRPr="00EB63BB" w:rsidRDefault="00642EB6">
      <w:pPr>
        <w:divId w:val="614798515"/>
        <w:rPr>
          <w:rFonts w:ascii="Lato" w:eastAsia="Times New Roman" w:hAnsi="Lato"/>
          <w:sz w:val="20"/>
          <w:szCs w:val="20"/>
        </w:rPr>
      </w:pPr>
      <w:r w:rsidRPr="00EB63BB">
        <w:rPr>
          <w:rStyle w:val="Textoennegrita"/>
          <w:rFonts w:ascii="Lato" w:eastAsia="Times New Roman" w:hAnsi="Lato"/>
          <w:sz w:val="20"/>
          <w:szCs w:val="20"/>
        </w:rPr>
        <w:t>d) Régimen Jurídico</w:t>
      </w:r>
    </w:p>
    <w:p w:rsidR="00B027B5" w:rsidRPr="00EB63BB" w:rsidRDefault="00642EB6">
      <w:pPr>
        <w:divId w:val="450440836"/>
        <w:rPr>
          <w:rFonts w:ascii="Lato" w:eastAsia="Times New Roman" w:hAnsi="Lato"/>
          <w:sz w:val="20"/>
          <w:szCs w:val="20"/>
        </w:rPr>
      </w:pPr>
      <w:r w:rsidRPr="00EB63BB">
        <w:rPr>
          <w:rFonts w:ascii="Lato" w:eastAsia="Times New Roman" w:hAnsi="Lato"/>
          <w:sz w:val="20"/>
          <w:szCs w:val="20"/>
        </w:rPr>
        <w:t>El Poder Ejecutivo está regulado por lo siguiente:</w:t>
      </w:r>
    </w:p>
    <w:p w:rsidR="00B027B5" w:rsidRPr="00EB63BB" w:rsidRDefault="00642EB6">
      <w:pPr>
        <w:divId w:val="222449376"/>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La Constituci</w:t>
      </w:r>
      <w:r w:rsidRPr="00EB63BB">
        <w:rPr>
          <w:rFonts w:ascii="Lato" w:eastAsia="Times New Roman" w:hAnsi="Lato" w:cs="Barlow"/>
          <w:sz w:val="20"/>
          <w:szCs w:val="20"/>
        </w:rPr>
        <w:t>ó</w:t>
      </w:r>
      <w:r w:rsidRPr="00EB63BB">
        <w:rPr>
          <w:rFonts w:ascii="Lato" w:eastAsia="Times New Roman" w:hAnsi="Lato"/>
          <w:sz w:val="20"/>
          <w:szCs w:val="20"/>
        </w:rPr>
        <w:t>n de los Estados Unidos Mexicanos.</w:t>
      </w:r>
    </w:p>
    <w:p w:rsidR="00B027B5" w:rsidRPr="00EB63BB" w:rsidRDefault="00642EB6">
      <w:pPr>
        <w:divId w:val="219483718"/>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La Constituci</w:t>
      </w:r>
      <w:r w:rsidRPr="00EB63BB">
        <w:rPr>
          <w:rFonts w:ascii="Lato" w:eastAsia="Times New Roman" w:hAnsi="Lato" w:cs="Barlow"/>
          <w:sz w:val="20"/>
          <w:szCs w:val="20"/>
        </w:rPr>
        <w:t>ó</w:t>
      </w:r>
      <w:r w:rsidRPr="00EB63BB">
        <w:rPr>
          <w:rFonts w:ascii="Lato" w:eastAsia="Times New Roman" w:hAnsi="Lato"/>
          <w:sz w:val="20"/>
          <w:szCs w:val="20"/>
        </w:rPr>
        <w:t>n Pol</w:t>
      </w:r>
      <w:r w:rsidRPr="00EB63BB">
        <w:rPr>
          <w:rFonts w:ascii="Lato" w:eastAsia="Times New Roman" w:hAnsi="Lato" w:cs="Barlow"/>
          <w:sz w:val="20"/>
          <w:szCs w:val="20"/>
        </w:rPr>
        <w:t>í</w:t>
      </w:r>
      <w:r w:rsidRPr="00EB63BB">
        <w:rPr>
          <w:rFonts w:ascii="Lato" w:eastAsia="Times New Roman" w:hAnsi="Lato"/>
          <w:sz w:val="20"/>
          <w:szCs w:val="20"/>
        </w:rPr>
        <w:t>tica del Estado de Yucat</w:t>
      </w:r>
      <w:r w:rsidRPr="00EB63BB">
        <w:rPr>
          <w:rFonts w:ascii="Lato" w:eastAsia="Times New Roman" w:hAnsi="Lato" w:cs="Barlow"/>
          <w:sz w:val="20"/>
          <w:szCs w:val="20"/>
        </w:rPr>
        <w:t>á</w:t>
      </w:r>
      <w:r w:rsidRPr="00EB63BB">
        <w:rPr>
          <w:rFonts w:ascii="Lato" w:eastAsia="Times New Roman" w:hAnsi="Lato"/>
          <w:sz w:val="20"/>
          <w:szCs w:val="20"/>
        </w:rPr>
        <w:t>n.</w:t>
      </w:r>
    </w:p>
    <w:p w:rsidR="00B027B5" w:rsidRPr="00EB63BB" w:rsidRDefault="00642EB6">
      <w:pPr>
        <w:divId w:val="487745486"/>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La Ley General de Contabilidad Gubernamental.</w:t>
      </w:r>
    </w:p>
    <w:p w:rsidR="00B027B5" w:rsidRPr="00EB63BB" w:rsidRDefault="00642EB6">
      <w:pPr>
        <w:divId w:val="11341236"/>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El C</w:t>
      </w:r>
      <w:r w:rsidRPr="00EB63BB">
        <w:rPr>
          <w:rFonts w:ascii="Lato" w:eastAsia="Times New Roman" w:hAnsi="Lato" w:cs="Barlow"/>
          <w:sz w:val="20"/>
          <w:szCs w:val="20"/>
        </w:rPr>
        <w:t>ó</w:t>
      </w:r>
      <w:r w:rsidRPr="00EB63BB">
        <w:rPr>
          <w:rFonts w:ascii="Lato" w:eastAsia="Times New Roman" w:hAnsi="Lato"/>
          <w:sz w:val="20"/>
          <w:szCs w:val="20"/>
        </w:rPr>
        <w:t>digo de la Administraci</w:t>
      </w:r>
      <w:r w:rsidRPr="00EB63BB">
        <w:rPr>
          <w:rFonts w:ascii="Lato" w:eastAsia="Times New Roman" w:hAnsi="Lato" w:cs="Barlow"/>
          <w:sz w:val="20"/>
          <w:szCs w:val="20"/>
        </w:rPr>
        <w:t>ó</w:t>
      </w:r>
      <w:r w:rsidRPr="00EB63BB">
        <w:rPr>
          <w:rFonts w:ascii="Lato" w:eastAsia="Times New Roman" w:hAnsi="Lato"/>
          <w:sz w:val="20"/>
          <w:szCs w:val="20"/>
        </w:rPr>
        <w:t>n P</w:t>
      </w:r>
      <w:r w:rsidRPr="00EB63BB">
        <w:rPr>
          <w:rFonts w:ascii="Lato" w:eastAsia="Times New Roman" w:hAnsi="Lato" w:cs="Barlow"/>
          <w:sz w:val="20"/>
          <w:szCs w:val="20"/>
        </w:rPr>
        <w:t>ú</w:t>
      </w:r>
      <w:r w:rsidRPr="00EB63BB">
        <w:rPr>
          <w:rFonts w:ascii="Lato" w:eastAsia="Times New Roman" w:hAnsi="Lato"/>
          <w:sz w:val="20"/>
          <w:szCs w:val="20"/>
        </w:rPr>
        <w:t>blica del Estado de Yucat</w:t>
      </w:r>
      <w:r w:rsidRPr="00EB63BB">
        <w:rPr>
          <w:rFonts w:ascii="Lato" w:eastAsia="Times New Roman" w:hAnsi="Lato" w:cs="Barlow"/>
          <w:sz w:val="20"/>
          <w:szCs w:val="20"/>
        </w:rPr>
        <w:t>á</w:t>
      </w:r>
      <w:r w:rsidRPr="00EB63BB">
        <w:rPr>
          <w:rFonts w:ascii="Lato" w:eastAsia="Times New Roman" w:hAnsi="Lato"/>
          <w:sz w:val="20"/>
          <w:szCs w:val="20"/>
        </w:rPr>
        <w:t>n.</w:t>
      </w:r>
    </w:p>
    <w:p w:rsidR="00B027B5" w:rsidRPr="00EB63BB" w:rsidRDefault="00642EB6">
      <w:pPr>
        <w:divId w:val="974944331"/>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El Reglamento de la Administraci</w:t>
      </w:r>
      <w:r w:rsidRPr="00EB63BB">
        <w:rPr>
          <w:rFonts w:ascii="Lato" w:eastAsia="Times New Roman" w:hAnsi="Lato" w:cs="Barlow"/>
          <w:sz w:val="20"/>
          <w:szCs w:val="20"/>
        </w:rPr>
        <w:t>ó</w:t>
      </w:r>
      <w:r w:rsidRPr="00EB63BB">
        <w:rPr>
          <w:rFonts w:ascii="Lato" w:eastAsia="Times New Roman" w:hAnsi="Lato"/>
          <w:sz w:val="20"/>
          <w:szCs w:val="20"/>
        </w:rPr>
        <w:t>n P</w:t>
      </w:r>
      <w:r w:rsidRPr="00EB63BB">
        <w:rPr>
          <w:rFonts w:ascii="Lato" w:eastAsia="Times New Roman" w:hAnsi="Lato" w:cs="Barlow"/>
          <w:sz w:val="20"/>
          <w:szCs w:val="20"/>
        </w:rPr>
        <w:t>ú</w:t>
      </w:r>
      <w:r w:rsidRPr="00EB63BB">
        <w:rPr>
          <w:rFonts w:ascii="Lato" w:eastAsia="Times New Roman" w:hAnsi="Lato"/>
          <w:sz w:val="20"/>
          <w:szCs w:val="20"/>
        </w:rPr>
        <w:t>blica del Estado de Yucat</w:t>
      </w:r>
      <w:r w:rsidRPr="00EB63BB">
        <w:rPr>
          <w:rFonts w:ascii="Lato" w:eastAsia="Times New Roman" w:hAnsi="Lato" w:cs="Barlow"/>
          <w:sz w:val="20"/>
          <w:szCs w:val="20"/>
        </w:rPr>
        <w:t>á</w:t>
      </w:r>
      <w:r w:rsidRPr="00EB63BB">
        <w:rPr>
          <w:rFonts w:ascii="Lato" w:eastAsia="Times New Roman" w:hAnsi="Lato"/>
          <w:sz w:val="20"/>
          <w:szCs w:val="20"/>
        </w:rPr>
        <w:t>n.</w:t>
      </w:r>
    </w:p>
    <w:p w:rsidR="00B027B5" w:rsidRPr="00EB63BB" w:rsidRDefault="00642EB6">
      <w:pPr>
        <w:divId w:val="1952005597"/>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La Ley del Presupuesto y Contabilidad Gubernamental del Estado de Yucat</w:t>
      </w:r>
      <w:r w:rsidRPr="00EB63BB">
        <w:rPr>
          <w:rFonts w:ascii="Lato" w:eastAsia="Times New Roman" w:hAnsi="Lato" w:cs="Barlow"/>
          <w:sz w:val="20"/>
          <w:szCs w:val="20"/>
        </w:rPr>
        <w:t>á</w:t>
      </w:r>
      <w:r w:rsidRPr="00EB63BB">
        <w:rPr>
          <w:rFonts w:ascii="Lato" w:eastAsia="Times New Roman" w:hAnsi="Lato"/>
          <w:sz w:val="20"/>
          <w:szCs w:val="20"/>
        </w:rPr>
        <w:t>n y su reglamento.</w:t>
      </w:r>
    </w:p>
    <w:p w:rsidR="00B027B5" w:rsidRPr="00EB63BB" w:rsidRDefault="00642EB6">
      <w:pPr>
        <w:divId w:val="1527138292"/>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La Ley de Responsabilidades de los Servidores P</w:t>
      </w:r>
      <w:r w:rsidRPr="00EB63BB">
        <w:rPr>
          <w:rFonts w:ascii="Lato" w:eastAsia="Times New Roman" w:hAnsi="Lato" w:cs="Barlow"/>
          <w:sz w:val="20"/>
          <w:szCs w:val="20"/>
        </w:rPr>
        <w:t>ú</w:t>
      </w:r>
      <w:r w:rsidRPr="00EB63BB">
        <w:rPr>
          <w:rFonts w:ascii="Lato" w:eastAsia="Times New Roman" w:hAnsi="Lato"/>
          <w:sz w:val="20"/>
          <w:szCs w:val="20"/>
        </w:rPr>
        <w:t>blicos del Estado de Yucat</w:t>
      </w:r>
      <w:r w:rsidRPr="00EB63BB">
        <w:rPr>
          <w:rFonts w:ascii="Lato" w:eastAsia="Times New Roman" w:hAnsi="Lato" w:cs="Barlow"/>
          <w:sz w:val="20"/>
          <w:szCs w:val="20"/>
        </w:rPr>
        <w:t>á</w:t>
      </w:r>
      <w:r w:rsidRPr="00EB63BB">
        <w:rPr>
          <w:rFonts w:ascii="Lato" w:eastAsia="Times New Roman" w:hAnsi="Lato"/>
          <w:sz w:val="20"/>
          <w:szCs w:val="20"/>
        </w:rPr>
        <w:t>n.</w:t>
      </w:r>
    </w:p>
    <w:p w:rsidR="00B027B5" w:rsidRPr="00EB63BB" w:rsidRDefault="00642EB6">
      <w:pPr>
        <w:divId w:val="1778326657"/>
        <w:rPr>
          <w:rFonts w:ascii="Lato" w:eastAsia="Times New Roman" w:hAnsi="Lato"/>
          <w:sz w:val="20"/>
          <w:szCs w:val="20"/>
        </w:rPr>
      </w:pPr>
      <w:r w:rsidRPr="00EB63BB">
        <w:rPr>
          <w:rFonts w:ascii="Lato" w:eastAsia="Times New Roman" w:hAnsi="Lato" w:cs="Times New Roman"/>
          <w:sz w:val="20"/>
          <w:szCs w:val="20"/>
        </w:rPr>
        <w:lastRenderedPageBreak/>
        <w:t>●</w:t>
      </w:r>
      <w:r w:rsidRPr="00EB63BB">
        <w:rPr>
          <w:rFonts w:ascii="Lato" w:eastAsia="Times New Roman" w:hAnsi="Lato"/>
          <w:sz w:val="20"/>
          <w:szCs w:val="20"/>
        </w:rPr>
        <w:t xml:space="preserve"> La Ley Federal de Responsabilidades de los Servidores P</w:t>
      </w:r>
      <w:r w:rsidRPr="00EB63BB">
        <w:rPr>
          <w:rFonts w:ascii="Lato" w:eastAsia="Times New Roman" w:hAnsi="Lato" w:cs="Barlow"/>
          <w:sz w:val="20"/>
          <w:szCs w:val="20"/>
        </w:rPr>
        <w:t>ú</w:t>
      </w:r>
      <w:r w:rsidRPr="00EB63BB">
        <w:rPr>
          <w:rFonts w:ascii="Lato" w:eastAsia="Times New Roman" w:hAnsi="Lato"/>
          <w:sz w:val="20"/>
          <w:szCs w:val="20"/>
        </w:rPr>
        <w:t>blicos.</w:t>
      </w:r>
    </w:p>
    <w:p w:rsidR="00B027B5" w:rsidRPr="00EB63BB" w:rsidRDefault="00642EB6">
      <w:pPr>
        <w:divId w:val="240680273"/>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La Ley de Adquisiciones, Arrendamientos y Prestaci</w:t>
      </w:r>
      <w:r w:rsidRPr="00EB63BB">
        <w:rPr>
          <w:rFonts w:ascii="Lato" w:eastAsia="Times New Roman" w:hAnsi="Lato" w:cs="Barlow"/>
          <w:sz w:val="20"/>
          <w:szCs w:val="20"/>
        </w:rPr>
        <w:t>ó</w:t>
      </w:r>
      <w:r w:rsidRPr="00EB63BB">
        <w:rPr>
          <w:rFonts w:ascii="Lato" w:eastAsia="Times New Roman" w:hAnsi="Lato"/>
          <w:sz w:val="20"/>
          <w:szCs w:val="20"/>
        </w:rPr>
        <w:t>n de Servicios relacionados con Bienes Muebles.</w:t>
      </w:r>
    </w:p>
    <w:p w:rsidR="00B027B5" w:rsidRPr="00EB63BB" w:rsidRDefault="00642EB6">
      <w:pPr>
        <w:divId w:val="950211653"/>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La Ley de Fiscalizaci</w:t>
      </w:r>
      <w:r w:rsidRPr="00EB63BB">
        <w:rPr>
          <w:rFonts w:ascii="Lato" w:eastAsia="Times New Roman" w:hAnsi="Lato" w:cs="Barlow"/>
          <w:sz w:val="20"/>
          <w:szCs w:val="20"/>
        </w:rPr>
        <w:t>ó</w:t>
      </w:r>
      <w:r w:rsidRPr="00EB63BB">
        <w:rPr>
          <w:rFonts w:ascii="Lato" w:eastAsia="Times New Roman" w:hAnsi="Lato"/>
          <w:sz w:val="20"/>
          <w:szCs w:val="20"/>
        </w:rPr>
        <w:t>n de la Cuenta P</w:t>
      </w:r>
      <w:r w:rsidRPr="00EB63BB">
        <w:rPr>
          <w:rFonts w:ascii="Lato" w:eastAsia="Times New Roman" w:hAnsi="Lato" w:cs="Barlow"/>
          <w:sz w:val="20"/>
          <w:szCs w:val="20"/>
        </w:rPr>
        <w:t>ú</w:t>
      </w:r>
      <w:r w:rsidRPr="00EB63BB">
        <w:rPr>
          <w:rFonts w:ascii="Lato" w:eastAsia="Times New Roman" w:hAnsi="Lato"/>
          <w:sz w:val="20"/>
          <w:szCs w:val="20"/>
        </w:rPr>
        <w:t>blica del Estado de Yucat</w:t>
      </w:r>
      <w:r w:rsidRPr="00EB63BB">
        <w:rPr>
          <w:rFonts w:ascii="Lato" w:eastAsia="Times New Roman" w:hAnsi="Lato" w:cs="Barlow"/>
          <w:sz w:val="20"/>
          <w:szCs w:val="20"/>
        </w:rPr>
        <w:t>á</w:t>
      </w:r>
      <w:r w:rsidRPr="00EB63BB">
        <w:rPr>
          <w:rFonts w:ascii="Lato" w:eastAsia="Times New Roman" w:hAnsi="Lato"/>
          <w:sz w:val="20"/>
          <w:szCs w:val="20"/>
        </w:rPr>
        <w:t>n y su reglamento.</w:t>
      </w:r>
    </w:p>
    <w:p w:rsidR="00B027B5" w:rsidRPr="00EB63BB" w:rsidRDefault="00642EB6">
      <w:pPr>
        <w:divId w:val="731586780"/>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Ley de Disciplina Financiera de las Entidades Federativas y Municipios.</w:t>
      </w:r>
    </w:p>
    <w:p w:rsidR="00B027B5" w:rsidRPr="00EB63BB" w:rsidRDefault="00642EB6">
      <w:pPr>
        <w:divId w:val="944728511"/>
        <w:rPr>
          <w:rFonts w:ascii="Lato" w:eastAsia="Times New Roman" w:hAnsi="Lato"/>
          <w:sz w:val="20"/>
          <w:szCs w:val="20"/>
        </w:rPr>
      </w:pPr>
      <w:r w:rsidRPr="00EB63BB">
        <w:rPr>
          <w:rStyle w:val="Textoennegrita"/>
          <w:rFonts w:ascii="Lato" w:eastAsia="Times New Roman" w:hAnsi="Lato"/>
          <w:sz w:val="20"/>
          <w:szCs w:val="20"/>
        </w:rPr>
        <w:t xml:space="preserve">e) Consideraciones fiscales del ente: </w:t>
      </w:r>
    </w:p>
    <w:p w:rsidR="00B027B5" w:rsidRPr="00EB63BB" w:rsidRDefault="00642EB6">
      <w:pPr>
        <w:ind w:firstLine="600"/>
        <w:jc w:val="both"/>
        <w:divId w:val="35980657"/>
        <w:rPr>
          <w:rFonts w:ascii="Lato" w:eastAsia="Times New Roman" w:hAnsi="Lato"/>
          <w:sz w:val="20"/>
          <w:szCs w:val="20"/>
        </w:rPr>
      </w:pPr>
      <w:r w:rsidRPr="00EB63BB">
        <w:rPr>
          <w:rFonts w:ascii="Lato" w:eastAsia="Times New Roman" w:hAnsi="Lato"/>
          <w:sz w:val="20"/>
          <w:szCs w:val="20"/>
        </w:rPr>
        <w:t xml:space="preserve">El Poder Ejecutivo es un organismo de la Administración Pública General; el cual inicia operaciones ante las oficinas de la Secretaria de Hacienda Federal el 1 de febrero de 1970. Las obligaciones fiscales de la administración Pública centralizada del Estado son las siguientes: </w:t>
      </w:r>
    </w:p>
    <w:p w:rsidR="00B027B5" w:rsidRPr="00EB63BB" w:rsidRDefault="00642EB6">
      <w:pPr>
        <w:ind w:firstLine="600"/>
        <w:divId w:val="1658192765"/>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Declaraci</w:t>
      </w:r>
      <w:r w:rsidRPr="00EB63BB">
        <w:rPr>
          <w:rFonts w:ascii="Lato" w:eastAsia="Times New Roman" w:hAnsi="Lato" w:cs="Barlow"/>
          <w:sz w:val="20"/>
          <w:szCs w:val="20"/>
        </w:rPr>
        <w:t>ó</w:t>
      </w:r>
      <w:r w:rsidRPr="00EB63BB">
        <w:rPr>
          <w:rFonts w:ascii="Lato" w:eastAsia="Times New Roman" w:hAnsi="Lato"/>
          <w:sz w:val="20"/>
          <w:szCs w:val="20"/>
        </w:rPr>
        <w:t>n y pago provisional mensual de retenciones de Impuestos Sobre la Renta (ISR) por sueldos y salarios.</w:t>
      </w:r>
    </w:p>
    <w:p w:rsidR="00B027B5" w:rsidRPr="00EB63BB" w:rsidRDefault="00642EB6">
      <w:pPr>
        <w:ind w:firstLine="600"/>
        <w:divId w:val="1605532005"/>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Declaraci</w:t>
      </w:r>
      <w:r w:rsidRPr="00EB63BB">
        <w:rPr>
          <w:rFonts w:ascii="Lato" w:eastAsia="Times New Roman" w:hAnsi="Lato" w:cs="Barlow"/>
          <w:sz w:val="20"/>
          <w:szCs w:val="20"/>
        </w:rPr>
        <w:t>ó</w:t>
      </w:r>
      <w:r w:rsidRPr="00EB63BB">
        <w:rPr>
          <w:rFonts w:ascii="Lato" w:eastAsia="Times New Roman" w:hAnsi="Lato"/>
          <w:sz w:val="20"/>
          <w:szCs w:val="20"/>
        </w:rPr>
        <w:t>n y pago provisional mensual de Impuestos Sobre la Renta (ISR) por retenciones realizadas por Servicios Profesionales.</w:t>
      </w:r>
    </w:p>
    <w:p w:rsidR="00B027B5" w:rsidRPr="00EB63BB" w:rsidRDefault="00642EB6">
      <w:pPr>
        <w:ind w:firstLine="600"/>
        <w:divId w:val="880364742"/>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Declaraci</w:t>
      </w:r>
      <w:r w:rsidRPr="00EB63BB">
        <w:rPr>
          <w:rFonts w:ascii="Lato" w:eastAsia="Times New Roman" w:hAnsi="Lato" w:cs="Barlow"/>
          <w:sz w:val="20"/>
          <w:szCs w:val="20"/>
        </w:rPr>
        <w:t>ó</w:t>
      </w:r>
      <w:r w:rsidRPr="00EB63BB">
        <w:rPr>
          <w:rFonts w:ascii="Lato" w:eastAsia="Times New Roman" w:hAnsi="Lato"/>
          <w:sz w:val="20"/>
          <w:szCs w:val="20"/>
        </w:rPr>
        <w:t>n y pago provisional mensual de Impuesto Sobre la Renta (ISR) por retenciones realizadas por pagos de Rentas de Bienes Inmuebles.</w:t>
      </w:r>
    </w:p>
    <w:p w:rsidR="00B027B5" w:rsidRPr="00EB63BB" w:rsidRDefault="00642EB6">
      <w:pPr>
        <w:ind w:firstLine="600"/>
        <w:divId w:val="1598060448"/>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Presentar la declaraci</w:t>
      </w:r>
      <w:r w:rsidRPr="00EB63BB">
        <w:rPr>
          <w:rFonts w:ascii="Lato" w:eastAsia="Times New Roman" w:hAnsi="Lato" w:cs="Barlow"/>
          <w:sz w:val="20"/>
          <w:szCs w:val="20"/>
        </w:rPr>
        <w:t>ó</w:t>
      </w:r>
      <w:r w:rsidRPr="00EB63BB">
        <w:rPr>
          <w:rFonts w:ascii="Lato" w:eastAsia="Times New Roman" w:hAnsi="Lato"/>
          <w:sz w:val="20"/>
          <w:szCs w:val="20"/>
        </w:rPr>
        <w:t>n informativa mensual de operaciones con terceros.</w:t>
      </w:r>
    </w:p>
    <w:p w:rsidR="00B027B5" w:rsidRPr="00EB63BB" w:rsidRDefault="00642EB6">
      <w:pPr>
        <w:ind w:firstLine="600"/>
        <w:divId w:val="1717898373"/>
        <w:rPr>
          <w:rFonts w:ascii="Lato" w:eastAsia="Times New Roman" w:hAnsi="Lato"/>
          <w:sz w:val="20"/>
          <w:szCs w:val="20"/>
        </w:rPr>
      </w:pPr>
      <w:r w:rsidRPr="00EB63BB">
        <w:rPr>
          <w:rStyle w:val="Textoennegrita"/>
          <w:rFonts w:ascii="Lato" w:eastAsia="Times New Roman" w:hAnsi="Lato"/>
          <w:sz w:val="20"/>
          <w:szCs w:val="20"/>
        </w:rPr>
        <w:t>f) Estructura Organizacional Básica.</w:t>
      </w:r>
    </w:p>
    <w:p w:rsidR="00B027B5" w:rsidRPr="00EB63BB" w:rsidRDefault="00642EB6">
      <w:pPr>
        <w:ind w:firstLine="840"/>
        <w:jc w:val="both"/>
        <w:divId w:val="35980657"/>
        <w:rPr>
          <w:rFonts w:ascii="Lato" w:eastAsia="Times New Roman" w:hAnsi="Lato"/>
          <w:sz w:val="20"/>
          <w:szCs w:val="20"/>
        </w:rPr>
      </w:pPr>
      <w:r w:rsidRPr="00EB63BB">
        <w:rPr>
          <w:rFonts w:ascii="Lato" w:eastAsia="Times New Roman" w:hAnsi="Lato"/>
          <w:sz w:val="20"/>
          <w:szCs w:val="20"/>
        </w:rPr>
        <w:t xml:space="preserve">El Reglamento del Código de la Administración Pública de Yucatán, tiene por objeto establecer la Organización y facultades de las Dependencias y Entidades que conforman la Administración Pública del Estado de Yucatán. </w:t>
      </w:r>
    </w:p>
    <w:p w:rsidR="00B027B5" w:rsidRPr="00EB63BB" w:rsidRDefault="00642EB6">
      <w:pPr>
        <w:ind w:firstLine="600"/>
        <w:divId w:val="1450978189"/>
        <w:rPr>
          <w:rFonts w:ascii="Lato" w:eastAsia="Times New Roman" w:hAnsi="Lato"/>
          <w:sz w:val="20"/>
          <w:szCs w:val="20"/>
        </w:rPr>
      </w:pPr>
      <w:r w:rsidRPr="00EB63BB">
        <w:rPr>
          <w:rStyle w:val="Textoennegrita"/>
          <w:rFonts w:ascii="Lato" w:eastAsia="Times New Roman" w:hAnsi="Lato"/>
          <w:sz w:val="20"/>
          <w:szCs w:val="20"/>
        </w:rPr>
        <w:t>g) Fideicomisos, mandatos y análogos de los cuales es fideicomitente o fiduciario.</w:t>
      </w:r>
    </w:p>
    <w:p w:rsidR="00B027B5" w:rsidRPr="00EB63BB" w:rsidRDefault="00642EB6">
      <w:pPr>
        <w:divId w:val="1541017078"/>
        <w:rPr>
          <w:rFonts w:ascii="Lato" w:eastAsia="Times New Roman" w:hAnsi="Lato"/>
          <w:sz w:val="20"/>
          <w:szCs w:val="20"/>
        </w:rPr>
      </w:pPr>
      <w:r w:rsidRPr="00EB63BB">
        <w:rPr>
          <w:rFonts w:ascii="Lato" w:eastAsia="Times New Roman" w:hAnsi="Lato"/>
          <w:sz w:val="20"/>
          <w:szCs w:val="20"/>
        </w:rPr>
        <w:t>Los fideicomisos del Gobierno del Estado que</w:t>
      </w:r>
      <w:r w:rsidR="00E0475C" w:rsidRPr="00EB63BB">
        <w:rPr>
          <w:rFonts w:ascii="Lato" w:eastAsia="Times New Roman" w:hAnsi="Lato"/>
          <w:sz w:val="20"/>
          <w:szCs w:val="20"/>
        </w:rPr>
        <w:t xml:space="preserve"> se manejaron al 30 de junio</w:t>
      </w:r>
      <w:r w:rsidR="009238FE" w:rsidRPr="00EB63BB">
        <w:rPr>
          <w:rFonts w:ascii="Lato" w:eastAsia="Times New Roman" w:hAnsi="Lato"/>
          <w:sz w:val="20"/>
          <w:szCs w:val="20"/>
        </w:rPr>
        <w:t xml:space="preserve"> de 2026</w:t>
      </w:r>
      <w:r w:rsidRPr="00EB63BB">
        <w:rPr>
          <w:rFonts w:ascii="Lato" w:eastAsia="Times New Roman" w:hAnsi="Lato"/>
          <w:sz w:val="20"/>
          <w:szCs w:val="20"/>
        </w:rPr>
        <w:t xml:space="preserve"> son los siguientes:</w:t>
      </w:r>
    </w:p>
    <w:tbl>
      <w:tblPr>
        <w:tblW w:w="13829" w:type="dxa"/>
        <w:tblCellMar>
          <w:left w:w="70" w:type="dxa"/>
          <w:right w:w="70" w:type="dxa"/>
        </w:tblCellMar>
        <w:tblLook w:val="04A0" w:firstRow="1" w:lastRow="0" w:firstColumn="1" w:lastColumn="0" w:noHBand="0" w:noVBand="1"/>
      </w:tblPr>
      <w:tblGrid>
        <w:gridCol w:w="709"/>
        <w:gridCol w:w="13120"/>
      </w:tblGrid>
      <w:tr w:rsidR="003C7BF8" w:rsidRPr="00EB63BB" w:rsidTr="003C7BF8">
        <w:trPr>
          <w:divId w:val="1541017078"/>
          <w:trHeight w:val="255"/>
        </w:trPr>
        <w:tc>
          <w:tcPr>
            <w:tcW w:w="709" w:type="dxa"/>
            <w:tcBorders>
              <w:top w:val="nil"/>
              <w:left w:val="nil"/>
              <w:bottom w:val="nil"/>
              <w:right w:val="nil"/>
            </w:tcBorders>
            <w:shd w:val="clear" w:color="auto" w:fill="auto"/>
            <w:noWrap/>
            <w:vAlign w:val="center"/>
            <w:hideMark/>
          </w:tcPr>
          <w:p w:rsidR="003C7BF8" w:rsidRPr="00EB63BB" w:rsidRDefault="003C7BF8" w:rsidP="003C7BF8">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i</w:t>
            </w:r>
          </w:p>
        </w:tc>
        <w:tc>
          <w:tcPr>
            <w:tcW w:w="13120" w:type="dxa"/>
            <w:tcBorders>
              <w:top w:val="nil"/>
              <w:left w:val="nil"/>
              <w:bottom w:val="nil"/>
              <w:right w:val="nil"/>
            </w:tcBorders>
            <w:shd w:val="clear" w:color="auto" w:fill="auto"/>
            <w:vAlign w:val="center"/>
            <w:hideMark/>
          </w:tcPr>
          <w:p w:rsidR="003C7BF8" w:rsidRPr="00EB63BB" w:rsidRDefault="003C7BF8" w:rsidP="003C7BF8">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FONDO PARA LA ATENCIÓN DE EMERGENCIAS Y DESASTRES DEL ESTADO (FAED)</w:t>
            </w:r>
          </w:p>
        </w:tc>
      </w:tr>
      <w:tr w:rsidR="003C7BF8" w:rsidRPr="00EB63BB" w:rsidTr="003C7BF8">
        <w:trPr>
          <w:divId w:val="1541017078"/>
          <w:trHeight w:val="510"/>
        </w:trPr>
        <w:tc>
          <w:tcPr>
            <w:tcW w:w="709" w:type="dxa"/>
            <w:tcBorders>
              <w:top w:val="nil"/>
              <w:left w:val="nil"/>
              <w:bottom w:val="nil"/>
              <w:right w:val="nil"/>
            </w:tcBorders>
            <w:shd w:val="clear" w:color="auto" w:fill="auto"/>
            <w:noWrap/>
            <w:vAlign w:val="center"/>
            <w:hideMark/>
          </w:tcPr>
          <w:p w:rsidR="003C7BF8" w:rsidRPr="00EB63BB" w:rsidRDefault="003C7BF8" w:rsidP="003C7BF8">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ii</w:t>
            </w:r>
          </w:p>
        </w:tc>
        <w:tc>
          <w:tcPr>
            <w:tcW w:w="13120" w:type="dxa"/>
            <w:tcBorders>
              <w:top w:val="nil"/>
              <w:left w:val="nil"/>
              <w:bottom w:val="nil"/>
              <w:right w:val="nil"/>
            </w:tcBorders>
            <w:shd w:val="clear" w:color="auto" w:fill="auto"/>
            <w:vAlign w:val="center"/>
            <w:hideMark/>
          </w:tcPr>
          <w:p w:rsidR="003C7BF8" w:rsidRPr="00EB63BB" w:rsidRDefault="003C7BF8" w:rsidP="003C7BF8">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YUCATECO PARA LA DIGNIFICACION Y DESARROLLO INTEGRAL DE LOS TRABAJADORES DE LA CONSTRUCCION (FYDITRAC)</w:t>
            </w:r>
          </w:p>
        </w:tc>
      </w:tr>
      <w:tr w:rsidR="003C7BF8" w:rsidRPr="00EB63BB" w:rsidTr="003C7BF8">
        <w:trPr>
          <w:divId w:val="1541017078"/>
          <w:trHeight w:val="255"/>
        </w:trPr>
        <w:tc>
          <w:tcPr>
            <w:tcW w:w="709" w:type="dxa"/>
            <w:tcBorders>
              <w:top w:val="nil"/>
              <w:left w:val="nil"/>
              <w:bottom w:val="nil"/>
              <w:right w:val="nil"/>
            </w:tcBorders>
            <w:shd w:val="clear" w:color="auto" w:fill="auto"/>
            <w:noWrap/>
            <w:vAlign w:val="center"/>
            <w:hideMark/>
          </w:tcPr>
          <w:p w:rsidR="003C7BF8" w:rsidRPr="00EB63BB" w:rsidRDefault="003C7BF8" w:rsidP="003C7BF8">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iii</w:t>
            </w:r>
          </w:p>
        </w:tc>
        <w:tc>
          <w:tcPr>
            <w:tcW w:w="13120" w:type="dxa"/>
            <w:tcBorders>
              <w:top w:val="nil"/>
              <w:left w:val="nil"/>
              <w:bottom w:val="nil"/>
              <w:right w:val="nil"/>
            </w:tcBorders>
            <w:shd w:val="clear" w:color="auto" w:fill="auto"/>
            <w:vAlign w:val="center"/>
            <w:hideMark/>
          </w:tcPr>
          <w:p w:rsidR="003C7BF8" w:rsidRPr="00EB63BB" w:rsidRDefault="003C7BF8" w:rsidP="003C7BF8">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FONDO DE FOMENTO AGROPECUARIO DEL ESTADO DE YUCATAN (FOFAY)</w:t>
            </w:r>
          </w:p>
        </w:tc>
      </w:tr>
      <w:tr w:rsidR="003C7BF8" w:rsidRPr="00EB63BB" w:rsidTr="003C7BF8">
        <w:trPr>
          <w:divId w:val="1541017078"/>
          <w:trHeight w:val="255"/>
        </w:trPr>
        <w:tc>
          <w:tcPr>
            <w:tcW w:w="709" w:type="dxa"/>
            <w:tcBorders>
              <w:top w:val="nil"/>
              <w:left w:val="nil"/>
              <w:bottom w:val="nil"/>
              <w:right w:val="nil"/>
            </w:tcBorders>
            <w:shd w:val="clear" w:color="auto" w:fill="auto"/>
            <w:noWrap/>
            <w:vAlign w:val="center"/>
            <w:hideMark/>
          </w:tcPr>
          <w:p w:rsidR="003C7BF8" w:rsidRPr="00EB63BB" w:rsidRDefault="003C7BF8" w:rsidP="003C7BF8">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iv</w:t>
            </w:r>
          </w:p>
        </w:tc>
        <w:tc>
          <w:tcPr>
            <w:tcW w:w="13120" w:type="dxa"/>
            <w:tcBorders>
              <w:top w:val="nil"/>
              <w:left w:val="nil"/>
              <w:bottom w:val="nil"/>
              <w:right w:val="nil"/>
            </w:tcBorders>
            <w:shd w:val="clear" w:color="auto" w:fill="auto"/>
            <w:vAlign w:val="center"/>
            <w:hideMark/>
          </w:tcPr>
          <w:p w:rsidR="003C7BF8" w:rsidRPr="00EB63BB" w:rsidRDefault="003C7BF8" w:rsidP="003C7BF8">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FONDO INTEGRAL PARA EL DESARROLLO ECONOMICO DE YUCATAN (FIDEY)</w:t>
            </w:r>
          </w:p>
        </w:tc>
      </w:tr>
      <w:tr w:rsidR="003C7BF8" w:rsidRPr="00EB63BB" w:rsidTr="003C7BF8">
        <w:trPr>
          <w:divId w:val="1541017078"/>
          <w:trHeight w:val="255"/>
        </w:trPr>
        <w:tc>
          <w:tcPr>
            <w:tcW w:w="709" w:type="dxa"/>
            <w:tcBorders>
              <w:top w:val="nil"/>
              <w:left w:val="nil"/>
              <w:bottom w:val="nil"/>
              <w:right w:val="nil"/>
            </w:tcBorders>
            <w:shd w:val="clear" w:color="auto" w:fill="auto"/>
            <w:noWrap/>
            <w:vAlign w:val="center"/>
            <w:hideMark/>
          </w:tcPr>
          <w:p w:rsidR="003C7BF8" w:rsidRPr="00EB63BB" w:rsidRDefault="003C7BF8" w:rsidP="003C7BF8">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v</w:t>
            </w:r>
          </w:p>
        </w:tc>
        <w:tc>
          <w:tcPr>
            <w:tcW w:w="13120" w:type="dxa"/>
            <w:tcBorders>
              <w:top w:val="nil"/>
              <w:left w:val="nil"/>
              <w:bottom w:val="nil"/>
              <w:right w:val="nil"/>
            </w:tcBorders>
            <w:shd w:val="clear" w:color="auto" w:fill="auto"/>
            <w:vAlign w:val="center"/>
            <w:hideMark/>
          </w:tcPr>
          <w:p w:rsidR="003C7BF8" w:rsidRPr="00EB63BB" w:rsidRDefault="003C7BF8" w:rsidP="003C7BF8">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PARA LA PROMOCIÓN TURÍSTICA DEL ESTADO DE YUCATÁN</w:t>
            </w:r>
          </w:p>
        </w:tc>
      </w:tr>
      <w:tr w:rsidR="003C7BF8" w:rsidRPr="00EB63BB" w:rsidTr="003C7BF8">
        <w:trPr>
          <w:divId w:val="1541017078"/>
          <w:trHeight w:val="255"/>
        </w:trPr>
        <w:tc>
          <w:tcPr>
            <w:tcW w:w="709" w:type="dxa"/>
            <w:tcBorders>
              <w:top w:val="nil"/>
              <w:left w:val="nil"/>
              <w:bottom w:val="nil"/>
              <w:right w:val="nil"/>
            </w:tcBorders>
            <w:shd w:val="clear" w:color="auto" w:fill="auto"/>
            <w:noWrap/>
            <w:vAlign w:val="center"/>
            <w:hideMark/>
          </w:tcPr>
          <w:p w:rsidR="003C7BF8" w:rsidRPr="00EB63BB" w:rsidRDefault="003C7BF8" w:rsidP="003C7BF8">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vi</w:t>
            </w:r>
          </w:p>
        </w:tc>
        <w:tc>
          <w:tcPr>
            <w:tcW w:w="13120" w:type="dxa"/>
            <w:tcBorders>
              <w:top w:val="nil"/>
              <w:left w:val="nil"/>
              <w:bottom w:val="nil"/>
              <w:right w:val="nil"/>
            </w:tcBorders>
            <w:shd w:val="clear" w:color="auto" w:fill="auto"/>
            <w:vAlign w:val="center"/>
            <w:hideMark/>
          </w:tcPr>
          <w:p w:rsidR="003C7BF8" w:rsidRPr="00EB63BB" w:rsidRDefault="003C7BF8" w:rsidP="003C7BF8">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F/0002 PROTEGO CASA DE BOLSA DIV FIDUCIARIA</w:t>
            </w:r>
          </w:p>
        </w:tc>
      </w:tr>
      <w:tr w:rsidR="003C7BF8" w:rsidRPr="00EB63BB" w:rsidTr="003C7BF8">
        <w:trPr>
          <w:divId w:val="1541017078"/>
          <w:trHeight w:val="255"/>
        </w:trPr>
        <w:tc>
          <w:tcPr>
            <w:tcW w:w="709" w:type="dxa"/>
            <w:tcBorders>
              <w:top w:val="nil"/>
              <w:left w:val="nil"/>
              <w:bottom w:val="nil"/>
              <w:right w:val="nil"/>
            </w:tcBorders>
            <w:shd w:val="clear" w:color="auto" w:fill="auto"/>
            <w:noWrap/>
            <w:vAlign w:val="center"/>
            <w:hideMark/>
          </w:tcPr>
          <w:p w:rsidR="003C7BF8" w:rsidRPr="00EB63BB" w:rsidRDefault="003C7BF8" w:rsidP="003C7BF8">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vii</w:t>
            </w:r>
          </w:p>
        </w:tc>
        <w:tc>
          <w:tcPr>
            <w:tcW w:w="13120" w:type="dxa"/>
            <w:tcBorders>
              <w:top w:val="nil"/>
              <w:left w:val="nil"/>
              <w:bottom w:val="nil"/>
              <w:right w:val="nil"/>
            </w:tcBorders>
            <w:shd w:val="clear" w:color="auto" w:fill="auto"/>
            <w:vAlign w:val="center"/>
            <w:hideMark/>
          </w:tcPr>
          <w:p w:rsidR="003C7BF8" w:rsidRPr="00EB63BB" w:rsidRDefault="003C7BF8" w:rsidP="003C7BF8">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F/0019 PROTEGO CASA DE BOLSA SA DE CV FID</w:t>
            </w:r>
          </w:p>
        </w:tc>
      </w:tr>
      <w:tr w:rsidR="003C7BF8" w:rsidRPr="00EB63BB" w:rsidTr="003C7BF8">
        <w:trPr>
          <w:divId w:val="1541017078"/>
          <w:trHeight w:val="255"/>
        </w:trPr>
        <w:tc>
          <w:tcPr>
            <w:tcW w:w="709" w:type="dxa"/>
            <w:tcBorders>
              <w:top w:val="nil"/>
              <w:left w:val="nil"/>
              <w:bottom w:val="nil"/>
              <w:right w:val="nil"/>
            </w:tcBorders>
            <w:shd w:val="clear" w:color="auto" w:fill="auto"/>
            <w:noWrap/>
            <w:vAlign w:val="center"/>
            <w:hideMark/>
          </w:tcPr>
          <w:p w:rsidR="003C7BF8" w:rsidRPr="00EB63BB" w:rsidRDefault="003C7BF8" w:rsidP="003C7BF8">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viii</w:t>
            </w:r>
          </w:p>
        </w:tc>
        <w:tc>
          <w:tcPr>
            <w:tcW w:w="13120" w:type="dxa"/>
            <w:tcBorders>
              <w:top w:val="nil"/>
              <w:left w:val="nil"/>
              <w:bottom w:val="nil"/>
              <w:right w:val="nil"/>
            </w:tcBorders>
            <w:shd w:val="clear" w:color="auto" w:fill="auto"/>
            <w:vAlign w:val="center"/>
            <w:hideMark/>
          </w:tcPr>
          <w:p w:rsidR="003C7BF8" w:rsidRPr="00EB63BB" w:rsidRDefault="003C7BF8" w:rsidP="003C7BF8">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NO. F/4109088</w:t>
            </w:r>
          </w:p>
        </w:tc>
      </w:tr>
      <w:tr w:rsidR="003C7BF8" w:rsidRPr="00EB63BB" w:rsidTr="003C7BF8">
        <w:trPr>
          <w:divId w:val="1541017078"/>
          <w:trHeight w:val="255"/>
        </w:trPr>
        <w:tc>
          <w:tcPr>
            <w:tcW w:w="709" w:type="dxa"/>
            <w:tcBorders>
              <w:top w:val="nil"/>
              <w:left w:val="nil"/>
              <w:bottom w:val="nil"/>
              <w:right w:val="nil"/>
            </w:tcBorders>
            <w:shd w:val="clear" w:color="auto" w:fill="auto"/>
            <w:noWrap/>
            <w:vAlign w:val="center"/>
            <w:hideMark/>
          </w:tcPr>
          <w:p w:rsidR="003C7BF8" w:rsidRPr="00EB63BB" w:rsidRDefault="003C7BF8" w:rsidP="003C7BF8">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ix</w:t>
            </w:r>
          </w:p>
        </w:tc>
        <w:tc>
          <w:tcPr>
            <w:tcW w:w="13120" w:type="dxa"/>
            <w:tcBorders>
              <w:top w:val="nil"/>
              <w:left w:val="nil"/>
              <w:bottom w:val="nil"/>
              <w:right w:val="nil"/>
            </w:tcBorders>
            <w:shd w:val="clear" w:color="auto" w:fill="auto"/>
            <w:vAlign w:val="center"/>
            <w:hideMark/>
          </w:tcPr>
          <w:p w:rsidR="003C7BF8" w:rsidRPr="00EB63BB" w:rsidRDefault="003C7BF8" w:rsidP="003C7BF8">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F/4109146</w:t>
            </w:r>
          </w:p>
        </w:tc>
      </w:tr>
      <w:tr w:rsidR="003C7BF8" w:rsidRPr="00EB63BB" w:rsidTr="003C7BF8">
        <w:trPr>
          <w:divId w:val="1541017078"/>
          <w:trHeight w:val="255"/>
        </w:trPr>
        <w:tc>
          <w:tcPr>
            <w:tcW w:w="709" w:type="dxa"/>
            <w:tcBorders>
              <w:top w:val="nil"/>
              <w:left w:val="nil"/>
              <w:bottom w:val="nil"/>
              <w:right w:val="nil"/>
            </w:tcBorders>
            <w:shd w:val="clear" w:color="auto" w:fill="auto"/>
            <w:noWrap/>
            <w:vAlign w:val="center"/>
            <w:hideMark/>
          </w:tcPr>
          <w:p w:rsidR="003C7BF8" w:rsidRPr="00EB63BB" w:rsidRDefault="003C7BF8" w:rsidP="003C7BF8">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lastRenderedPageBreak/>
              <w:t>x</w:t>
            </w:r>
          </w:p>
        </w:tc>
        <w:tc>
          <w:tcPr>
            <w:tcW w:w="13120" w:type="dxa"/>
            <w:tcBorders>
              <w:top w:val="nil"/>
              <w:left w:val="nil"/>
              <w:bottom w:val="nil"/>
              <w:right w:val="nil"/>
            </w:tcBorders>
            <w:shd w:val="clear" w:color="auto" w:fill="auto"/>
            <w:vAlign w:val="center"/>
            <w:hideMark/>
          </w:tcPr>
          <w:p w:rsidR="003C7BF8" w:rsidRPr="00EB63BB" w:rsidRDefault="003C7BF8" w:rsidP="003C7BF8">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PARA EL DESARROLLO REGIONAL DEL SUR SURESTE 2050. FIDESUR</w:t>
            </w:r>
          </w:p>
        </w:tc>
      </w:tr>
      <w:tr w:rsidR="003C7BF8" w:rsidRPr="00EB63BB" w:rsidTr="003C7BF8">
        <w:trPr>
          <w:divId w:val="1541017078"/>
          <w:trHeight w:val="255"/>
        </w:trPr>
        <w:tc>
          <w:tcPr>
            <w:tcW w:w="709" w:type="dxa"/>
            <w:tcBorders>
              <w:top w:val="nil"/>
              <w:left w:val="nil"/>
              <w:bottom w:val="nil"/>
              <w:right w:val="nil"/>
            </w:tcBorders>
            <w:shd w:val="clear" w:color="auto" w:fill="auto"/>
            <w:noWrap/>
            <w:vAlign w:val="center"/>
            <w:hideMark/>
          </w:tcPr>
          <w:p w:rsidR="003C7BF8" w:rsidRPr="00EB63BB" w:rsidRDefault="003C7BF8" w:rsidP="003C7BF8">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xi</w:t>
            </w:r>
          </w:p>
        </w:tc>
        <w:tc>
          <w:tcPr>
            <w:tcW w:w="13120" w:type="dxa"/>
            <w:tcBorders>
              <w:top w:val="nil"/>
              <w:left w:val="nil"/>
              <w:bottom w:val="nil"/>
              <w:right w:val="nil"/>
            </w:tcBorders>
            <w:shd w:val="clear" w:color="auto" w:fill="auto"/>
            <w:vAlign w:val="center"/>
            <w:hideMark/>
          </w:tcPr>
          <w:p w:rsidR="003C7BF8" w:rsidRPr="00EB63BB" w:rsidRDefault="003C7BF8" w:rsidP="003C7BF8">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No. F/4130480</w:t>
            </w:r>
          </w:p>
        </w:tc>
      </w:tr>
      <w:tr w:rsidR="003C7BF8" w:rsidRPr="00EB63BB" w:rsidTr="003C7BF8">
        <w:trPr>
          <w:divId w:val="1541017078"/>
          <w:trHeight w:val="255"/>
        </w:trPr>
        <w:tc>
          <w:tcPr>
            <w:tcW w:w="709" w:type="dxa"/>
            <w:tcBorders>
              <w:top w:val="nil"/>
              <w:left w:val="nil"/>
              <w:bottom w:val="nil"/>
              <w:right w:val="nil"/>
            </w:tcBorders>
            <w:shd w:val="clear" w:color="auto" w:fill="auto"/>
            <w:noWrap/>
            <w:vAlign w:val="center"/>
            <w:hideMark/>
          </w:tcPr>
          <w:p w:rsidR="003C7BF8" w:rsidRPr="00EB63BB" w:rsidRDefault="003C7BF8" w:rsidP="003C7BF8">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xii</w:t>
            </w:r>
          </w:p>
        </w:tc>
        <w:tc>
          <w:tcPr>
            <w:tcW w:w="13120" w:type="dxa"/>
            <w:tcBorders>
              <w:top w:val="nil"/>
              <w:left w:val="nil"/>
              <w:bottom w:val="nil"/>
              <w:right w:val="nil"/>
            </w:tcBorders>
            <w:shd w:val="clear" w:color="auto" w:fill="auto"/>
            <w:vAlign w:val="center"/>
            <w:hideMark/>
          </w:tcPr>
          <w:p w:rsidR="003C7BF8" w:rsidRPr="00EB63BB" w:rsidRDefault="003C7BF8" w:rsidP="003C7BF8">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DE INVERSION Y ADMINISTRACION NÚMERO F/4142634</w:t>
            </w:r>
          </w:p>
        </w:tc>
      </w:tr>
      <w:tr w:rsidR="003C7BF8" w:rsidRPr="00EB63BB" w:rsidTr="003C7BF8">
        <w:trPr>
          <w:divId w:val="1541017078"/>
          <w:trHeight w:val="255"/>
        </w:trPr>
        <w:tc>
          <w:tcPr>
            <w:tcW w:w="709" w:type="dxa"/>
            <w:tcBorders>
              <w:top w:val="nil"/>
              <w:left w:val="nil"/>
              <w:bottom w:val="nil"/>
              <w:right w:val="nil"/>
            </w:tcBorders>
            <w:shd w:val="clear" w:color="auto" w:fill="auto"/>
            <w:noWrap/>
            <w:vAlign w:val="center"/>
            <w:hideMark/>
          </w:tcPr>
          <w:p w:rsidR="003C7BF8" w:rsidRPr="00EB63BB" w:rsidRDefault="003C7BF8" w:rsidP="003C7BF8">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xiii</w:t>
            </w:r>
          </w:p>
        </w:tc>
        <w:tc>
          <w:tcPr>
            <w:tcW w:w="13120" w:type="dxa"/>
            <w:tcBorders>
              <w:top w:val="nil"/>
              <w:left w:val="nil"/>
              <w:bottom w:val="nil"/>
              <w:right w:val="nil"/>
            </w:tcBorders>
            <w:shd w:val="clear" w:color="auto" w:fill="auto"/>
            <w:vAlign w:val="center"/>
            <w:hideMark/>
          </w:tcPr>
          <w:p w:rsidR="003C7BF8" w:rsidRPr="00EB63BB" w:rsidRDefault="003C7BF8" w:rsidP="003C7BF8">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No. F/1412</w:t>
            </w:r>
          </w:p>
        </w:tc>
      </w:tr>
      <w:tr w:rsidR="003C7BF8" w:rsidRPr="00EB63BB" w:rsidTr="003C7BF8">
        <w:trPr>
          <w:divId w:val="1541017078"/>
          <w:trHeight w:val="255"/>
        </w:trPr>
        <w:tc>
          <w:tcPr>
            <w:tcW w:w="709" w:type="dxa"/>
            <w:tcBorders>
              <w:top w:val="nil"/>
              <w:left w:val="nil"/>
              <w:bottom w:val="nil"/>
              <w:right w:val="nil"/>
            </w:tcBorders>
            <w:shd w:val="clear" w:color="auto" w:fill="auto"/>
            <w:noWrap/>
            <w:vAlign w:val="center"/>
            <w:hideMark/>
          </w:tcPr>
          <w:p w:rsidR="003C7BF8" w:rsidRPr="00EB63BB" w:rsidRDefault="003C7BF8" w:rsidP="003C7BF8">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xiv</w:t>
            </w:r>
          </w:p>
        </w:tc>
        <w:tc>
          <w:tcPr>
            <w:tcW w:w="13120" w:type="dxa"/>
            <w:tcBorders>
              <w:top w:val="nil"/>
              <w:left w:val="nil"/>
              <w:bottom w:val="nil"/>
              <w:right w:val="nil"/>
            </w:tcBorders>
            <w:shd w:val="clear" w:color="auto" w:fill="auto"/>
            <w:vAlign w:val="center"/>
            <w:hideMark/>
          </w:tcPr>
          <w:p w:rsidR="003C7BF8" w:rsidRPr="00EB63BB" w:rsidRDefault="003C7BF8" w:rsidP="003C7BF8">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PROGRAMA DE BECAS NACIONALES PARA LA EDUCACIÓN SUPERIOR DE MANUTENCIÓN DE YUCATÁN</w:t>
            </w:r>
          </w:p>
        </w:tc>
      </w:tr>
    </w:tbl>
    <w:p w:rsidR="008356C3" w:rsidRPr="00EB63BB" w:rsidRDefault="008356C3">
      <w:pPr>
        <w:divId w:val="1804158860"/>
        <w:rPr>
          <w:rStyle w:val="Textoennegrita"/>
          <w:rFonts w:ascii="Lato" w:eastAsia="Times New Roman" w:hAnsi="Lato"/>
          <w:sz w:val="20"/>
          <w:szCs w:val="20"/>
        </w:rPr>
      </w:pPr>
    </w:p>
    <w:p w:rsidR="00B027B5" w:rsidRPr="00EB63BB" w:rsidRDefault="00642EB6">
      <w:pPr>
        <w:divId w:val="1804158860"/>
        <w:rPr>
          <w:rFonts w:ascii="Lato" w:eastAsia="Times New Roman" w:hAnsi="Lato"/>
          <w:sz w:val="20"/>
          <w:szCs w:val="20"/>
        </w:rPr>
      </w:pPr>
      <w:r w:rsidRPr="00EB63BB">
        <w:rPr>
          <w:rStyle w:val="Textoennegrita"/>
          <w:rFonts w:ascii="Lato" w:eastAsia="Times New Roman" w:hAnsi="Lato"/>
          <w:sz w:val="20"/>
          <w:szCs w:val="20"/>
        </w:rPr>
        <w:t>4.- Bases para la Preparación de Estados Financieros.</w:t>
      </w:r>
    </w:p>
    <w:p w:rsidR="00B027B5" w:rsidRPr="00EB63BB" w:rsidRDefault="00642EB6">
      <w:pPr>
        <w:jc w:val="both"/>
        <w:divId w:val="1465807759"/>
        <w:rPr>
          <w:rFonts w:ascii="Lato" w:eastAsia="Times New Roman" w:hAnsi="Lato"/>
          <w:sz w:val="20"/>
          <w:szCs w:val="20"/>
        </w:rPr>
      </w:pPr>
      <w:r w:rsidRPr="00EB63BB">
        <w:rPr>
          <w:rFonts w:ascii="Lato" w:eastAsia="Times New Roman" w:hAnsi="Lato"/>
          <w:sz w:val="20"/>
          <w:szCs w:val="20"/>
        </w:rPr>
        <w:t>a)         En la preparación de los Estados Financieros del</w:t>
      </w:r>
      <w:r w:rsidR="002B33B7" w:rsidRPr="00EB63BB">
        <w:rPr>
          <w:rFonts w:ascii="Lato" w:eastAsia="Times New Roman" w:hAnsi="Lato"/>
          <w:sz w:val="20"/>
          <w:szCs w:val="20"/>
        </w:rPr>
        <w:t xml:space="preserve"> Poder Ejecutivo, se observó</w:t>
      </w:r>
      <w:r w:rsidRPr="00EB63BB">
        <w:rPr>
          <w:rFonts w:ascii="Lato" w:eastAsia="Times New Roman" w:hAnsi="Lato"/>
          <w:sz w:val="20"/>
          <w:szCs w:val="20"/>
        </w:rPr>
        <w:t xml:space="preserve"> lo establecido en la Ley General de Contabilidad Gubernamental, la Ley de Presupuesto y Contabilidad Gubernamental del Estado de Yucatán y demás disposiciones emitidas para tal efecto por el Consejo Nacional de Armonización Contable (CONAC). </w:t>
      </w:r>
    </w:p>
    <w:p w:rsidR="00B027B5" w:rsidRPr="00EB63BB" w:rsidRDefault="00642EB6">
      <w:pPr>
        <w:jc w:val="both"/>
        <w:divId w:val="1309087837"/>
        <w:rPr>
          <w:rFonts w:ascii="Lato" w:eastAsia="Times New Roman" w:hAnsi="Lato"/>
          <w:sz w:val="20"/>
          <w:szCs w:val="20"/>
        </w:rPr>
      </w:pPr>
      <w:r w:rsidRPr="00EB63BB">
        <w:rPr>
          <w:rFonts w:ascii="Lato" w:eastAsia="Times New Roman" w:hAnsi="Lato"/>
          <w:sz w:val="20"/>
          <w:szCs w:val="20"/>
        </w:rPr>
        <w:t>b)         La base de medición utilizada en el registro de las operaciones para la elaboración de los Estados Financieros es a Costo histórico.</w:t>
      </w:r>
    </w:p>
    <w:p w:rsidR="00B027B5" w:rsidRPr="00EB63BB" w:rsidRDefault="00642EB6">
      <w:pPr>
        <w:jc w:val="both"/>
        <w:divId w:val="662120614"/>
        <w:rPr>
          <w:rFonts w:ascii="Lato" w:eastAsia="Times New Roman" w:hAnsi="Lato"/>
          <w:sz w:val="20"/>
          <w:szCs w:val="20"/>
        </w:rPr>
      </w:pPr>
      <w:r w:rsidRPr="00EB63BB">
        <w:rPr>
          <w:rFonts w:ascii="Lato" w:eastAsia="Times New Roman" w:hAnsi="Lato"/>
          <w:sz w:val="20"/>
          <w:szCs w:val="20"/>
        </w:rPr>
        <w:t>c)         Postulados básicos de la Contabilidad gubernamental aprobados por la CONAC y Publicados en el Diario Oficial del Estado para su difusión.</w:t>
      </w:r>
    </w:p>
    <w:p w:rsidR="00B027B5" w:rsidRPr="00EB63BB" w:rsidRDefault="00642EB6">
      <w:pPr>
        <w:divId w:val="1840541655"/>
        <w:rPr>
          <w:rFonts w:ascii="Lato" w:eastAsia="Times New Roman" w:hAnsi="Lato"/>
          <w:sz w:val="20"/>
          <w:szCs w:val="20"/>
        </w:rPr>
      </w:pPr>
      <w:r w:rsidRPr="00EB63BB">
        <w:rPr>
          <w:rFonts w:ascii="Lato" w:eastAsia="Times New Roman" w:hAnsi="Lato"/>
          <w:sz w:val="20"/>
          <w:szCs w:val="20"/>
        </w:rPr>
        <w:t>a)         Sustancia Económica</w:t>
      </w:r>
    </w:p>
    <w:p w:rsidR="00B027B5" w:rsidRPr="00EB63BB" w:rsidRDefault="00642EB6">
      <w:pPr>
        <w:divId w:val="603223459"/>
        <w:rPr>
          <w:rFonts w:ascii="Lato" w:eastAsia="Times New Roman" w:hAnsi="Lato"/>
          <w:sz w:val="20"/>
          <w:szCs w:val="20"/>
        </w:rPr>
      </w:pPr>
      <w:r w:rsidRPr="00EB63BB">
        <w:rPr>
          <w:rFonts w:ascii="Lato" w:eastAsia="Times New Roman" w:hAnsi="Lato"/>
          <w:sz w:val="20"/>
          <w:szCs w:val="20"/>
        </w:rPr>
        <w:t>b)         Entes Públicos</w:t>
      </w:r>
    </w:p>
    <w:p w:rsidR="00B027B5" w:rsidRPr="00EB63BB" w:rsidRDefault="00642EB6">
      <w:pPr>
        <w:divId w:val="137503026"/>
        <w:rPr>
          <w:rFonts w:ascii="Lato" w:eastAsia="Times New Roman" w:hAnsi="Lato"/>
          <w:sz w:val="20"/>
          <w:szCs w:val="20"/>
        </w:rPr>
      </w:pPr>
      <w:r w:rsidRPr="00EB63BB">
        <w:rPr>
          <w:rFonts w:ascii="Lato" w:eastAsia="Times New Roman" w:hAnsi="Lato"/>
          <w:sz w:val="20"/>
          <w:szCs w:val="20"/>
        </w:rPr>
        <w:t>c)         Existencia Permanente</w:t>
      </w:r>
    </w:p>
    <w:p w:rsidR="00B027B5" w:rsidRPr="00EB63BB" w:rsidRDefault="00642EB6">
      <w:pPr>
        <w:divId w:val="354505221"/>
        <w:rPr>
          <w:rFonts w:ascii="Lato" w:eastAsia="Times New Roman" w:hAnsi="Lato"/>
          <w:sz w:val="20"/>
          <w:szCs w:val="20"/>
        </w:rPr>
      </w:pPr>
      <w:r w:rsidRPr="00EB63BB">
        <w:rPr>
          <w:rFonts w:ascii="Lato" w:eastAsia="Times New Roman" w:hAnsi="Lato"/>
          <w:sz w:val="20"/>
          <w:szCs w:val="20"/>
        </w:rPr>
        <w:t>d)         Revelación Suficiente</w:t>
      </w:r>
    </w:p>
    <w:p w:rsidR="00B027B5" w:rsidRPr="00EB63BB" w:rsidRDefault="00642EB6">
      <w:pPr>
        <w:divId w:val="905408786"/>
        <w:rPr>
          <w:rFonts w:ascii="Lato" w:eastAsia="Times New Roman" w:hAnsi="Lato"/>
          <w:sz w:val="20"/>
          <w:szCs w:val="20"/>
        </w:rPr>
      </w:pPr>
      <w:r w:rsidRPr="00EB63BB">
        <w:rPr>
          <w:rFonts w:ascii="Lato" w:eastAsia="Times New Roman" w:hAnsi="Lato"/>
          <w:sz w:val="20"/>
          <w:szCs w:val="20"/>
        </w:rPr>
        <w:t>e)         Importancia Relativa</w:t>
      </w:r>
    </w:p>
    <w:p w:rsidR="00B027B5" w:rsidRPr="00EB63BB" w:rsidRDefault="00642EB6">
      <w:pPr>
        <w:divId w:val="1859923263"/>
        <w:rPr>
          <w:rFonts w:ascii="Lato" w:eastAsia="Times New Roman" w:hAnsi="Lato"/>
          <w:sz w:val="20"/>
          <w:szCs w:val="20"/>
        </w:rPr>
      </w:pPr>
      <w:r w:rsidRPr="00EB63BB">
        <w:rPr>
          <w:rFonts w:ascii="Lato" w:eastAsia="Times New Roman" w:hAnsi="Lato"/>
          <w:sz w:val="20"/>
          <w:szCs w:val="20"/>
        </w:rPr>
        <w:t>f)         Registro e Integración Presupuestaria</w:t>
      </w:r>
    </w:p>
    <w:p w:rsidR="00B027B5" w:rsidRPr="00EB63BB" w:rsidRDefault="00642EB6">
      <w:pPr>
        <w:divId w:val="1639873980"/>
        <w:rPr>
          <w:rFonts w:ascii="Lato" w:eastAsia="Times New Roman" w:hAnsi="Lato"/>
          <w:sz w:val="20"/>
          <w:szCs w:val="20"/>
        </w:rPr>
      </w:pPr>
      <w:r w:rsidRPr="00EB63BB">
        <w:rPr>
          <w:rFonts w:ascii="Lato" w:eastAsia="Times New Roman" w:hAnsi="Lato"/>
          <w:sz w:val="20"/>
          <w:szCs w:val="20"/>
        </w:rPr>
        <w:t>g)         Consolidación de la Información Financiera</w:t>
      </w:r>
    </w:p>
    <w:p w:rsidR="00B027B5" w:rsidRPr="00EB63BB" w:rsidRDefault="00642EB6">
      <w:pPr>
        <w:divId w:val="1433890449"/>
        <w:rPr>
          <w:rFonts w:ascii="Lato" w:eastAsia="Times New Roman" w:hAnsi="Lato"/>
          <w:sz w:val="20"/>
          <w:szCs w:val="20"/>
        </w:rPr>
      </w:pPr>
      <w:r w:rsidRPr="00EB63BB">
        <w:rPr>
          <w:rFonts w:ascii="Lato" w:eastAsia="Times New Roman" w:hAnsi="Lato"/>
          <w:sz w:val="20"/>
          <w:szCs w:val="20"/>
        </w:rPr>
        <w:t>h)         Devengo Contable</w:t>
      </w:r>
    </w:p>
    <w:p w:rsidR="00B027B5" w:rsidRPr="00EB63BB" w:rsidRDefault="00642EB6">
      <w:pPr>
        <w:divId w:val="1359313710"/>
        <w:rPr>
          <w:rFonts w:ascii="Lato" w:eastAsia="Times New Roman" w:hAnsi="Lato"/>
          <w:sz w:val="20"/>
          <w:szCs w:val="20"/>
        </w:rPr>
      </w:pPr>
      <w:r w:rsidRPr="00EB63BB">
        <w:rPr>
          <w:rFonts w:ascii="Lato" w:eastAsia="Times New Roman" w:hAnsi="Lato"/>
          <w:sz w:val="20"/>
          <w:szCs w:val="20"/>
        </w:rPr>
        <w:t>i)         Valuación</w:t>
      </w:r>
    </w:p>
    <w:p w:rsidR="00B027B5" w:rsidRPr="00EB63BB" w:rsidRDefault="00642EB6">
      <w:pPr>
        <w:divId w:val="1399472854"/>
        <w:rPr>
          <w:rFonts w:ascii="Lato" w:eastAsia="Times New Roman" w:hAnsi="Lato"/>
          <w:sz w:val="20"/>
          <w:szCs w:val="20"/>
        </w:rPr>
      </w:pPr>
      <w:r w:rsidRPr="00EB63BB">
        <w:rPr>
          <w:rFonts w:ascii="Lato" w:eastAsia="Times New Roman" w:hAnsi="Lato"/>
          <w:sz w:val="20"/>
          <w:szCs w:val="20"/>
        </w:rPr>
        <w:t>j)         Dualidad Económica</w:t>
      </w:r>
    </w:p>
    <w:p w:rsidR="00B027B5" w:rsidRPr="00EB63BB" w:rsidRDefault="00642EB6">
      <w:pPr>
        <w:divId w:val="883906366"/>
        <w:rPr>
          <w:rFonts w:ascii="Lato" w:eastAsia="Times New Roman" w:hAnsi="Lato"/>
          <w:sz w:val="20"/>
          <w:szCs w:val="20"/>
        </w:rPr>
      </w:pPr>
      <w:r w:rsidRPr="00EB63BB">
        <w:rPr>
          <w:rFonts w:ascii="Lato" w:eastAsia="Times New Roman" w:hAnsi="Lato"/>
          <w:sz w:val="20"/>
          <w:szCs w:val="20"/>
        </w:rPr>
        <w:t>k)         Consistencia</w:t>
      </w:r>
    </w:p>
    <w:p w:rsidR="00B027B5" w:rsidRPr="00EB63BB" w:rsidRDefault="00642EB6">
      <w:pPr>
        <w:jc w:val="both"/>
        <w:divId w:val="151874290"/>
        <w:rPr>
          <w:rFonts w:ascii="Lato" w:eastAsia="Times New Roman" w:hAnsi="Lato"/>
          <w:sz w:val="20"/>
          <w:szCs w:val="20"/>
        </w:rPr>
      </w:pPr>
      <w:r w:rsidRPr="00EB63BB">
        <w:rPr>
          <w:rFonts w:ascii="Lato" w:eastAsia="Times New Roman" w:hAnsi="Lato"/>
          <w:sz w:val="20"/>
          <w:szCs w:val="20"/>
        </w:rPr>
        <w:t>d)         En forma supletoria a las Normas de la Ley General de Contabilidad Gubernamental y a las emitidas por la CONAC aplicaron las siguientes:</w:t>
      </w:r>
    </w:p>
    <w:p w:rsidR="00B027B5" w:rsidRPr="00EB63BB" w:rsidRDefault="00642EB6">
      <w:pPr>
        <w:divId w:val="1942377297"/>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cs="Barlow"/>
          <w:sz w:val="20"/>
          <w:szCs w:val="20"/>
        </w:rPr>
        <w:t>        </w:t>
      </w:r>
      <w:r w:rsidRPr="00EB63BB">
        <w:rPr>
          <w:rFonts w:ascii="Lato" w:eastAsia="Times New Roman" w:hAnsi="Lato"/>
          <w:sz w:val="20"/>
          <w:szCs w:val="20"/>
        </w:rPr>
        <w:t xml:space="preserve"> Normatividad emitida por las unidades administrativas o instancias competentes en materia de Contabilidad Gubernamental.</w:t>
      </w:r>
    </w:p>
    <w:p w:rsidR="00B027B5" w:rsidRPr="00EB63BB" w:rsidRDefault="00642EB6">
      <w:pPr>
        <w:divId w:val="1671252528"/>
        <w:rPr>
          <w:rFonts w:ascii="Lato" w:eastAsia="Times New Roman" w:hAnsi="Lato"/>
          <w:sz w:val="20"/>
          <w:szCs w:val="20"/>
        </w:rPr>
      </w:pPr>
      <w:r w:rsidRPr="00EB63BB">
        <w:rPr>
          <w:rFonts w:ascii="Lato" w:eastAsia="Times New Roman" w:hAnsi="Lato" w:cs="Times New Roman"/>
          <w:sz w:val="20"/>
          <w:szCs w:val="20"/>
        </w:rPr>
        <w:lastRenderedPageBreak/>
        <w:t>●</w:t>
      </w:r>
      <w:r w:rsidRPr="00EB63BB">
        <w:rPr>
          <w:rFonts w:ascii="Lato" w:eastAsia="Times New Roman" w:hAnsi="Lato" w:cs="Barlow"/>
          <w:sz w:val="20"/>
          <w:szCs w:val="20"/>
        </w:rPr>
        <w:t>        </w:t>
      </w:r>
      <w:r w:rsidRPr="00EB63BB">
        <w:rPr>
          <w:rFonts w:ascii="Lato" w:eastAsia="Times New Roman" w:hAnsi="Lato"/>
          <w:sz w:val="20"/>
          <w:szCs w:val="20"/>
        </w:rPr>
        <w:t xml:space="preserve"> Las Normas Internacionales de Contabilidad para el sector p</w:t>
      </w:r>
      <w:r w:rsidRPr="00EB63BB">
        <w:rPr>
          <w:rFonts w:ascii="Lato" w:eastAsia="Times New Roman" w:hAnsi="Lato" w:cs="Barlow"/>
          <w:sz w:val="20"/>
          <w:szCs w:val="20"/>
        </w:rPr>
        <w:t>ú</w:t>
      </w:r>
      <w:r w:rsidRPr="00EB63BB">
        <w:rPr>
          <w:rFonts w:ascii="Lato" w:eastAsia="Times New Roman" w:hAnsi="Lato"/>
          <w:sz w:val="20"/>
          <w:szCs w:val="20"/>
        </w:rPr>
        <w:t>blico (NICSP) emitidas por la junta de Normas Internacionales de Contabilidad del Sector Público.</w:t>
      </w:r>
    </w:p>
    <w:p w:rsidR="00B027B5" w:rsidRPr="00EB63BB" w:rsidRDefault="00642EB6">
      <w:pPr>
        <w:divId w:val="910888524"/>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cs="Barlow"/>
          <w:sz w:val="20"/>
          <w:szCs w:val="20"/>
        </w:rPr>
        <w:t>        </w:t>
      </w:r>
      <w:r w:rsidRPr="00EB63BB">
        <w:rPr>
          <w:rFonts w:ascii="Lato" w:eastAsia="Times New Roman" w:hAnsi="Lato"/>
          <w:sz w:val="20"/>
          <w:szCs w:val="20"/>
        </w:rPr>
        <w:t xml:space="preserve"> Las normas de informaci</w:t>
      </w:r>
      <w:r w:rsidRPr="00EB63BB">
        <w:rPr>
          <w:rFonts w:ascii="Lato" w:eastAsia="Times New Roman" w:hAnsi="Lato" w:cs="Barlow"/>
          <w:sz w:val="20"/>
          <w:szCs w:val="20"/>
        </w:rPr>
        <w:t>ó</w:t>
      </w:r>
      <w:r w:rsidRPr="00EB63BB">
        <w:rPr>
          <w:rFonts w:ascii="Lato" w:eastAsia="Times New Roman" w:hAnsi="Lato"/>
          <w:sz w:val="20"/>
          <w:szCs w:val="20"/>
        </w:rPr>
        <w:t>n financiera del Consejo Mexicano para la investigaci</w:t>
      </w:r>
      <w:r w:rsidRPr="00EB63BB">
        <w:rPr>
          <w:rFonts w:ascii="Lato" w:eastAsia="Times New Roman" w:hAnsi="Lato" w:cs="Barlow"/>
          <w:sz w:val="20"/>
          <w:szCs w:val="20"/>
        </w:rPr>
        <w:t>ó</w:t>
      </w:r>
      <w:r w:rsidRPr="00EB63BB">
        <w:rPr>
          <w:rFonts w:ascii="Lato" w:eastAsia="Times New Roman" w:hAnsi="Lato"/>
          <w:sz w:val="20"/>
          <w:szCs w:val="20"/>
        </w:rPr>
        <w:t>n y Desarrollo de normas de Informaci</w:t>
      </w:r>
      <w:r w:rsidRPr="00EB63BB">
        <w:rPr>
          <w:rFonts w:ascii="Lato" w:eastAsia="Times New Roman" w:hAnsi="Lato" w:cs="Barlow"/>
          <w:sz w:val="20"/>
          <w:szCs w:val="20"/>
        </w:rPr>
        <w:t>ó</w:t>
      </w:r>
      <w:r w:rsidRPr="00EB63BB">
        <w:rPr>
          <w:rFonts w:ascii="Lato" w:eastAsia="Times New Roman" w:hAnsi="Lato"/>
          <w:sz w:val="20"/>
          <w:szCs w:val="20"/>
        </w:rPr>
        <w:t>n Financiera A.C. (CINIF).</w:t>
      </w:r>
    </w:p>
    <w:p w:rsidR="00B027B5" w:rsidRPr="00EB63BB" w:rsidRDefault="00642EB6">
      <w:pPr>
        <w:divId w:val="839078184"/>
        <w:rPr>
          <w:rFonts w:ascii="Lato" w:eastAsia="Times New Roman" w:hAnsi="Lato"/>
          <w:sz w:val="20"/>
          <w:szCs w:val="20"/>
        </w:rPr>
      </w:pPr>
      <w:r w:rsidRPr="00EB63BB">
        <w:rPr>
          <w:rStyle w:val="Textoennegrita"/>
          <w:rFonts w:ascii="Lato" w:eastAsia="Times New Roman" w:hAnsi="Lato"/>
          <w:sz w:val="20"/>
          <w:szCs w:val="20"/>
        </w:rPr>
        <w:t>5.- Políticas de Contabilidad Significativas.</w:t>
      </w:r>
    </w:p>
    <w:p w:rsidR="00B027B5" w:rsidRPr="00EB63BB" w:rsidRDefault="00642EB6">
      <w:pPr>
        <w:jc w:val="both"/>
        <w:divId w:val="435560277"/>
        <w:rPr>
          <w:rFonts w:ascii="Lato" w:eastAsia="Times New Roman" w:hAnsi="Lato"/>
          <w:sz w:val="20"/>
          <w:szCs w:val="20"/>
        </w:rPr>
      </w:pPr>
      <w:r w:rsidRPr="00EB63BB">
        <w:rPr>
          <w:rFonts w:ascii="Lato" w:eastAsia="Times New Roman" w:hAnsi="Lato"/>
          <w:sz w:val="20"/>
          <w:szCs w:val="20"/>
        </w:rPr>
        <w:t xml:space="preserve">a) Los Estados Financieros del Poder Ejecutivo no reconocen los efectos de la inflación, toda vez que no se actualiza lo previsto en las Principales Reglas de Registro y Valoración del Patrimonio (elementos generales), en cuanto a que, se indica que es necesario reconocer los efectos de la inflación cuando exista un entorno inflacionario, derivado de lo anterior, no estamos dentro de un entorno inflacionario, por lo cual no se actualiza. </w:t>
      </w:r>
    </w:p>
    <w:p w:rsidR="00B027B5" w:rsidRPr="00EB63BB" w:rsidRDefault="00642EB6">
      <w:pPr>
        <w:jc w:val="both"/>
        <w:divId w:val="303237954"/>
        <w:rPr>
          <w:rFonts w:ascii="Lato" w:eastAsia="Times New Roman" w:hAnsi="Lato"/>
          <w:sz w:val="20"/>
          <w:szCs w:val="20"/>
        </w:rPr>
      </w:pPr>
      <w:r w:rsidRPr="00EB63BB">
        <w:rPr>
          <w:rFonts w:ascii="Lato" w:eastAsia="Times New Roman" w:hAnsi="Lato"/>
          <w:sz w:val="20"/>
          <w:szCs w:val="20"/>
        </w:rPr>
        <w:t>b) El Poder Ejecutivo del Gobierno del Estado, no realizó operaciones en el extranjero.</w:t>
      </w:r>
    </w:p>
    <w:p w:rsidR="00B027B5" w:rsidRPr="00EB63BB" w:rsidRDefault="00642EB6">
      <w:pPr>
        <w:jc w:val="both"/>
        <w:divId w:val="1612787440"/>
        <w:rPr>
          <w:rFonts w:ascii="Lato" w:eastAsia="Times New Roman" w:hAnsi="Lato"/>
          <w:sz w:val="20"/>
          <w:szCs w:val="20"/>
        </w:rPr>
      </w:pPr>
      <w:r w:rsidRPr="00EB63BB">
        <w:rPr>
          <w:rFonts w:ascii="Lato" w:eastAsia="Times New Roman" w:hAnsi="Lato"/>
          <w:sz w:val="20"/>
          <w:szCs w:val="20"/>
        </w:rPr>
        <w:t>c) La inversión en acciones en empresas de participación Estatal se encuentra registrada a valor histórico.</w:t>
      </w:r>
    </w:p>
    <w:p w:rsidR="00B027B5" w:rsidRPr="00EB63BB" w:rsidRDefault="00642EB6" w:rsidP="00B030F6">
      <w:pPr>
        <w:jc w:val="both"/>
        <w:divId w:val="916672765"/>
        <w:rPr>
          <w:rFonts w:ascii="Lato" w:eastAsia="Times New Roman" w:hAnsi="Lato"/>
          <w:sz w:val="20"/>
          <w:szCs w:val="20"/>
        </w:rPr>
      </w:pPr>
      <w:r w:rsidRPr="00EB63BB">
        <w:rPr>
          <w:rFonts w:ascii="Lato" w:eastAsia="Times New Roman" w:hAnsi="Lato"/>
          <w:sz w:val="20"/>
          <w:szCs w:val="20"/>
        </w:rPr>
        <w:t xml:space="preserve">d) Las Dependencias del Sector Centralizado que forman el Poder Ejecutivo del Gobierno del Estado, no cuentan con inventarios de mercancías para venta, </w:t>
      </w:r>
      <w:r w:rsidR="00B030F6" w:rsidRPr="00EB63BB">
        <w:rPr>
          <w:rFonts w:ascii="Lato" w:eastAsia="Times New Roman" w:hAnsi="Lato"/>
          <w:sz w:val="20"/>
          <w:szCs w:val="20"/>
        </w:rPr>
        <w:t>por lo que no se cuenta con registro en el rubro de inventarios.</w:t>
      </w:r>
    </w:p>
    <w:p w:rsidR="00B027B5" w:rsidRPr="00EB63BB" w:rsidRDefault="00642EB6">
      <w:pPr>
        <w:jc w:val="both"/>
        <w:divId w:val="287707100"/>
        <w:rPr>
          <w:rFonts w:ascii="Lato" w:eastAsia="Times New Roman" w:hAnsi="Lato"/>
          <w:sz w:val="20"/>
          <w:szCs w:val="20"/>
        </w:rPr>
      </w:pPr>
      <w:r w:rsidRPr="00EB63BB">
        <w:rPr>
          <w:rFonts w:ascii="Lato" w:eastAsia="Times New Roman" w:hAnsi="Lato"/>
          <w:sz w:val="20"/>
          <w:szCs w:val="20"/>
        </w:rPr>
        <w:t>e) El cálculo de la reserva actuarial, la realiza el Instituto de Seguridad de los Trabajadores al Servicio del Estado, órgano descentralizado del Sector Central.</w:t>
      </w:r>
    </w:p>
    <w:p w:rsidR="00B027B5" w:rsidRPr="00EB63BB" w:rsidRDefault="00642EB6">
      <w:pPr>
        <w:jc w:val="both"/>
        <w:divId w:val="2131388808"/>
        <w:rPr>
          <w:rFonts w:ascii="Lato" w:eastAsia="Times New Roman" w:hAnsi="Lato"/>
          <w:sz w:val="20"/>
          <w:szCs w:val="20"/>
        </w:rPr>
      </w:pPr>
      <w:r w:rsidRPr="00EB63BB">
        <w:rPr>
          <w:rFonts w:ascii="Lato" w:eastAsia="Times New Roman" w:hAnsi="Lato"/>
          <w:sz w:val="20"/>
          <w:szCs w:val="20"/>
        </w:rPr>
        <w:t>f) Los Estados financieros no presentan registros de creación o aumento de reservas.</w:t>
      </w:r>
    </w:p>
    <w:p w:rsidR="00B027B5" w:rsidRPr="00EB63BB" w:rsidRDefault="00642EB6" w:rsidP="002B33B7">
      <w:pPr>
        <w:jc w:val="both"/>
        <w:divId w:val="983967624"/>
        <w:rPr>
          <w:rFonts w:ascii="Lato" w:eastAsia="Times New Roman" w:hAnsi="Lato"/>
          <w:sz w:val="20"/>
          <w:szCs w:val="20"/>
        </w:rPr>
      </w:pPr>
      <w:r w:rsidRPr="00EB63BB">
        <w:rPr>
          <w:rFonts w:ascii="Lato" w:eastAsia="Times New Roman" w:hAnsi="Lato"/>
          <w:sz w:val="20"/>
          <w:szCs w:val="20"/>
        </w:rPr>
        <w:t>g) No se realizaron cam</w:t>
      </w:r>
      <w:r w:rsidR="002B33B7" w:rsidRPr="00EB63BB">
        <w:rPr>
          <w:rFonts w:ascii="Lato" w:eastAsia="Times New Roman" w:hAnsi="Lato"/>
          <w:sz w:val="20"/>
          <w:szCs w:val="20"/>
        </w:rPr>
        <w:t xml:space="preserve">bios contables durante </w:t>
      </w:r>
      <w:r w:rsidRPr="00EB63BB">
        <w:rPr>
          <w:rFonts w:ascii="Lato" w:eastAsia="Times New Roman" w:hAnsi="Lato"/>
          <w:sz w:val="20"/>
          <w:szCs w:val="20"/>
        </w:rPr>
        <w:t xml:space="preserve">el ejercicio </w:t>
      </w:r>
      <w:r w:rsidR="002B33B7" w:rsidRPr="00EB63BB">
        <w:rPr>
          <w:rFonts w:ascii="Lato" w:eastAsia="Times New Roman" w:hAnsi="Lato"/>
          <w:sz w:val="20"/>
          <w:szCs w:val="20"/>
        </w:rPr>
        <w:t>que se reporta</w:t>
      </w:r>
      <w:r w:rsidRPr="00EB63BB">
        <w:rPr>
          <w:rFonts w:ascii="Lato" w:eastAsia="Times New Roman" w:hAnsi="Lato"/>
          <w:sz w:val="20"/>
          <w:szCs w:val="20"/>
        </w:rPr>
        <w:t>.</w:t>
      </w:r>
    </w:p>
    <w:p w:rsidR="00B027B5" w:rsidRPr="00EB63BB" w:rsidRDefault="00642EB6">
      <w:pPr>
        <w:jc w:val="both"/>
        <w:divId w:val="334722253"/>
        <w:rPr>
          <w:rFonts w:ascii="Lato" w:eastAsia="Times New Roman" w:hAnsi="Lato"/>
          <w:sz w:val="20"/>
          <w:szCs w:val="20"/>
        </w:rPr>
      </w:pPr>
      <w:r w:rsidRPr="00EB63BB">
        <w:rPr>
          <w:rFonts w:ascii="Lato" w:eastAsia="Times New Roman" w:hAnsi="Lato"/>
          <w:sz w:val="20"/>
          <w:szCs w:val="20"/>
        </w:rPr>
        <w:t>h) Respecto a las correcciones de errores, reclasificaciones, depuración y cancelación de saldos, estos se ven reflejados en la cuenta de Hacienda Pública.</w:t>
      </w:r>
    </w:p>
    <w:p w:rsidR="00B027B5" w:rsidRPr="00EB63BB" w:rsidRDefault="00642EB6">
      <w:pPr>
        <w:divId w:val="1999307494"/>
        <w:rPr>
          <w:rFonts w:ascii="Lato" w:eastAsia="Times New Roman" w:hAnsi="Lato"/>
          <w:sz w:val="20"/>
          <w:szCs w:val="20"/>
        </w:rPr>
      </w:pPr>
      <w:r w:rsidRPr="00EB63BB">
        <w:rPr>
          <w:rStyle w:val="Textoennegrita"/>
          <w:rFonts w:ascii="Lato" w:eastAsia="Times New Roman" w:hAnsi="Lato"/>
          <w:sz w:val="20"/>
          <w:szCs w:val="20"/>
        </w:rPr>
        <w:t xml:space="preserve">6.- Posición en Moneda Extranjera y Protección por Riesgo Cambiario. </w:t>
      </w:r>
    </w:p>
    <w:p w:rsidR="00B027B5" w:rsidRPr="00EB63BB" w:rsidRDefault="00642EB6">
      <w:pPr>
        <w:jc w:val="both"/>
        <w:divId w:val="867375421"/>
        <w:rPr>
          <w:rFonts w:ascii="Lato" w:eastAsia="Times New Roman" w:hAnsi="Lato"/>
          <w:sz w:val="20"/>
          <w:szCs w:val="20"/>
        </w:rPr>
      </w:pPr>
      <w:r w:rsidRPr="00EB63BB">
        <w:rPr>
          <w:rFonts w:ascii="Lato" w:eastAsia="Times New Roman" w:hAnsi="Lato"/>
          <w:sz w:val="20"/>
          <w:szCs w:val="20"/>
        </w:rPr>
        <w:t>a) La administración Pública centraliza</w:t>
      </w:r>
      <w:r w:rsidR="008F53B5" w:rsidRPr="00EB63BB">
        <w:rPr>
          <w:rFonts w:ascii="Lato" w:eastAsia="Times New Roman" w:hAnsi="Lato"/>
          <w:sz w:val="20"/>
          <w:szCs w:val="20"/>
        </w:rPr>
        <w:t>da del Estado al 30 de junio</w:t>
      </w:r>
      <w:r w:rsidR="00CF4D48" w:rsidRPr="00EB63BB">
        <w:rPr>
          <w:rFonts w:ascii="Lato" w:eastAsia="Times New Roman" w:hAnsi="Lato"/>
          <w:sz w:val="20"/>
          <w:szCs w:val="20"/>
        </w:rPr>
        <w:t xml:space="preserve"> de 2026</w:t>
      </w:r>
      <w:r w:rsidRPr="00EB63BB">
        <w:rPr>
          <w:rFonts w:ascii="Lato" w:eastAsia="Times New Roman" w:hAnsi="Lato"/>
          <w:sz w:val="20"/>
          <w:szCs w:val="20"/>
        </w:rPr>
        <w:t>, tiene la siguiente cuenta bancaria en Dólares americanos.</w:t>
      </w:r>
    </w:p>
    <w:p w:rsidR="00B027B5" w:rsidRPr="00EB63BB" w:rsidRDefault="00642EB6">
      <w:pPr>
        <w:jc w:val="both"/>
        <w:divId w:val="1530020869"/>
        <w:rPr>
          <w:rFonts w:ascii="Lato" w:eastAsia="Times New Roman" w:hAnsi="Lato"/>
          <w:sz w:val="20"/>
          <w:szCs w:val="20"/>
        </w:rPr>
      </w:pPr>
      <w:r w:rsidRPr="00EB63BB">
        <w:rPr>
          <w:rFonts w:ascii="Lato" w:eastAsia="Times New Roman" w:hAnsi="Lato"/>
          <w:sz w:val="20"/>
          <w:szCs w:val="20"/>
        </w:rPr>
        <w:t>Banorte Cta. 00602285906</w:t>
      </w:r>
      <w:r w:rsidR="00F30524" w:rsidRPr="00EB63BB">
        <w:rPr>
          <w:rFonts w:ascii="Lato" w:eastAsia="Times New Roman" w:hAnsi="Lato"/>
          <w:sz w:val="20"/>
          <w:szCs w:val="20"/>
        </w:rPr>
        <w:t xml:space="preserve"> con un saldo contable de $ 0.00</w:t>
      </w:r>
      <w:r w:rsidRPr="00EB63BB">
        <w:rPr>
          <w:rFonts w:ascii="Lato" w:eastAsia="Times New Roman" w:hAnsi="Lato"/>
          <w:sz w:val="20"/>
          <w:szCs w:val="20"/>
        </w:rPr>
        <w:t xml:space="preserve"> Dólares.</w:t>
      </w:r>
    </w:p>
    <w:p w:rsidR="00B027B5" w:rsidRPr="00EB63BB" w:rsidRDefault="008F53B5">
      <w:pPr>
        <w:jc w:val="both"/>
        <w:divId w:val="189731539"/>
        <w:rPr>
          <w:rFonts w:ascii="Lato" w:eastAsia="Times New Roman" w:hAnsi="Lato"/>
          <w:sz w:val="20"/>
          <w:szCs w:val="20"/>
        </w:rPr>
      </w:pPr>
      <w:r w:rsidRPr="00EB63BB">
        <w:rPr>
          <w:rFonts w:ascii="Lato" w:eastAsia="Times New Roman" w:hAnsi="Lato"/>
          <w:sz w:val="20"/>
          <w:szCs w:val="20"/>
        </w:rPr>
        <w:t>b) Al 30 de junio</w:t>
      </w:r>
      <w:r w:rsidR="00CF4D48" w:rsidRPr="00EB63BB">
        <w:rPr>
          <w:rFonts w:ascii="Lato" w:eastAsia="Times New Roman" w:hAnsi="Lato"/>
          <w:sz w:val="20"/>
          <w:szCs w:val="20"/>
        </w:rPr>
        <w:t xml:space="preserve"> de 2026</w:t>
      </w:r>
      <w:r w:rsidR="00642EB6" w:rsidRPr="00EB63BB">
        <w:rPr>
          <w:rFonts w:ascii="Lato" w:eastAsia="Times New Roman" w:hAnsi="Lato"/>
          <w:sz w:val="20"/>
          <w:szCs w:val="20"/>
        </w:rPr>
        <w:t>, el Poder Ejecutivo del Gobierno del Estado no tiene pasivos en moneda extranjera.</w:t>
      </w:r>
    </w:p>
    <w:p w:rsidR="00B027B5" w:rsidRPr="00EB63BB" w:rsidRDefault="00642EB6">
      <w:pPr>
        <w:jc w:val="both"/>
        <w:divId w:val="1030716161"/>
        <w:rPr>
          <w:rFonts w:ascii="Lato" w:eastAsia="Times New Roman" w:hAnsi="Lato"/>
          <w:sz w:val="20"/>
          <w:szCs w:val="20"/>
        </w:rPr>
      </w:pPr>
      <w:r w:rsidRPr="00EB63BB">
        <w:rPr>
          <w:rFonts w:ascii="Lato" w:eastAsia="Times New Roman" w:hAnsi="Lato"/>
          <w:sz w:val="20"/>
          <w:szCs w:val="20"/>
        </w:rPr>
        <w:t>c) Derivado de que el Poder Ejecutivo únicamente tiene una cuenta en moneda extranjera, la cual no ha tenido movimiento la posición en moneda extranjera es estable.</w:t>
      </w:r>
    </w:p>
    <w:p w:rsidR="00B027B5" w:rsidRPr="00EB63BB" w:rsidRDefault="00642EB6" w:rsidP="002008E9">
      <w:pPr>
        <w:jc w:val="both"/>
        <w:divId w:val="1906649099"/>
        <w:rPr>
          <w:rFonts w:ascii="Lato" w:eastAsia="Times New Roman" w:hAnsi="Lato"/>
          <w:sz w:val="20"/>
          <w:szCs w:val="20"/>
        </w:rPr>
      </w:pPr>
      <w:r w:rsidRPr="00EB63BB">
        <w:rPr>
          <w:rFonts w:ascii="Lato" w:eastAsia="Times New Roman" w:hAnsi="Lato"/>
          <w:sz w:val="20"/>
          <w:szCs w:val="20"/>
        </w:rPr>
        <w:t>d) El T</w:t>
      </w:r>
      <w:r w:rsidR="003E3DE8" w:rsidRPr="00EB63BB">
        <w:rPr>
          <w:rFonts w:ascii="Lato" w:eastAsia="Times New Roman" w:hAnsi="Lato"/>
          <w:sz w:val="20"/>
          <w:szCs w:val="20"/>
        </w:rPr>
        <w:t>ipo de cambio al 30 de juni</w:t>
      </w:r>
      <w:r w:rsidR="002008E9" w:rsidRPr="00EB63BB">
        <w:rPr>
          <w:rFonts w:ascii="Lato" w:eastAsia="Times New Roman" w:hAnsi="Lato"/>
          <w:sz w:val="20"/>
          <w:szCs w:val="20"/>
        </w:rPr>
        <w:t>o</w:t>
      </w:r>
      <w:r w:rsidRPr="00EB63BB">
        <w:rPr>
          <w:rFonts w:ascii="Lato" w:eastAsia="Times New Roman" w:hAnsi="Lato"/>
          <w:sz w:val="20"/>
          <w:szCs w:val="20"/>
        </w:rPr>
        <w:t xml:space="preserve"> d</w:t>
      </w:r>
      <w:r w:rsidR="00F30524" w:rsidRPr="00EB63BB">
        <w:rPr>
          <w:rFonts w:ascii="Lato" w:eastAsia="Times New Roman" w:hAnsi="Lato"/>
          <w:sz w:val="20"/>
          <w:szCs w:val="20"/>
        </w:rPr>
        <w:t>e 202</w:t>
      </w:r>
      <w:r w:rsidR="002008E9" w:rsidRPr="00EB63BB">
        <w:rPr>
          <w:rFonts w:ascii="Lato" w:eastAsia="Times New Roman" w:hAnsi="Lato"/>
          <w:sz w:val="20"/>
          <w:szCs w:val="20"/>
        </w:rPr>
        <w:t>6</w:t>
      </w:r>
      <w:r w:rsidR="00F30524" w:rsidRPr="00EB63BB">
        <w:rPr>
          <w:rFonts w:ascii="Lato" w:eastAsia="Times New Roman" w:hAnsi="Lato"/>
          <w:sz w:val="20"/>
          <w:szCs w:val="20"/>
        </w:rPr>
        <w:t xml:space="preserve"> a la compra es de $</w:t>
      </w:r>
      <w:r w:rsidR="008F53B5" w:rsidRPr="00EB63BB">
        <w:rPr>
          <w:rFonts w:ascii="Lato" w:hAnsi="Lato" w:cs="Calibri"/>
          <w:color w:val="1F497D"/>
          <w:sz w:val="20"/>
          <w:szCs w:val="20"/>
          <w:lang w:eastAsia="en-US"/>
        </w:rPr>
        <w:t xml:space="preserve"> 17.5053</w:t>
      </w:r>
      <w:r w:rsidRPr="00EB63BB">
        <w:rPr>
          <w:rFonts w:ascii="Lato" w:eastAsia="Times New Roman" w:hAnsi="Lato"/>
          <w:sz w:val="20"/>
          <w:szCs w:val="20"/>
        </w:rPr>
        <w:t xml:space="preserve"> según el diario oficial.</w:t>
      </w:r>
    </w:p>
    <w:p w:rsidR="00B027B5" w:rsidRPr="00EB63BB" w:rsidRDefault="00642EB6">
      <w:pPr>
        <w:jc w:val="both"/>
        <w:divId w:val="998772683"/>
        <w:rPr>
          <w:rFonts w:ascii="Lato" w:eastAsia="Times New Roman" w:hAnsi="Lato"/>
          <w:sz w:val="20"/>
          <w:szCs w:val="20"/>
        </w:rPr>
      </w:pPr>
      <w:r w:rsidRPr="00EB63BB">
        <w:rPr>
          <w:rFonts w:ascii="Lato" w:eastAsia="Times New Roman" w:hAnsi="Lato"/>
          <w:sz w:val="20"/>
          <w:szCs w:val="20"/>
        </w:rPr>
        <w:lastRenderedPageBreak/>
        <w:t>e) El monto en dólares que se tiene en la cuenta equivale a $</w:t>
      </w:r>
      <w:r w:rsidR="00F30524" w:rsidRPr="00EB63BB">
        <w:rPr>
          <w:rFonts w:ascii="Lato" w:eastAsia="Times New Roman" w:hAnsi="Lato"/>
          <w:sz w:val="20"/>
          <w:szCs w:val="20"/>
        </w:rPr>
        <w:t xml:space="preserve">0.00 </w:t>
      </w:r>
      <w:r w:rsidRPr="00EB63BB">
        <w:rPr>
          <w:rFonts w:ascii="Lato" w:eastAsia="Times New Roman" w:hAnsi="Lato"/>
          <w:sz w:val="20"/>
          <w:szCs w:val="20"/>
        </w:rPr>
        <w:t xml:space="preserve">en pesos. </w:t>
      </w:r>
    </w:p>
    <w:p w:rsidR="00B027B5" w:rsidRPr="00EB63BB" w:rsidRDefault="00642EB6">
      <w:pPr>
        <w:divId w:val="1671330312"/>
        <w:rPr>
          <w:rFonts w:ascii="Lato" w:eastAsia="Times New Roman" w:hAnsi="Lato"/>
          <w:sz w:val="20"/>
          <w:szCs w:val="20"/>
        </w:rPr>
      </w:pPr>
      <w:r w:rsidRPr="00EB63BB">
        <w:rPr>
          <w:rFonts w:ascii="Lato" w:eastAsia="Times New Roman" w:hAnsi="Lato"/>
          <w:sz w:val="20"/>
          <w:szCs w:val="20"/>
        </w:rPr>
        <w:t>Por el monto en dólares el Poder Ejecutivo no establece métodos de protección de riesgo por variaciones en el tipo de cambio.</w:t>
      </w:r>
    </w:p>
    <w:p w:rsidR="00B027B5" w:rsidRPr="00EB63BB" w:rsidRDefault="00642EB6">
      <w:pPr>
        <w:divId w:val="1753164772"/>
        <w:rPr>
          <w:rFonts w:ascii="Lato" w:eastAsia="Times New Roman" w:hAnsi="Lato"/>
          <w:sz w:val="20"/>
          <w:szCs w:val="20"/>
        </w:rPr>
      </w:pPr>
      <w:r w:rsidRPr="00EB63BB">
        <w:rPr>
          <w:rStyle w:val="Textoennegrita"/>
          <w:rFonts w:ascii="Lato" w:eastAsia="Times New Roman" w:hAnsi="Lato"/>
          <w:sz w:val="20"/>
          <w:szCs w:val="20"/>
        </w:rPr>
        <w:t>7.- Reporte Analítico del Activo.</w:t>
      </w:r>
    </w:p>
    <w:p w:rsidR="00B027B5" w:rsidRPr="00EB63BB" w:rsidRDefault="00642EB6">
      <w:pPr>
        <w:divId w:val="1632175976"/>
        <w:rPr>
          <w:rFonts w:ascii="Lato" w:eastAsia="Times New Roman" w:hAnsi="Lato"/>
          <w:sz w:val="20"/>
          <w:szCs w:val="20"/>
        </w:rPr>
      </w:pPr>
      <w:r w:rsidRPr="00EB63BB">
        <w:rPr>
          <w:rFonts w:ascii="Lato" w:eastAsia="Times New Roman" w:hAnsi="Lato"/>
          <w:sz w:val="20"/>
          <w:szCs w:val="20"/>
        </w:rPr>
        <w:t>Vida útil o porcentajes de depreciación, deterioro o amortización utilizados en los diferentes activos.</w:t>
      </w:r>
    </w:p>
    <w:p w:rsidR="00196FD0" w:rsidRPr="00EB63BB" w:rsidRDefault="00642EB6" w:rsidP="00196FD0">
      <w:pPr>
        <w:divId w:val="150413539"/>
        <w:rPr>
          <w:rFonts w:ascii="Lato" w:eastAsia="Times New Roman" w:hAnsi="Lato"/>
          <w:sz w:val="20"/>
          <w:szCs w:val="20"/>
        </w:rPr>
      </w:pPr>
      <w:r w:rsidRPr="00EB63BB">
        <w:rPr>
          <w:rFonts w:ascii="Lato" w:eastAsia="Times New Roman" w:hAnsi="Lato"/>
          <w:sz w:val="20"/>
          <w:szCs w:val="20"/>
        </w:rPr>
        <w:t>a) Los activos fijos del Poder Ejecutivo tienen una vida útil diversa, de conformidad con el las Reglas Específicas del Registro y Valoración del Patrimonio emitidas por el Consejo Nacional de Armonización Contable.</w:t>
      </w:r>
    </w:p>
    <w:p w:rsidR="00B027B5" w:rsidRPr="00EB63BB" w:rsidRDefault="00642EB6" w:rsidP="00196FD0">
      <w:pPr>
        <w:divId w:val="150413539"/>
        <w:rPr>
          <w:rFonts w:ascii="Lato" w:eastAsia="Times New Roman" w:hAnsi="Lato"/>
          <w:sz w:val="20"/>
          <w:szCs w:val="20"/>
        </w:rPr>
      </w:pPr>
      <w:r w:rsidRPr="00EB63BB">
        <w:rPr>
          <w:rFonts w:ascii="Lato" w:eastAsia="Times New Roman" w:hAnsi="Lato"/>
          <w:sz w:val="20"/>
          <w:szCs w:val="20"/>
        </w:rPr>
        <w:t>b) El Poder Ejecutivo no ha realizado cambios en el porcentaje de la depreciación.</w:t>
      </w:r>
    </w:p>
    <w:p w:rsidR="001478EA" w:rsidRPr="00EB63BB" w:rsidRDefault="00642EB6">
      <w:pPr>
        <w:divId w:val="5595212"/>
        <w:rPr>
          <w:rStyle w:val="Textoennegrita"/>
          <w:rFonts w:ascii="Lato" w:eastAsia="Times New Roman" w:hAnsi="Lato"/>
          <w:sz w:val="20"/>
          <w:szCs w:val="20"/>
        </w:rPr>
      </w:pPr>
      <w:r w:rsidRPr="00EB63BB">
        <w:rPr>
          <w:rStyle w:val="Textoennegrita"/>
          <w:rFonts w:ascii="Lato" w:eastAsia="Times New Roman" w:hAnsi="Lato"/>
          <w:sz w:val="20"/>
          <w:szCs w:val="20"/>
        </w:rPr>
        <w:t>8.- Fideicomisos, Mandatos y Análogos</w:t>
      </w:r>
    </w:p>
    <w:p w:rsidR="004B4571" w:rsidRPr="00EB63BB" w:rsidRDefault="005D704D" w:rsidP="001478EA">
      <w:pPr>
        <w:divId w:val="1881286228"/>
        <w:rPr>
          <w:rFonts w:ascii="Lato" w:eastAsia="Times New Roman" w:hAnsi="Lato"/>
          <w:sz w:val="20"/>
          <w:szCs w:val="20"/>
        </w:rPr>
      </w:pPr>
      <w:r w:rsidRPr="00EB63BB">
        <w:rPr>
          <w:rFonts w:ascii="Lato" w:eastAsia="Times New Roman" w:hAnsi="Lato"/>
          <w:sz w:val="20"/>
          <w:szCs w:val="20"/>
        </w:rPr>
        <w:t>Al 30 de junio</w:t>
      </w:r>
      <w:r w:rsidR="001478EA" w:rsidRPr="00EB63BB">
        <w:rPr>
          <w:rFonts w:ascii="Lato" w:eastAsia="Times New Roman" w:hAnsi="Lato"/>
          <w:sz w:val="20"/>
          <w:szCs w:val="20"/>
        </w:rPr>
        <w:t xml:space="preserve"> de 2026, el saldo en disponibilidades de los fideicomi</w:t>
      </w:r>
      <w:r w:rsidRPr="00EB63BB">
        <w:rPr>
          <w:rFonts w:ascii="Lato" w:eastAsia="Times New Roman" w:hAnsi="Lato"/>
          <w:sz w:val="20"/>
          <w:szCs w:val="20"/>
        </w:rPr>
        <w:t>sos asciende a $1,071,100,605.45</w:t>
      </w:r>
      <w:r w:rsidR="001478EA" w:rsidRPr="00EB63BB">
        <w:rPr>
          <w:rFonts w:ascii="Lato" w:eastAsia="Times New Roman" w:hAnsi="Lato"/>
          <w:sz w:val="20"/>
          <w:szCs w:val="20"/>
        </w:rPr>
        <w:t>; se enlistan a continuación los fideicomisos cuyo saldo conforma el 99.9% del monto saldo de la cuenta.</w:t>
      </w:r>
    </w:p>
    <w:tbl>
      <w:tblPr>
        <w:tblW w:w="11754" w:type="dxa"/>
        <w:tblCellMar>
          <w:left w:w="70" w:type="dxa"/>
          <w:right w:w="70" w:type="dxa"/>
        </w:tblCellMar>
        <w:tblLook w:val="04A0" w:firstRow="1" w:lastRow="0" w:firstColumn="1" w:lastColumn="0" w:noHBand="0" w:noVBand="1"/>
      </w:tblPr>
      <w:tblGrid>
        <w:gridCol w:w="3586"/>
        <w:gridCol w:w="6938"/>
        <w:gridCol w:w="1836"/>
      </w:tblGrid>
      <w:tr w:rsidR="005D704D" w:rsidRPr="00EB63BB" w:rsidTr="005D704D">
        <w:trPr>
          <w:divId w:val="500194032"/>
          <w:trHeight w:val="255"/>
        </w:trPr>
        <w:tc>
          <w:tcPr>
            <w:tcW w:w="3586" w:type="dxa"/>
            <w:tcBorders>
              <w:top w:val="nil"/>
              <w:left w:val="nil"/>
              <w:bottom w:val="nil"/>
              <w:right w:val="nil"/>
            </w:tcBorders>
            <w:shd w:val="clear" w:color="auto" w:fill="auto"/>
            <w:vAlign w:val="center"/>
            <w:hideMark/>
          </w:tcPr>
          <w:p w:rsidR="005D704D" w:rsidRPr="00EB63BB" w:rsidRDefault="005D704D" w:rsidP="005D704D">
            <w:pPr>
              <w:spacing w:after="0" w:line="240" w:lineRule="auto"/>
              <w:jc w:val="center"/>
              <w:rPr>
                <w:rFonts w:ascii="Lato" w:eastAsia="Times New Roman" w:hAnsi="Lato" w:cs="Arial"/>
                <w:b/>
                <w:bCs/>
                <w:color w:val="000000"/>
                <w:sz w:val="20"/>
                <w:szCs w:val="20"/>
              </w:rPr>
            </w:pPr>
            <w:r w:rsidRPr="00EB63BB">
              <w:rPr>
                <w:rFonts w:ascii="Lato" w:eastAsia="Times New Roman" w:hAnsi="Lato" w:cs="Arial"/>
                <w:b/>
                <w:bCs/>
                <w:color w:val="000000"/>
                <w:sz w:val="20"/>
                <w:szCs w:val="20"/>
              </w:rPr>
              <w:t>Ramo Administrativo que lo reporta</w:t>
            </w:r>
          </w:p>
        </w:tc>
        <w:tc>
          <w:tcPr>
            <w:tcW w:w="6938" w:type="dxa"/>
            <w:tcBorders>
              <w:top w:val="nil"/>
              <w:left w:val="nil"/>
              <w:bottom w:val="nil"/>
              <w:right w:val="nil"/>
            </w:tcBorders>
            <w:shd w:val="clear" w:color="auto" w:fill="auto"/>
            <w:vAlign w:val="center"/>
            <w:hideMark/>
          </w:tcPr>
          <w:p w:rsidR="005D704D" w:rsidRPr="00EB63BB" w:rsidRDefault="005D704D" w:rsidP="005D704D">
            <w:pPr>
              <w:spacing w:after="0" w:line="240" w:lineRule="auto"/>
              <w:jc w:val="center"/>
              <w:rPr>
                <w:rFonts w:ascii="Lato" w:eastAsia="Times New Roman" w:hAnsi="Lato" w:cs="Arial"/>
                <w:b/>
                <w:bCs/>
                <w:color w:val="000000"/>
                <w:sz w:val="20"/>
                <w:szCs w:val="20"/>
              </w:rPr>
            </w:pPr>
            <w:r w:rsidRPr="00EB63BB">
              <w:rPr>
                <w:rFonts w:ascii="Lato" w:eastAsia="Times New Roman" w:hAnsi="Lato" w:cs="Arial"/>
                <w:b/>
                <w:bCs/>
                <w:color w:val="000000"/>
                <w:sz w:val="20"/>
                <w:szCs w:val="20"/>
              </w:rPr>
              <w:t>Nombre</w:t>
            </w:r>
          </w:p>
        </w:tc>
        <w:tc>
          <w:tcPr>
            <w:tcW w:w="1230" w:type="dxa"/>
            <w:tcBorders>
              <w:top w:val="nil"/>
              <w:left w:val="nil"/>
              <w:bottom w:val="nil"/>
              <w:right w:val="nil"/>
            </w:tcBorders>
            <w:shd w:val="clear" w:color="auto" w:fill="auto"/>
            <w:vAlign w:val="center"/>
            <w:hideMark/>
          </w:tcPr>
          <w:p w:rsidR="005D704D" w:rsidRPr="00EB63BB" w:rsidRDefault="005D704D" w:rsidP="005D704D">
            <w:pPr>
              <w:spacing w:after="0" w:line="240" w:lineRule="auto"/>
              <w:jc w:val="center"/>
              <w:rPr>
                <w:rFonts w:ascii="Lato" w:eastAsia="Times New Roman" w:hAnsi="Lato" w:cs="Arial"/>
                <w:b/>
                <w:bCs/>
                <w:color w:val="000000"/>
                <w:sz w:val="20"/>
                <w:szCs w:val="20"/>
              </w:rPr>
            </w:pPr>
            <w:r w:rsidRPr="00EB63BB">
              <w:rPr>
                <w:rFonts w:ascii="Lato" w:eastAsia="Times New Roman" w:hAnsi="Lato" w:cs="Arial"/>
                <w:b/>
                <w:bCs/>
                <w:color w:val="000000"/>
                <w:sz w:val="20"/>
                <w:szCs w:val="20"/>
              </w:rPr>
              <w:t>Importe</w:t>
            </w:r>
          </w:p>
        </w:tc>
      </w:tr>
      <w:tr w:rsidR="005D704D" w:rsidRPr="00EB63BB" w:rsidTr="005D704D">
        <w:trPr>
          <w:divId w:val="500194032"/>
          <w:trHeight w:val="255"/>
        </w:trPr>
        <w:tc>
          <w:tcPr>
            <w:tcW w:w="3586"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SECRETARIA GENERAL DE GOBIERNO</w:t>
            </w:r>
          </w:p>
        </w:tc>
        <w:tc>
          <w:tcPr>
            <w:tcW w:w="6938"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FONDO PARA LA ATENCIÓN DE EMERGENCIAS Y DESASTRES DEL ESTADO (FAED)</w:t>
            </w:r>
          </w:p>
        </w:tc>
        <w:tc>
          <w:tcPr>
            <w:tcW w:w="1230"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$12,799,629.36</w:t>
            </w:r>
          </w:p>
        </w:tc>
      </w:tr>
      <w:tr w:rsidR="005D704D" w:rsidRPr="00EB63BB" w:rsidTr="005D704D">
        <w:trPr>
          <w:divId w:val="500194032"/>
          <w:trHeight w:val="510"/>
        </w:trPr>
        <w:tc>
          <w:tcPr>
            <w:tcW w:w="3586"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SECRETARÍA DE INFRAESTRUCTURA PARA EL BIENESTAR</w:t>
            </w:r>
          </w:p>
        </w:tc>
        <w:tc>
          <w:tcPr>
            <w:tcW w:w="6938"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YUCATECO PARA LA DIGNIFICACION Y DESARROLLO INTEGRAL DE LOS TRABAJADORES DE LA CONSTRUCCION (FYDITRAC)</w:t>
            </w:r>
          </w:p>
        </w:tc>
        <w:tc>
          <w:tcPr>
            <w:tcW w:w="1230"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$53,583,820.01</w:t>
            </w:r>
          </w:p>
        </w:tc>
      </w:tr>
      <w:tr w:rsidR="005D704D" w:rsidRPr="00EB63BB" w:rsidTr="005D704D">
        <w:trPr>
          <w:divId w:val="500194032"/>
          <w:trHeight w:val="255"/>
        </w:trPr>
        <w:tc>
          <w:tcPr>
            <w:tcW w:w="3586"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SECRETARIA DE DESARROLLO RURAL</w:t>
            </w:r>
          </w:p>
        </w:tc>
        <w:tc>
          <w:tcPr>
            <w:tcW w:w="6938"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FONDO DE FOMENTO AGROPECUARIO DEL ESTADO DE YUCATAN (FOFAY)</w:t>
            </w:r>
          </w:p>
        </w:tc>
        <w:tc>
          <w:tcPr>
            <w:tcW w:w="1230"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$7,416,239.47</w:t>
            </w:r>
          </w:p>
        </w:tc>
      </w:tr>
      <w:tr w:rsidR="005D704D" w:rsidRPr="00EB63BB" w:rsidTr="005D704D">
        <w:trPr>
          <w:divId w:val="500194032"/>
          <w:trHeight w:val="255"/>
        </w:trPr>
        <w:tc>
          <w:tcPr>
            <w:tcW w:w="3586"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SECRETARIA DE ECONOMIA Y TRABAJO</w:t>
            </w:r>
          </w:p>
        </w:tc>
        <w:tc>
          <w:tcPr>
            <w:tcW w:w="6938"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FONDO INTEGRAL PARA EL DESARROLLO ECONOMICO DE YUCATAN (FIDEY)</w:t>
            </w:r>
          </w:p>
        </w:tc>
        <w:tc>
          <w:tcPr>
            <w:tcW w:w="1230"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$81,820,849.10</w:t>
            </w:r>
          </w:p>
        </w:tc>
      </w:tr>
      <w:tr w:rsidR="005D704D" w:rsidRPr="00EB63BB" w:rsidTr="005D704D">
        <w:trPr>
          <w:divId w:val="500194032"/>
          <w:trHeight w:val="255"/>
        </w:trPr>
        <w:tc>
          <w:tcPr>
            <w:tcW w:w="3586"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SECRETARIA DE FOMENTO TURISTICO</w:t>
            </w:r>
          </w:p>
        </w:tc>
        <w:tc>
          <w:tcPr>
            <w:tcW w:w="6938"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PARA LA PROMOCIÓN TURÍSTICA DEL ESTADO DE YUCATÁN</w:t>
            </w:r>
          </w:p>
        </w:tc>
        <w:tc>
          <w:tcPr>
            <w:tcW w:w="1230"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$30,463,283.62</w:t>
            </w:r>
          </w:p>
        </w:tc>
      </w:tr>
      <w:tr w:rsidR="005D704D" w:rsidRPr="00EB63BB" w:rsidTr="005D704D">
        <w:trPr>
          <w:divId w:val="500194032"/>
          <w:trHeight w:val="555"/>
        </w:trPr>
        <w:tc>
          <w:tcPr>
            <w:tcW w:w="3586"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SECRETARIA DE ADMINISTRACIÓN Y FINANZAS</w:t>
            </w:r>
          </w:p>
        </w:tc>
        <w:tc>
          <w:tcPr>
            <w:tcW w:w="6938"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F/0002 PROTEGO CASA DE BOLSA DIV FIDUCIARIA</w:t>
            </w:r>
          </w:p>
        </w:tc>
        <w:tc>
          <w:tcPr>
            <w:tcW w:w="1230"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$3,554,361.28</w:t>
            </w:r>
          </w:p>
        </w:tc>
      </w:tr>
      <w:tr w:rsidR="005D704D" w:rsidRPr="00EB63BB" w:rsidTr="005D704D">
        <w:trPr>
          <w:divId w:val="500194032"/>
          <w:trHeight w:val="555"/>
        </w:trPr>
        <w:tc>
          <w:tcPr>
            <w:tcW w:w="3586"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SECRETARIA DE ADMINISTRACIÓN Y FINANZAS</w:t>
            </w:r>
          </w:p>
        </w:tc>
        <w:tc>
          <w:tcPr>
            <w:tcW w:w="6938"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F/0019 PROTEGO CASA DE BOLSA SA DE CV FID</w:t>
            </w:r>
          </w:p>
        </w:tc>
        <w:tc>
          <w:tcPr>
            <w:tcW w:w="1230"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$79,573,579.35</w:t>
            </w:r>
          </w:p>
        </w:tc>
      </w:tr>
      <w:tr w:rsidR="005D704D" w:rsidRPr="00EB63BB" w:rsidTr="005D704D">
        <w:trPr>
          <w:divId w:val="500194032"/>
          <w:trHeight w:val="555"/>
        </w:trPr>
        <w:tc>
          <w:tcPr>
            <w:tcW w:w="3586"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SECRETARIA DE ADMINISTRACIÓN Y FINANZAS</w:t>
            </w:r>
          </w:p>
        </w:tc>
        <w:tc>
          <w:tcPr>
            <w:tcW w:w="6938" w:type="dxa"/>
            <w:tcBorders>
              <w:top w:val="nil"/>
              <w:left w:val="nil"/>
              <w:bottom w:val="nil"/>
              <w:right w:val="nil"/>
            </w:tcBorders>
            <w:shd w:val="clear" w:color="auto" w:fill="auto"/>
            <w:hideMark/>
          </w:tcPr>
          <w:p w:rsidR="005D704D" w:rsidRPr="00EB63BB" w:rsidRDefault="005D704D" w:rsidP="005D704D">
            <w:pPr>
              <w:spacing w:after="0" w:line="240" w:lineRule="auto"/>
              <w:ind w:right="580"/>
              <w:rPr>
                <w:rFonts w:ascii="Lato" w:eastAsia="Times New Roman" w:hAnsi="Lato" w:cs="Arial"/>
                <w:color w:val="000000"/>
                <w:sz w:val="20"/>
                <w:szCs w:val="20"/>
              </w:rPr>
            </w:pPr>
            <w:r w:rsidRPr="00EB63BB">
              <w:rPr>
                <w:rFonts w:ascii="Lato" w:eastAsia="Times New Roman" w:hAnsi="Lato" w:cs="Arial"/>
                <w:color w:val="000000"/>
                <w:sz w:val="20"/>
                <w:szCs w:val="20"/>
              </w:rPr>
              <w:t>FIDEICOMISO NO. F/4109088</w:t>
            </w:r>
          </w:p>
        </w:tc>
        <w:tc>
          <w:tcPr>
            <w:tcW w:w="1230"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$172,728,590.51</w:t>
            </w:r>
          </w:p>
        </w:tc>
      </w:tr>
      <w:tr w:rsidR="005D704D" w:rsidRPr="00EB63BB" w:rsidTr="005D704D">
        <w:trPr>
          <w:divId w:val="500194032"/>
          <w:trHeight w:val="555"/>
        </w:trPr>
        <w:tc>
          <w:tcPr>
            <w:tcW w:w="3586"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SECRETARIA DE ADMINISTRACIÓN Y FINANZAS</w:t>
            </w:r>
          </w:p>
        </w:tc>
        <w:tc>
          <w:tcPr>
            <w:tcW w:w="6938"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F/4109146</w:t>
            </w:r>
          </w:p>
        </w:tc>
        <w:tc>
          <w:tcPr>
            <w:tcW w:w="1230"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$42,161,042.44</w:t>
            </w:r>
          </w:p>
        </w:tc>
      </w:tr>
      <w:tr w:rsidR="005D704D" w:rsidRPr="00EB63BB" w:rsidTr="005D704D">
        <w:trPr>
          <w:divId w:val="500194032"/>
          <w:trHeight w:val="555"/>
        </w:trPr>
        <w:tc>
          <w:tcPr>
            <w:tcW w:w="3586"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lastRenderedPageBreak/>
              <w:t>SECRETARIA DE ADMINISTRACIÓN Y FINANZAS</w:t>
            </w:r>
          </w:p>
        </w:tc>
        <w:tc>
          <w:tcPr>
            <w:tcW w:w="6938"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PARA EL DESARROLLO REGIONAL DEL SUR SURESTE 2050. FIDESUR</w:t>
            </w:r>
          </w:p>
        </w:tc>
        <w:tc>
          <w:tcPr>
            <w:tcW w:w="1230"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$700,000.00</w:t>
            </w:r>
          </w:p>
        </w:tc>
      </w:tr>
      <w:tr w:rsidR="005D704D" w:rsidRPr="00EB63BB" w:rsidTr="005D704D">
        <w:trPr>
          <w:divId w:val="500194032"/>
          <w:trHeight w:val="555"/>
        </w:trPr>
        <w:tc>
          <w:tcPr>
            <w:tcW w:w="3586"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SECRETARIA DE ADMINISTRACIÓN Y FINANZAS</w:t>
            </w:r>
          </w:p>
        </w:tc>
        <w:tc>
          <w:tcPr>
            <w:tcW w:w="6938"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No. F/4130480</w:t>
            </w:r>
          </w:p>
        </w:tc>
        <w:tc>
          <w:tcPr>
            <w:tcW w:w="1230"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$38,104,571.13</w:t>
            </w:r>
          </w:p>
        </w:tc>
      </w:tr>
      <w:tr w:rsidR="005D704D" w:rsidRPr="00EB63BB" w:rsidTr="005D704D">
        <w:trPr>
          <w:divId w:val="500194032"/>
          <w:trHeight w:val="555"/>
        </w:trPr>
        <w:tc>
          <w:tcPr>
            <w:tcW w:w="3586"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SECRETARIA DE ADMINISTRACIÓN Y FINANZAS</w:t>
            </w:r>
          </w:p>
        </w:tc>
        <w:tc>
          <w:tcPr>
            <w:tcW w:w="6938"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DE INVERSION Y ADMINISTRACION NÚMERO F/4142634</w:t>
            </w:r>
          </w:p>
        </w:tc>
        <w:tc>
          <w:tcPr>
            <w:tcW w:w="1230"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$194,680,489.75</w:t>
            </w:r>
          </w:p>
        </w:tc>
      </w:tr>
      <w:tr w:rsidR="005D704D" w:rsidRPr="00EB63BB" w:rsidTr="005D704D">
        <w:trPr>
          <w:divId w:val="500194032"/>
          <w:trHeight w:val="555"/>
        </w:trPr>
        <w:tc>
          <w:tcPr>
            <w:tcW w:w="3586"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SECRETARIA DE ADMINISTRACIÓN Y FINANZAS</w:t>
            </w:r>
          </w:p>
        </w:tc>
        <w:tc>
          <w:tcPr>
            <w:tcW w:w="6938"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FIDEICOMISO No. F/1412</w:t>
            </w:r>
          </w:p>
        </w:tc>
        <w:tc>
          <w:tcPr>
            <w:tcW w:w="1230"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$334,951,830.95</w:t>
            </w:r>
          </w:p>
        </w:tc>
      </w:tr>
      <w:tr w:rsidR="005D704D" w:rsidRPr="00EB63BB" w:rsidTr="005D704D">
        <w:trPr>
          <w:divId w:val="500194032"/>
          <w:trHeight w:val="480"/>
        </w:trPr>
        <w:tc>
          <w:tcPr>
            <w:tcW w:w="3586"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SECRETARÍA DE CIENCIAS, HUMANIDADES, TECNOLOGÍAS E INNOVACIÓN</w:t>
            </w:r>
          </w:p>
        </w:tc>
        <w:tc>
          <w:tcPr>
            <w:tcW w:w="6938" w:type="dxa"/>
            <w:tcBorders>
              <w:top w:val="nil"/>
              <w:left w:val="nil"/>
              <w:bottom w:val="nil"/>
              <w:right w:val="nil"/>
            </w:tcBorders>
            <w:shd w:val="clear" w:color="auto" w:fill="auto"/>
            <w:hideMark/>
          </w:tcPr>
          <w:p w:rsidR="005D704D" w:rsidRPr="00EB63BB" w:rsidRDefault="005D704D" w:rsidP="005D704D">
            <w:pPr>
              <w:spacing w:after="0" w:line="240" w:lineRule="auto"/>
              <w:rPr>
                <w:rFonts w:ascii="Lato" w:eastAsia="Times New Roman" w:hAnsi="Lato" w:cs="Arial"/>
                <w:color w:val="000000"/>
                <w:sz w:val="20"/>
                <w:szCs w:val="20"/>
              </w:rPr>
            </w:pPr>
            <w:r w:rsidRPr="00EB63BB">
              <w:rPr>
                <w:rFonts w:ascii="Lato" w:eastAsia="Times New Roman" w:hAnsi="Lato" w:cs="Arial"/>
                <w:color w:val="000000"/>
                <w:sz w:val="20"/>
                <w:szCs w:val="20"/>
              </w:rPr>
              <w:t>PROGRAMA DE BECAS NACIONALES PARA LA EDUCACIÓN SUPERIOR DE MANUTENCIÓN DE YUCATÁN</w:t>
            </w:r>
          </w:p>
        </w:tc>
        <w:tc>
          <w:tcPr>
            <w:tcW w:w="1230"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r w:rsidRPr="00EB63BB">
              <w:rPr>
                <w:rFonts w:ascii="Lato" w:eastAsia="Times New Roman" w:hAnsi="Lato" w:cs="Arial"/>
                <w:color w:val="000000"/>
                <w:sz w:val="20"/>
                <w:szCs w:val="20"/>
              </w:rPr>
              <w:t>$18,562,306.94</w:t>
            </w:r>
          </w:p>
        </w:tc>
      </w:tr>
      <w:tr w:rsidR="005D704D" w:rsidRPr="00EB63BB" w:rsidTr="005D704D">
        <w:trPr>
          <w:divId w:val="500194032"/>
          <w:trHeight w:val="285"/>
        </w:trPr>
        <w:tc>
          <w:tcPr>
            <w:tcW w:w="3586" w:type="dxa"/>
            <w:tcBorders>
              <w:top w:val="nil"/>
              <w:left w:val="nil"/>
              <w:bottom w:val="nil"/>
              <w:right w:val="nil"/>
            </w:tcBorders>
            <w:shd w:val="clear" w:color="auto" w:fill="auto"/>
            <w:noWrap/>
            <w:hideMark/>
          </w:tcPr>
          <w:p w:rsidR="005D704D" w:rsidRPr="00EB63BB" w:rsidRDefault="005D704D" w:rsidP="005D704D">
            <w:pPr>
              <w:spacing w:after="0" w:line="240" w:lineRule="auto"/>
              <w:jc w:val="right"/>
              <w:rPr>
                <w:rFonts w:ascii="Lato" w:eastAsia="Times New Roman" w:hAnsi="Lato" w:cs="Arial"/>
                <w:color w:val="000000"/>
                <w:sz w:val="20"/>
                <w:szCs w:val="20"/>
              </w:rPr>
            </w:pPr>
          </w:p>
        </w:tc>
        <w:tc>
          <w:tcPr>
            <w:tcW w:w="6938" w:type="dxa"/>
            <w:tcBorders>
              <w:top w:val="nil"/>
              <w:left w:val="nil"/>
              <w:bottom w:val="nil"/>
              <w:right w:val="nil"/>
            </w:tcBorders>
            <w:shd w:val="clear" w:color="auto" w:fill="auto"/>
            <w:noWrap/>
            <w:hideMark/>
          </w:tcPr>
          <w:p w:rsidR="005D704D" w:rsidRPr="00EB63BB" w:rsidRDefault="005D704D" w:rsidP="005D704D">
            <w:pPr>
              <w:spacing w:after="0" w:line="240" w:lineRule="auto"/>
              <w:rPr>
                <w:rFonts w:ascii="Lato" w:eastAsia="Times New Roman" w:hAnsi="Lato" w:cs="Times New Roman"/>
                <w:sz w:val="20"/>
                <w:szCs w:val="20"/>
              </w:rPr>
            </w:pPr>
          </w:p>
        </w:tc>
        <w:tc>
          <w:tcPr>
            <w:tcW w:w="1230" w:type="dxa"/>
            <w:tcBorders>
              <w:top w:val="single" w:sz="12" w:space="0" w:color="000000"/>
              <w:left w:val="nil"/>
              <w:bottom w:val="single" w:sz="12" w:space="0" w:color="000000"/>
              <w:right w:val="nil"/>
            </w:tcBorders>
            <w:shd w:val="clear" w:color="auto" w:fill="auto"/>
            <w:vAlign w:val="center"/>
            <w:hideMark/>
          </w:tcPr>
          <w:p w:rsidR="005D704D" w:rsidRPr="00EB63BB" w:rsidRDefault="005D704D" w:rsidP="005D704D">
            <w:pPr>
              <w:spacing w:after="0" w:line="240" w:lineRule="auto"/>
              <w:jc w:val="right"/>
              <w:rPr>
                <w:rFonts w:ascii="Lato" w:eastAsia="Times New Roman" w:hAnsi="Lato" w:cs="Arial"/>
                <w:b/>
                <w:bCs/>
                <w:color w:val="000000"/>
                <w:sz w:val="20"/>
                <w:szCs w:val="20"/>
              </w:rPr>
            </w:pPr>
            <w:r w:rsidRPr="00EB63BB">
              <w:rPr>
                <w:rFonts w:ascii="Lato" w:eastAsia="Times New Roman" w:hAnsi="Lato" w:cs="Arial"/>
                <w:b/>
                <w:bCs/>
                <w:color w:val="000000"/>
                <w:sz w:val="20"/>
                <w:szCs w:val="20"/>
              </w:rPr>
              <w:t>$1,071,100,593.91</w:t>
            </w:r>
          </w:p>
        </w:tc>
      </w:tr>
    </w:tbl>
    <w:p w:rsidR="00B027B5" w:rsidRPr="00EB63BB" w:rsidRDefault="004B4571">
      <w:pPr>
        <w:divId w:val="500194032"/>
        <w:rPr>
          <w:rFonts w:ascii="Lato" w:eastAsia="Times New Roman" w:hAnsi="Lato"/>
          <w:sz w:val="20"/>
          <w:szCs w:val="20"/>
        </w:rPr>
      </w:pPr>
      <w:r w:rsidRPr="00EB63BB">
        <w:rPr>
          <w:rStyle w:val="Textoennegrita"/>
          <w:rFonts w:ascii="Lato" w:eastAsia="Times New Roman" w:hAnsi="Lato"/>
          <w:sz w:val="20"/>
          <w:szCs w:val="20"/>
        </w:rPr>
        <w:t>9.</w:t>
      </w:r>
      <w:r w:rsidR="00642EB6" w:rsidRPr="00EB63BB">
        <w:rPr>
          <w:rStyle w:val="Textoennegrita"/>
          <w:rFonts w:ascii="Lato" w:eastAsia="Times New Roman" w:hAnsi="Lato"/>
          <w:sz w:val="20"/>
          <w:szCs w:val="20"/>
        </w:rPr>
        <w:t>Reporte de la Recaudación.</w:t>
      </w:r>
    </w:p>
    <w:p w:rsidR="00B027B5" w:rsidRPr="00EB63BB" w:rsidRDefault="00642EB6">
      <w:pPr>
        <w:divId w:val="1413501537"/>
        <w:rPr>
          <w:rFonts w:ascii="Lato" w:eastAsia="Times New Roman" w:hAnsi="Lato"/>
          <w:sz w:val="20"/>
          <w:szCs w:val="20"/>
        </w:rPr>
      </w:pPr>
      <w:r w:rsidRPr="00EB63BB">
        <w:rPr>
          <w:rFonts w:ascii="Lato" w:eastAsia="Times New Roman" w:hAnsi="Lato"/>
          <w:sz w:val="20"/>
          <w:szCs w:val="20"/>
        </w:rPr>
        <w:t>a) Comportamiento de la recaudación correspondiente al ente público por cualquier tipo de ingreso.</w:t>
      </w:r>
    </w:p>
    <w:p w:rsidR="00196FD0" w:rsidRPr="00EB63BB" w:rsidRDefault="00F30524" w:rsidP="00196FD0">
      <w:pPr>
        <w:spacing w:line="240" w:lineRule="auto"/>
        <w:ind w:right="486" w:firstLine="709"/>
        <w:jc w:val="both"/>
        <w:divId w:val="101727198"/>
        <w:rPr>
          <w:rFonts w:ascii="Lato" w:eastAsia="Times New Roman" w:hAnsi="Lato"/>
          <w:sz w:val="20"/>
          <w:szCs w:val="20"/>
        </w:rPr>
      </w:pPr>
      <w:r w:rsidRPr="00EB63BB">
        <w:rPr>
          <w:rFonts w:ascii="Lato" w:eastAsia="Times New Roman" w:hAnsi="Lato"/>
          <w:sz w:val="20"/>
          <w:szCs w:val="20"/>
        </w:rPr>
        <w:t xml:space="preserve">El Congreso del Estado aprobó </w:t>
      </w:r>
      <w:r w:rsidR="00196FD0" w:rsidRPr="00EB63BB">
        <w:rPr>
          <w:rFonts w:ascii="Lato" w:eastAsia="Times New Roman" w:hAnsi="Lato"/>
          <w:sz w:val="20"/>
          <w:szCs w:val="20"/>
        </w:rPr>
        <w:t>mediante la Ley de Ingresos 2026 un monto aproximado de 66,407</w:t>
      </w:r>
      <w:r w:rsidR="00BC3555" w:rsidRPr="00EB63BB">
        <w:rPr>
          <w:rFonts w:ascii="Lato" w:eastAsia="Times New Roman" w:hAnsi="Lato"/>
          <w:sz w:val="20"/>
          <w:szCs w:val="20"/>
        </w:rPr>
        <w:t xml:space="preserve"> mdp, de los cuales 60,906</w:t>
      </w:r>
      <w:r w:rsidRPr="00EB63BB">
        <w:rPr>
          <w:rFonts w:ascii="Lato" w:eastAsia="Times New Roman" w:hAnsi="Lato"/>
          <w:sz w:val="20"/>
          <w:szCs w:val="20"/>
        </w:rPr>
        <w:t xml:space="preserve"> mdp corres</w:t>
      </w:r>
      <w:r w:rsidR="00196FD0" w:rsidRPr="00EB63BB">
        <w:rPr>
          <w:rFonts w:ascii="Lato" w:eastAsia="Times New Roman" w:hAnsi="Lato"/>
          <w:sz w:val="20"/>
          <w:szCs w:val="20"/>
        </w:rPr>
        <w:t>ponden al Poder Ejecutivo; 2,427</w:t>
      </w:r>
      <w:r w:rsidRPr="00EB63BB">
        <w:rPr>
          <w:rFonts w:ascii="Lato" w:eastAsia="Times New Roman" w:hAnsi="Lato"/>
          <w:sz w:val="20"/>
          <w:szCs w:val="20"/>
        </w:rPr>
        <w:t xml:space="preserve"> mdp a Cuotas y aportacio</w:t>
      </w:r>
      <w:r w:rsidR="00196FD0" w:rsidRPr="00EB63BB">
        <w:rPr>
          <w:rFonts w:ascii="Lato" w:eastAsia="Times New Roman" w:hAnsi="Lato"/>
          <w:sz w:val="20"/>
          <w:szCs w:val="20"/>
        </w:rPr>
        <w:t xml:space="preserve">nes de Seguridad Social y 3’074 </w:t>
      </w:r>
      <w:r w:rsidRPr="00EB63BB">
        <w:rPr>
          <w:rFonts w:ascii="Lato" w:eastAsia="Times New Roman" w:hAnsi="Lato"/>
          <w:sz w:val="20"/>
          <w:szCs w:val="20"/>
        </w:rPr>
        <w:t>mdp por concepto de ingresos por ventas de bienes y servicios del sector paraestatal.</w:t>
      </w:r>
    </w:p>
    <w:p w:rsidR="00196FD0" w:rsidRPr="00EB63BB" w:rsidRDefault="00642EB6" w:rsidP="00196FD0">
      <w:pPr>
        <w:spacing w:line="240" w:lineRule="auto"/>
        <w:ind w:right="486"/>
        <w:jc w:val="both"/>
        <w:divId w:val="101727198"/>
        <w:rPr>
          <w:rFonts w:ascii="Lato" w:eastAsia="Times New Roman" w:hAnsi="Lato"/>
          <w:sz w:val="20"/>
          <w:szCs w:val="20"/>
        </w:rPr>
      </w:pPr>
      <w:r w:rsidRPr="00EB63BB">
        <w:rPr>
          <w:rFonts w:ascii="Lato" w:eastAsia="Times New Roman" w:hAnsi="Lato"/>
          <w:sz w:val="20"/>
          <w:szCs w:val="20"/>
        </w:rPr>
        <w:t>b) Proyección de la recaudación de ingresos a mediano plazo</w:t>
      </w:r>
      <w:r w:rsidR="00196FD0" w:rsidRPr="00EB63BB">
        <w:rPr>
          <w:rFonts w:ascii="Lato" w:eastAsia="Times New Roman" w:hAnsi="Lato"/>
          <w:sz w:val="20"/>
          <w:szCs w:val="20"/>
        </w:rPr>
        <w:t xml:space="preserve"> según la Ley de Ingresos 2026</w:t>
      </w:r>
      <w:r w:rsidRPr="00EB63BB">
        <w:rPr>
          <w:rFonts w:ascii="Lato" w:eastAsia="Times New Roman" w:hAnsi="Lato"/>
          <w:sz w:val="20"/>
          <w:szCs w:val="20"/>
        </w:rPr>
        <w:t>.</w:t>
      </w:r>
    </w:p>
    <w:tbl>
      <w:tblPr>
        <w:tblW w:w="4813" w:type="pct"/>
        <w:tblCellSpacing w:w="15" w:type="dxa"/>
        <w:tblCellMar>
          <w:top w:w="15" w:type="dxa"/>
          <w:left w:w="15" w:type="dxa"/>
          <w:bottom w:w="15" w:type="dxa"/>
          <w:right w:w="15" w:type="dxa"/>
        </w:tblCellMar>
        <w:tblLook w:val="04A0" w:firstRow="1" w:lastRow="0" w:firstColumn="1" w:lastColumn="0" w:noHBand="0" w:noVBand="1"/>
      </w:tblPr>
      <w:tblGrid>
        <w:gridCol w:w="884"/>
        <w:gridCol w:w="5850"/>
        <w:gridCol w:w="1818"/>
        <w:gridCol w:w="1756"/>
        <w:gridCol w:w="2167"/>
      </w:tblGrid>
      <w:tr w:rsidR="00190AE9" w:rsidRPr="00EB63BB" w:rsidTr="00190AE9">
        <w:trPr>
          <w:divId w:val="101727198"/>
          <w:tblCellSpacing w:w="15" w:type="dxa"/>
        </w:trPr>
        <w:tc>
          <w:tcPr>
            <w:tcW w:w="0" w:type="auto"/>
            <w:vAlign w:val="center"/>
            <w:hideMark/>
          </w:tcPr>
          <w:p w:rsidR="00190AE9" w:rsidRPr="00EB63BB" w:rsidRDefault="00190AE9" w:rsidP="00D914E0">
            <w:pPr>
              <w:jc w:val="center"/>
              <w:rPr>
                <w:rFonts w:ascii="Lato" w:eastAsia="Times New Roman" w:hAnsi="Lato"/>
                <w:sz w:val="20"/>
                <w:szCs w:val="20"/>
              </w:rPr>
            </w:pPr>
            <w:r w:rsidRPr="00EB63BB">
              <w:rPr>
                <w:rStyle w:val="Textoennegrita"/>
                <w:rFonts w:ascii="Lato" w:eastAsia="Times New Roman" w:hAnsi="Lato"/>
                <w:color w:val="000000"/>
                <w:sz w:val="20"/>
                <w:szCs w:val="20"/>
              </w:rPr>
              <w:t>CUENTA</w:t>
            </w:r>
          </w:p>
        </w:tc>
        <w:tc>
          <w:tcPr>
            <w:tcW w:w="0" w:type="auto"/>
            <w:vAlign w:val="center"/>
            <w:hideMark/>
          </w:tcPr>
          <w:p w:rsidR="00190AE9" w:rsidRPr="00EB63BB" w:rsidRDefault="00190AE9" w:rsidP="00D914E0">
            <w:pPr>
              <w:jc w:val="center"/>
              <w:rPr>
                <w:rFonts w:ascii="Lato" w:eastAsia="Times New Roman" w:hAnsi="Lato"/>
                <w:sz w:val="20"/>
                <w:szCs w:val="20"/>
              </w:rPr>
            </w:pPr>
            <w:r w:rsidRPr="00EB63BB">
              <w:rPr>
                <w:rStyle w:val="Textoennegrita"/>
                <w:rFonts w:ascii="Lato" w:eastAsia="Times New Roman" w:hAnsi="Lato"/>
                <w:color w:val="000000"/>
                <w:sz w:val="20"/>
                <w:szCs w:val="20"/>
              </w:rPr>
              <w:t>CONCEPTO</w:t>
            </w:r>
          </w:p>
        </w:tc>
        <w:tc>
          <w:tcPr>
            <w:tcW w:w="0" w:type="auto"/>
            <w:vAlign w:val="center"/>
            <w:hideMark/>
          </w:tcPr>
          <w:p w:rsidR="00190AE9" w:rsidRPr="00EB63BB" w:rsidRDefault="00190AE9" w:rsidP="00D914E0">
            <w:pPr>
              <w:jc w:val="center"/>
              <w:rPr>
                <w:rFonts w:ascii="Lato" w:eastAsia="Times New Roman" w:hAnsi="Lato"/>
                <w:sz w:val="20"/>
                <w:szCs w:val="20"/>
              </w:rPr>
            </w:pPr>
            <w:r w:rsidRPr="00EB63BB">
              <w:rPr>
                <w:rStyle w:val="Textoennegrita"/>
                <w:rFonts w:ascii="Lato" w:eastAsia="Times New Roman" w:hAnsi="Lato"/>
                <w:color w:val="000000"/>
                <w:sz w:val="20"/>
                <w:szCs w:val="20"/>
              </w:rPr>
              <w:t>Ley de Ingresos 2026</w:t>
            </w:r>
          </w:p>
        </w:tc>
        <w:tc>
          <w:tcPr>
            <w:tcW w:w="0" w:type="auto"/>
            <w:vAlign w:val="center"/>
            <w:hideMark/>
          </w:tcPr>
          <w:p w:rsidR="00190AE9" w:rsidRPr="00EB63BB" w:rsidRDefault="00190AE9" w:rsidP="00D914E0">
            <w:pPr>
              <w:jc w:val="center"/>
              <w:rPr>
                <w:rFonts w:ascii="Lato" w:eastAsia="Times New Roman" w:hAnsi="Lato"/>
                <w:sz w:val="20"/>
                <w:szCs w:val="20"/>
              </w:rPr>
            </w:pPr>
            <w:r w:rsidRPr="00EB63BB">
              <w:rPr>
                <w:rStyle w:val="Textoennegrita"/>
                <w:rFonts w:ascii="Lato" w:eastAsia="Times New Roman" w:hAnsi="Lato"/>
                <w:color w:val="000000"/>
                <w:sz w:val="20"/>
                <w:szCs w:val="20"/>
              </w:rPr>
              <w:t>Recaudación 2026</w:t>
            </w:r>
          </w:p>
        </w:tc>
        <w:tc>
          <w:tcPr>
            <w:tcW w:w="863" w:type="pct"/>
            <w:vAlign w:val="center"/>
            <w:hideMark/>
          </w:tcPr>
          <w:p w:rsidR="00190AE9" w:rsidRPr="00EB63BB" w:rsidRDefault="00190AE9" w:rsidP="00D914E0">
            <w:pPr>
              <w:jc w:val="center"/>
              <w:rPr>
                <w:rFonts w:ascii="Lato" w:eastAsia="Times New Roman" w:hAnsi="Lato"/>
                <w:sz w:val="20"/>
                <w:szCs w:val="20"/>
              </w:rPr>
            </w:pPr>
            <w:r w:rsidRPr="00EB63BB">
              <w:rPr>
                <w:rStyle w:val="Textoennegrita"/>
                <w:rFonts w:ascii="Lato" w:eastAsia="Times New Roman" w:hAnsi="Lato"/>
                <w:color w:val="000000"/>
                <w:sz w:val="20"/>
                <w:szCs w:val="20"/>
              </w:rPr>
              <w:t>Variación entre Ley de Ingresos y lo Recaudado</w:t>
            </w:r>
          </w:p>
        </w:tc>
      </w:tr>
      <w:tr w:rsidR="00190AE9" w:rsidRPr="00EB63BB" w:rsidTr="00190AE9">
        <w:trPr>
          <w:divId w:val="101727198"/>
          <w:tblCellSpacing w:w="15" w:type="dxa"/>
        </w:trPr>
        <w:tc>
          <w:tcPr>
            <w:tcW w:w="0" w:type="auto"/>
            <w:vAlign w:val="center"/>
            <w:hideMark/>
          </w:tcPr>
          <w:p w:rsidR="00190AE9" w:rsidRPr="00EB63BB" w:rsidRDefault="00190AE9" w:rsidP="00D914E0">
            <w:pPr>
              <w:rPr>
                <w:rFonts w:ascii="Lato" w:eastAsia="Times New Roman" w:hAnsi="Lato"/>
                <w:color w:val="000000"/>
                <w:sz w:val="20"/>
                <w:szCs w:val="20"/>
              </w:rPr>
            </w:pPr>
            <w:r w:rsidRPr="00EB63BB">
              <w:rPr>
                <w:rFonts w:ascii="Lato" w:eastAsia="Times New Roman" w:hAnsi="Lato"/>
                <w:color w:val="000000"/>
                <w:sz w:val="20"/>
                <w:szCs w:val="20"/>
              </w:rPr>
              <w:t>1</w:t>
            </w:r>
          </w:p>
        </w:tc>
        <w:tc>
          <w:tcPr>
            <w:tcW w:w="0" w:type="auto"/>
            <w:vAlign w:val="center"/>
            <w:hideMark/>
          </w:tcPr>
          <w:p w:rsidR="00190AE9" w:rsidRPr="00EB63BB" w:rsidRDefault="00190AE9" w:rsidP="00D914E0">
            <w:pPr>
              <w:rPr>
                <w:rFonts w:ascii="Lato" w:eastAsia="Times New Roman" w:hAnsi="Lato"/>
                <w:sz w:val="20"/>
                <w:szCs w:val="20"/>
              </w:rPr>
            </w:pPr>
            <w:r w:rsidRPr="00EB63BB">
              <w:rPr>
                <w:rFonts w:ascii="Lato" w:eastAsia="Times New Roman" w:hAnsi="Lato"/>
                <w:color w:val="000000"/>
                <w:sz w:val="20"/>
                <w:szCs w:val="20"/>
              </w:rPr>
              <w:t>IMPUESTOS</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5,214,559,050.00</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2,646,874,677.00</w:t>
            </w:r>
          </w:p>
        </w:tc>
        <w:tc>
          <w:tcPr>
            <w:tcW w:w="863" w:type="pct"/>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-2,567,684,373.00</w:t>
            </w:r>
          </w:p>
        </w:tc>
      </w:tr>
      <w:tr w:rsidR="00190AE9" w:rsidRPr="00EB63BB" w:rsidTr="00190AE9">
        <w:trPr>
          <w:divId w:val="101727198"/>
          <w:tblCellSpacing w:w="15" w:type="dxa"/>
        </w:trPr>
        <w:tc>
          <w:tcPr>
            <w:tcW w:w="0" w:type="auto"/>
            <w:vAlign w:val="center"/>
            <w:hideMark/>
          </w:tcPr>
          <w:p w:rsidR="00190AE9" w:rsidRPr="00EB63BB" w:rsidRDefault="00190AE9" w:rsidP="00D914E0">
            <w:pPr>
              <w:rPr>
                <w:rFonts w:ascii="Lato" w:eastAsia="Times New Roman" w:hAnsi="Lato"/>
                <w:color w:val="000000"/>
                <w:sz w:val="20"/>
                <w:szCs w:val="20"/>
              </w:rPr>
            </w:pPr>
            <w:r w:rsidRPr="00EB63BB">
              <w:rPr>
                <w:rFonts w:ascii="Lato" w:eastAsia="Times New Roman" w:hAnsi="Lato"/>
                <w:color w:val="000000"/>
                <w:sz w:val="20"/>
                <w:szCs w:val="20"/>
              </w:rPr>
              <w:t>4</w:t>
            </w:r>
          </w:p>
        </w:tc>
        <w:tc>
          <w:tcPr>
            <w:tcW w:w="0" w:type="auto"/>
            <w:vAlign w:val="center"/>
            <w:hideMark/>
          </w:tcPr>
          <w:p w:rsidR="00190AE9" w:rsidRPr="00EB63BB" w:rsidRDefault="00190AE9" w:rsidP="00D914E0">
            <w:pPr>
              <w:rPr>
                <w:rFonts w:ascii="Lato" w:eastAsia="Times New Roman" w:hAnsi="Lato"/>
                <w:sz w:val="20"/>
                <w:szCs w:val="20"/>
              </w:rPr>
            </w:pPr>
            <w:r w:rsidRPr="00EB63BB">
              <w:rPr>
                <w:rFonts w:ascii="Lato" w:eastAsia="Times New Roman" w:hAnsi="Lato"/>
                <w:color w:val="000000"/>
                <w:sz w:val="20"/>
                <w:szCs w:val="20"/>
              </w:rPr>
              <w:t>DERECHOS</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2,401,231,235.00</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1,302,580,485.09</w:t>
            </w:r>
          </w:p>
        </w:tc>
        <w:tc>
          <w:tcPr>
            <w:tcW w:w="863" w:type="pct"/>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-1,098,650,749.91</w:t>
            </w:r>
          </w:p>
        </w:tc>
      </w:tr>
      <w:tr w:rsidR="00190AE9" w:rsidRPr="00EB63BB" w:rsidTr="00190AE9">
        <w:trPr>
          <w:divId w:val="101727198"/>
          <w:tblCellSpacing w:w="15" w:type="dxa"/>
        </w:trPr>
        <w:tc>
          <w:tcPr>
            <w:tcW w:w="0" w:type="auto"/>
            <w:vAlign w:val="center"/>
            <w:hideMark/>
          </w:tcPr>
          <w:p w:rsidR="00190AE9" w:rsidRPr="00EB63BB" w:rsidRDefault="00190AE9" w:rsidP="00D914E0">
            <w:pPr>
              <w:rPr>
                <w:rFonts w:ascii="Lato" w:eastAsia="Times New Roman" w:hAnsi="Lato"/>
                <w:color w:val="000000"/>
                <w:sz w:val="20"/>
                <w:szCs w:val="20"/>
              </w:rPr>
            </w:pPr>
            <w:r w:rsidRPr="00EB63BB">
              <w:rPr>
                <w:rFonts w:ascii="Lato" w:eastAsia="Times New Roman" w:hAnsi="Lato"/>
                <w:color w:val="000000"/>
                <w:sz w:val="20"/>
                <w:szCs w:val="20"/>
              </w:rPr>
              <w:t>5</w:t>
            </w:r>
          </w:p>
        </w:tc>
        <w:tc>
          <w:tcPr>
            <w:tcW w:w="0" w:type="auto"/>
            <w:vAlign w:val="center"/>
            <w:hideMark/>
          </w:tcPr>
          <w:p w:rsidR="00190AE9" w:rsidRPr="00EB63BB" w:rsidRDefault="00190AE9" w:rsidP="00D914E0">
            <w:pPr>
              <w:rPr>
                <w:rFonts w:ascii="Lato" w:eastAsia="Times New Roman" w:hAnsi="Lato"/>
                <w:sz w:val="20"/>
                <w:szCs w:val="20"/>
              </w:rPr>
            </w:pPr>
            <w:r w:rsidRPr="00EB63BB">
              <w:rPr>
                <w:rFonts w:ascii="Lato" w:eastAsia="Times New Roman" w:hAnsi="Lato"/>
                <w:color w:val="000000"/>
                <w:sz w:val="20"/>
                <w:szCs w:val="20"/>
              </w:rPr>
              <w:t>PRODUCTOS</w:t>
            </w:r>
          </w:p>
        </w:tc>
        <w:tc>
          <w:tcPr>
            <w:tcW w:w="0" w:type="auto"/>
            <w:vAlign w:val="center"/>
            <w:hideMark/>
          </w:tcPr>
          <w:p w:rsidR="00190AE9" w:rsidRPr="00EB63BB" w:rsidRDefault="00190AE9" w:rsidP="00190AE9">
            <w:pPr>
              <w:ind w:left="-409" w:firstLine="409"/>
              <w:jc w:val="right"/>
              <w:rPr>
                <w:rFonts w:ascii="Lato" w:eastAsia="Times New Roman" w:hAnsi="Lato"/>
                <w:sz w:val="20"/>
                <w:szCs w:val="20"/>
              </w:rPr>
            </w:pPr>
            <w:r w:rsidRPr="00EB63BB">
              <w:rPr>
                <w:rFonts w:ascii="Lato" w:eastAsia="Times New Roman" w:hAnsi="Lato"/>
                <w:color w:val="000000"/>
                <w:sz w:val="20"/>
                <w:szCs w:val="20"/>
              </w:rPr>
              <w:t>185,605,884.00</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89,952,174.28</w:t>
            </w:r>
          </w:p>
        </w:tc>
        <w:tc>
          <w:tcPr>
            <w:tcW w:w="863" w:type="pct"/>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-95,653,709.72</w:t>
            </w:r>
          </w:p>
        </w:tc>
      </w:tr>
      <w:tr w:rsidR="00190AE9" w:rsidRPr="00EB63BB" w:rsidTr="00190AE9">
        <w:trPr>
          <w:divId w:val="101727198"/>
          <w:tblCellSpacing w:w="15" w:type="dxa"/>
        </w:trPr>
        <w:tc>
          <w:tcPr>
            <w:tcW w:w="0" w:type="auto"/>
            <w:vAlign w:val="center"/>
            <w:hideMark/>
          </w:tcPr>
          <w:p w:rsidR="00190AE9" w:rsidRPr="00EB63BB" w:rsidRDefault="00190AE9" w:rsidP="00D914E0">
            <w:pPr>
              <w:rPr>
                <w:rFonts w:ascii="Lato" w:eastAsia="Times New Roman" w:hAnsi="Lato"/>
                <w:color w:val="000000"/>
                <w:sz w:val="20"/>
                <w:szCs w:val="20"/>
              </w:rPr>
            </w:pPr>
            <w:r w:rsidRPr="00EB63BB">
              <w:rPr>
                <w:rFonts w:ascii="Lato" w:eastAsia="Times New Roman" w:hAnsi="Lato"/>
                <w:color w:val="000000"/>
                <w:sz w:val="20"/>
                <w:szCs w:val="20"/>
              </w:rPr>
              <w:t>6</w:t>
            </w:r>
          </w:p>
        </w:tc>
        <w:tc>
          <w:tcPr>
            <w:tcW w:w="0" w:type="auto"/>
            <w:vAlign w:val="center"/>
            <w:hideMark/>
          </w:tcPr>
          <w:p w:rsidR="00190AE9" w:rsidRPr="00EB63BB" w:rsidRDefault="00190AE9" w:rsidP="00D914E0">
            <w:pPr>
              <w:rPr>
                <w:rFonts w:ascii="Lato" w:eastAsia="Times New Roman" w:hAnsi="Lato"/>
                <w:sz w:val="20"/>
                <w:szCs w:val="20"/>
              </w:rPr>
            </w:pPr>
            <w:r w:rsidRPr="00EB63BB">
              <w:rPr>
                <w:rFonts w:ascii="Lato" w:eastAsia="Times New Roman" w:hAnsi="Lato"/>
                <w:color w:val="000000"/>
                <w:sz w:val="20"/>
                <w:szCs w:val="20"/>
              </w:rPr>
              <w:t>APROVECHAMIENTOS</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378,556,158.00</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103,206,423.88</w:t>
            </w:r>
          </w:p>
        </w:tc>
        <w:tc>
          <w:tcPr>
            <w:tcW w:w="863" w:type="pct"/>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-275,349,734.12</w:t>
            </w:r>
          </w:p>
        </w:tc>
      </w:tr>
      <w:tr w:rsidR="00190AE9" w:rsidRPr="00EB63BB" w:rsidTr="00190AE9">
        <w:trPr>
          <w:divId w:val="101727198"/>
          <w:tblCellSpacing w:w="15" w:type="dxa"/>
        </w:trPr>
        <w:tc>
          <w:tcPr>
            <w:tcW w:w="0" w:type="auto"/>
            <w:vAlign w:val="center"/>
            <w:hideMark/>
          </w:tcPr>
          <w:p w:rsidR="00190AE9" w:rsidRPr="00EB63BB" w:rsidRDefault="00190AE9" w:rsidP="00D914E0">
            <w:pPr>
              <w:rPr>
                <w:rFonts w:ascii="Lato" w:eastAsia="Times New Roman" w:hAnsi="Lato"/>
                <w:color w:val="000000"/>
                <w:sz w:val="20"/>
                <w:szCs w:val="20"/>
              </w:rPr>
            </w:pPr>
            <w:r w:rsidRPr="00EB63BB">
              <w:rPr>
                <w:rFonts w:ascii="Lato" w:eastAsia="Times New Roman" w:hAnsi="Lato"/>
                <w:color w:val="000000"/>
                <w:sz w:val="20"/>
                <w:szCs w:val="20"/>
              </w:rPr>
              <w:lastRenderedPageBreak/>
              <w:t>8</w:t>
            </w:r>
          </w:p>
        </w:tc>
        <w:tc>
          <w:tcPr>
            <w:tcW w:w="0" w:type="auto"/>
            <w:vAlign w:val="center"/>
            <w:hideMark/>
          </w:tcPr>
          <w:p w:rsidR="00190AE9" w:rsidRPr="00EB63BB" w:rsidRDefault="00190AE9" w:rsidP="00D914E0">
            <w:pPr>
              <w:rPr>
                <w:rFonts w:ascii="Lato" w:eastAsia="Times New Roman" w:hAnsi="Lato"/>
                <w:sz w:val="20"/>
                <w:szCs w:val="20"/>
              </w:rPr>
            </w:pPr>
            <w:r w:rsidRPr="00EB63BB">
              <w:rPr>
                <w:rFonts w:ascii="Lato" w:eastAsia="Times New Roman" w:hAnsi="Lato"/>
                <w:color w:val="000000"/>
                <w:sz w:val="20"/>
                <w:szCs w:val="20"/>
              </w:rPr>
              <w:t>PARTICIPACIONES, APORTACIONES, CONVENIOS, INCENTIVOS DERIVADOS DE LA COLABORACIÓN FISCAL Y FONDOS DISTINTOS DE APORTACIONES</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48,671,595,074.00</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24,704,581,647.48</w:t>
            </w:r>
          </w:p>
        </w:tc>
        <w:tc>
          <w:tcPr>
            <w:tcW w:w="863" w:type="pct"/>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-23,967,013,426.52</w:t>
            </w:r>
          </w:p>
        </w:tc>
      </w:tr>
      <w:tr w:rsidR="00190AE9" w:rsidRPr="00EB63BB" w:rsidTr="00190AE9">
        <w:trPr>
          <w:divId w:val="101727198"/>
          <w:tblCellSpacing w:w="15" w:type="dxa"/>
        </w:trPr>
        <w:tc>
          <w:tcPr>
            <w:tcW w:w="0" w:type="auto"/>
            <w:vAlign w:val="center"/>
            <w:hideMark/>
          </w:tcPr>
          <w:p w:rsidR="00190AE9" w:rsidRPr="00EB63BB" w:rsidRDefault="00190AE9" w:rsidP="00D914E0">
            <w:pPr>
              <w:rPr>
                <w:rFonts w:ascii="Lato" w:eastAsia="Times New Roman" w:hAnsi="Lato"/>
                <w:color w:val="000000"/>
                <w:sz w:val="20"/>
                <w:szCs w:val="20"/>
              </w:rPr>
            </w:pPr>
            <w:r w:rsidRPr="00EB63BB">
              <w:rPr>
                <w:rFonts w:ascii="Lato" w:eastAsia="Times New Roman" w:hAnsi="Lato"/>
                <w:color w:val="000000"/>
                <w:sz w:val="20"/>
                <w:szCs w:val="20"/>
              </w:rPr>
              <w:t>9</w:t>
            </w:r>
          </w:p>
        </w:tc>
        <w:tc>
          <w:tcPr>
            <w:tcW w:w="0" w:type="auto"/>
            <w:vAlign w:val="center"/>
            <w:hideMark/>
          </w:tcPr>
          <w:p w:rsidR="00190AE9" w:rsidRPr="00EB63BB" w:rsidRDefault="00190AE9" w:rsidP="00D914E0">
            <w:pPr>
              <w:rPr>
                <w:rFonts w:ascii="Lato" w:eastAsia="Times New Roman" w:hAnsi="Lato"/>
                <w:sz w:val="20"/>
                <w:szCs w:val="20"/>
              </w:rPr>
            </w:pPr>
            <w:r w:rsidRPr="00EB63BB">
              <w:rPr>
                <w:rFonts w:ascii="Lato" w:eastAsia="Times New Roman" w:hAnsi="Lato"/>
                <w:color w:val="000000"/>
                <w:sz w:val="20"/>
                <w:szCs w:val="20"/>
              </w:rPr>
              <w:t>TRANSFERENCIAS, ASIGNACIONES, SUBSIDIOS Y SUBVENCIONES, Y PENSIONES Y JUBILACIONES</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2,524,586,201.00</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1,674,707,000.00</w:t>
            </w:r>
          </w:p>
        </w:tc>
        <w:tc>
          <w:tcPr>
            <w:tcW w:w="863" w:type="pct"/>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-849,879,201.00</w:t>
            </w:r>
          </w:p>
        </w:tc>
      </w:tr>
      <w:tr w:rsidR="00190AE9" w:rsidRPr="00EB63BB" w:rsidTr="00190AE9">
        <w:trPr>
          <w:divId w:val="101727198"/>
          <w:tblCellSpacing w:w="15" w:type="dxa"/>
        </w:trPr>
        <w:tc>
          <w:tcPr>
            <w:tcW w:w="0" w:type="auto"/>
            <w:vAlign w:val="center"/>
            <w:hideMark/>
          </w:tcPr>
          <w:p w:rsidR="00190AE9" w:rsidRPr="00EB63BB" w:rsidRDefault="00190AE9" w:rsidP="00D914E0">
            <w:pPr>
              <w:rPr>
                <w:rFonts w:ascii="Lato" w:eastAsia="Times New Roman" w:hAnsi="Lato"/>
                <w:color w:val="000000"/>
                <w:sz w:val="20"/>
                <w:szCs w:val="20"/>
              </w:rPr>
            </w:pPr>
            <w:r w:rsidRPr="00EB63BB">
              <w:rPr>
                <w:rFonts w:ascii="Lato" w:eastAsia="Times New Roman" w:hAnsi="Lato"/>
                <w:color w:val="000000"/>
                <w:sz w:val="20"/>
                <w:szCs w:val="20"/>
              </w:rPr>
              <w:t>0</w:t>
            </w:r>
          </w:p>
        </w:tc>
        <w:tc>
          <w:tcPr>
            <w:tcW w:w="0" w:type="auto"/>
            <w:vAlign w:val="center"/>
            <w:hideMark/>
          </w:tcPr>
          <w:p w:rsidR="00190AE9" w:rsidRPr="00EB63BB" w:rsidRDefault="00190AE9" w:rsidP="00D914E0">
            <w:pPr>
              <w:rPr>
                <w:rFonts w:ascii="Lato" w:eastAsia="Times New Roman" w:hAnsi="Lato"/>
                <w:sz w:val="20"/>
                <w:szCs w:val="20"/>
              </w:rPr>
            </w:pPr>
            <w:r w:rsidRPr="00EB63BB">
              <w:rPr>
                <w:rFonts w:ascii="Lato" w:eastAsia="Times New Roman" w:hAnsi="Lato"/>
                <w:color w:val="000000"/>
                <w:sz w:val="20"/>
                <w:szCs w:val="20"/>
              </w:rPr>
              <w:t>INGRESOS DERIVADOS DE FINANCIAMIENTOS</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1,530,000,000.00</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0.00</w:t>
            </w:r>
          </w:p>
        </w:tc>
        <w:tc>
          <w:tcPr>
            <w:tcW w:w="863" w:type="pct"/>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-1,530,000,000.00</w:t>
            </w:r>
          </w:p>
        </w:tc>
      </w:tr>
      <w:tr w:rsidR="00190AE9" w:rsidRPr="00EB63BB" w:rsidTr="00190AE9">
        <w:trPr>
          <w:divId w:val="101727198"/>
          <w:tblCellSpacing w:w="15" w:type="dxa"/>
        </w:trPr>
        <w:tc>
          <w:tcPr>
            <w:tcW w:w="0" w:type="auto"/>
            <w:vAlign w:val="center"/>
            <w:hideMark/>
          </w:tcPr>
          <w:p w:rsidR="00190AE9" w:rsidRPr="00EB63BB" w:rsidRDefault="00190AE9" w:rsidP="00D914E0">
            <w:pPr>
              <w:jc w:val="right"/>
              <w:rPr>
                <w:rFonts w:ascii="Lato" w:eastAsia="Times New Roman" w:hAnsi="Lato"/>
                <w:sz w:val="20"/>
                <w:szCs w:val="20"/>
              </w:rPr>
            </w:pPr>
          </w:p>
        </w:tc>
        <w:tc>
          <w:tcPr>
            <w:tcW w:w="0" w:type="auto"/>
            <w:vAlign w:val="center"/>
            <w:hideMark/>
          </w:tcPr>
          <w:p w:rsidR="00190AE9" w:rsidRPr="00EB63BB" w:rsidRDefault="00190AE9" w:rsidP="00D914E0">
            <w:pPr>
              <w:rPr>
                <w:rFonts w:ascii="Lato" w:eastAsia="Times New Roman" w:hAnsi="Lato"/>
                <w:sz w:val="20"/>
                <w:szCs w:val="20"/>
              </w:rPr>
            </w:pPr>
            <w:r w:rsidRPr="00EB63BB">
              <w:rPr>
                <w:rStyle w:val="Textoennegrita"/>
                <w:rFonts w:ascii="Lato" w:eastAsia="Times New Roman" w:hAnsi="Lato"/>
                <w:color w:val="000000"/>
                <w:sz w:val="20"/>
                <w:szCs w:val="20"/>
              </w:rPr>
              <w:t>SUBTOTAL</w:t>
            </w:r>
          </w:p>
        </w:tc>
        <w:tc>
          <w:tcPr>
            <w:tcW w:w="0" w:type="auto"/>
            <w:tcBorders>
              <w:top w:val="single" w:sz="12" w:space="0" w:color="000000"/>
              <w:bottom w:val="single" w:sz="12" w:space="0" w:color="000000"/>
            </w:tcBorders>
            <w:vAlign w:val="center"/>
            <w:hideMark/>
          </w:tcPr>
          <w:p w:rsidR="00190AE9" w:rsidRPr="00EB63BB" w:rsidRDefault="00190AE9" w:rsidP="00D914E0">
            <w:pPr>
              <w:jc w:val="right"/>
              <w:rPr>
                <w:rFonts w:ascii="Lato" w:eastAsia="Times New Roman" w:hAnsi="Lato"/>
                <w:sz w:val="20"/>
                <w:szCs w:val="20"/>
              </w:rPr>
            </w:pPr>
            <w:r w:rsidRPr="00EB63BB">
              <w:rPr>
                <w:rStyle w:val="Textoennegrita"/>
                <w:rFonts w:ascii="Lato" w:eastAsia="Times New Roman" w:hAnsi="Lato"/>
                <w:color w:val="000000"/>
                <w:sz w:val="20"/>
                <w:szCs w:val="20"/>
              </w:rPr>
              <w:t>60,906,133,602.00</w:t>
            </w:r>
          </w:p>
        </w:tc>
        <w:tc>
          <w:tcPr>
            <w:tcW w:w="0" w:type="auto"/>
            <w:tcBorders>
              <w:top w:val="single" w:sz="12" w:space="0" w:color="000000"/>
              <w:bottom w:val="single" w:sz="12" w:space="0" w:color="000000"/>
            </w:tcBorders>
            <w:vAlign w:val="center"/>
            <w:hideMark/>
          </w:tcPr>
          <w:p w:rsidR="00190AE9" w:rsidRPr="00EB63BB" w:rsidRDefault="00190AE9" w:rsidP="00D914E0">
            <w:pPr>
              <w:jc w:val="right"/>
              <w:rPr>
                <w:rFonts w:ascii="Lato" w:eastAsia="Times New Roman" w:hAnsi="Lato"/>
                <w:sz w:val="20"/>
                <w:szCs w:val="20"/>
              </w:rPr>
            </w:pPr>
            <w:r w:rsidRPr="00EB63BB">
              <w:rPr>
                <w:rStyle w:val="Textoennegrita"/>
                <w:rFonts w:ascii="Lato" w:eastAsia="Times New Roman" w:hAnsi="Lato"/>
                <w:color w:val="000000"/>
                <w:sz w:val="20"/>
                <w:szCs w:val="20"/>
              </w:rPr>
              <w:t>30,521,902,407.73</w:t>
            </w:r>
          </w:p>
        </w:tc>
        <w:tc>
          <w:tcPr>
            <w:tcW w:w="863" w:type="pct"/>
            <w:tcBorders>
              <w:top w:val="single" w:sz="12" w:space="0" w:color="000000"/>
              <w:bottom w:val="single" w:sz="12" w:space="0" w:color="000000"/>
            </w:tcBorders>
            <w:vAlign w:val="center"/>
            <w:hideMark/>
          </w:tcPr>
          <w:p w:rsidR="00190AE9" w:rsidRPr="00EB63BB" w:rsidRDefault="00190AE9" w:rsidP="00D914E0">
            <w:pPr>
              <w:jc w:val="right"/>
              <w:rPr>
                <w:rFonts w:ascii="Lato" w:eastAsia="Times New Roman" w:hAnsi="Lato"/>
                <w:sz w:val="20"/>
                <w:szCs w:val="20"/>
              </w:rPr>
            </w:pPr>
            <w:r w:rsidRPr="00EB63BB">
              <w:rPr>
                <w:rStyle w:val="Textoennegrita"/>
                <w:rFonts w:ascii="Lato" w:eastAsia="Times New Roman" w:hAnsi="Lato"/>
                <w:color w:val="000000"/>
                <w:sz w:val="20"/>
                <w:szCs w:val="20"/>
              </w:rPr>
              <w:t>-30,384,231,194.27</w:t>
            </w:r>
          </w:p>
        </w:tc>
      </w:tr>
      <w:tr w:rsidR="00190AE9" w:rsidRPr="00EB63BB" w:rsidTr="00190AE9">
        <w:trPr>
          <w:divId w:val="101727198"/>
          <w:tblCellSpacing w:w="15" w:type="dxa"/>
        </w:trPr>
        <w:tc>
          <w:tcPr>
            <w:tcW w:w="0" w:type="auto"/>
            <w:vAlign w:val="center"/>
            <w:hideMark/>
          </w:tcPr>
          <w:p w:rsidR="00190AE9" w:rsidRPr="00EB63BB" w:rsidRDefault="00190AE9" w:rsidP="00D914E0">
            <w:pPr>
              <w:rPr>
                <w:rFonts w:ascii="Lato" w:eastAsia="Times New Roman" w:hAnsi="Lato"/>
                <w:color w:val="000000"/>
                <w:sz w:val="20"/>
                <w:szCs w:val="20"/>
              </w:rPr>
            </w:pPr>
            <w:r w:rsidRPr="00EB63BB">
              <w:rPr>
                <w:rFonts w:ascii="Lato" w:eastAsia="Times New Roman" w:hAnsi="Lato"/>
                <w:color w:val="000000"/>
                <w:sz w:val="20"/>
                <w:szCs w:val="20"/>
              </w:rPr>
              <w:t>2</w:t>
            </w:r>
          </w:p>
        </w:tc>
        <w:tc>
          <w:tcPr>
            <w:tcW w:w="0" w:type="auto"/>
            <w:vAlign w:val="center"/>
            <w:hideMark/>
          </w:tcPr>
          <w:p w:rsidR="00190AE9" w:rsidRPr="00EB63BB" w:rsidRDefault="00190AE9" w:rsidP="00D914E0">
            <w:pPr>
              <w:rPr>
                <w:rFonts w:ascii="Lato" w:eastAsia="Times New Roman" w:hAnsi="Lato"/>
                <w:sz w:val="20"/>
                <w:szCs w:val="20"/>
              </w:rPr>
            </w:pPr>
            <w:r w:rsidRPr="00EB63BB">
              <w:rPr>
                <w:rFonts w:ascii="Lato" w:eastAsia="Times New Roman" w:hAnsi="Lato"/>
                <w:color w:val="000000"/>
                <w:sz w:val="20"/>
                <w:szCs w:val="20"/>
              </w:rPr>
              <w:t>CUOTAS Y APORTACIONES DE SEGURIDAD SOCIAL</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2,427,466,792.00</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0.00</w:t>
            </w:r>
          </w:p>
        </w:tc>
        <w:tc>
          <w:tcPr>
            <w:tcW w:w="863" w:type="pct"/>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-2,427,466,792.00</w:t>
            </w:r>
          </w:p>
        </w:tc>
      </w:tr>
      <w:tr w:rsidR="00190AE9" w:rsidRPr="00EB63BB" w:rsidTr="00190AE9">
        <w:trPr>
          <w:divId w:val="101727198"/>
          <w:tblCellSpacing w:w="15" w:type="dxa"/>
        </w:trPr>
        <w:tc>
          <w:tcPr>
            <w:tcW w:w="0" w:type="auto"/>
            <w:vAlign w:val="center"/>
            <w:hideMark/>
          </w:tcPr>
          <w:p w:rsidR="00190AE9" w:rsidRPr="00EB63BB" w:rsidRDefault="00190AE9" w:rsidP="00D914E0">
            <w:pPr>
              <w:rPr>
                <w:rFonts w:ascii="Lato" w:eastAsia="Times New Roman" w:hAnsi="Lato"/>
                <w:color w:val="000000"/>
                <w:sz w:val="20"/>
                <w:szCs w:val="20"/>
              </w:rPr>
            </w:pPr>
            <w:r w:rsidRPr="00EB63BB">
              <w:rPr>
                <w:rFonts w:ascii="Lato" w:eastAsia="Times New Roman" w:hAnsi="Lato"/>
                <w:color w:val="000000"/>
                <w:sz w:val="20"/>
                <w:szCs w:val="20"/>
              </w:rPr>
              <w:t>7</w:t>
            </w:r>
          </w:p>
        </w:tc>
        <w:tc>
          <w:tcPr>
            <w:tcW w:w="0" w:type="auto"/>
            <w:vAlign w:val="center"/>
            <w:hideMark/>
          </w:tcPr>
          <w:p w:rsidR="00190AE9" w:rsidRPr="00EB63BB" w:rsidRDefault="00190AE9" w:rsidP="00D914E0">
            <w:pPr>
              <w:rPr>
                <w:rFonts w:ascii="Lato" w:eastAsia="Times New Roman" w:hAnsi="Lato"/>
                <w:sz w:val="20"/>
                <w:szCs w:val="20"/>
              </w:rPr>
            </w:pPr>
            <w:r w:rsidRPr="00EB63BB">
              <w:rPr>
                <w:rFonts w:ascii="Lato" w:eastAsia="Times New Roman" w:hAnsi="Lato"/>
                <w:color w:val="000000"/>
                <w:sz w:val="20"/>
                <w:szCs w:val="20"/>
              </w:rPr>
              <w:t>APROVECHAMIENTOS PATRIMONIALES</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3,074,349,341.00</w:t>
            </w:r>
          </w:p>
        </w:tc>
        <w:tc>
          <w:tcPr>
            <w:tcW w:w="0" w:type="auto"/>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0.00</w:t>
            </w:r>
          </w:p>
        </w:tc>
        <w:tc>
          <w:tcPr>
            <w:tcW w:w="863" w:type="pct"/>
            <w:vAlign w:val="center"/>
            <w:hideMark/>
          </w:tcPr>
          <w:p w:rsidR="00190AE9" w:rsidRPr="00EB63BB" w:rsidRDefault="00190AE9" w:rsidP="00D914E0">
            <w:pPr>
              <w:jc w:val="right"/>
              <w:rPr>
                <w:rFonts w:ascii="Lato" w:eastAsia="Times New Roman" w:hAnsi="Lato"/>
                <w:sz w:val="20"/>
                <w:szCs w:val="20"/>
              </w:rPr>
            </w:pPr>
            <w:r w:rsidRPr="00EB63BB">
              <w:rPr>
                <w:rFonts w:ascii="Lato" w:eastAsia="Times New Roman" w:hAnsi="Lato"/>
                <w:color w:val="000000"/>
                <w:sz w:val="20"/>
                <w:szCs w:val="20"/>
              </w:rPr>
              <w:t>-3,074,349,341.00</w:t>
            </w:r>
          </w:p>
        </w:tc>
      </w:tr>
      <w:tr w:rsidR="00190AE9" w:rsidRPr="00EB63BB" w:rsidTr="00190AE9">
        <w:trPr>
          <w:divId w:val="101727198"/>
          <w:tblCellSpacing w:w="15" w:type="dxa"/>
        </w:trPr>
        <w:tc>
          <w:tcPr>
            <w:tcW w:w="0" w:type="auto"/>
            <w:vAlign w:val="center"/>
            <w:hideMark/>
          </w:tcPr>
          <w:p w:rsidR="00190AE9" w:rsidRPr="00EB63BB" w:rsidRDefault="00190AE9" w:rsidP="00D914E0">
            <w:pPr>
              <w:jc w:val="right"/>
              <w:rPr>
                <w:rFonts w:ascii="Lato" w:eastAsia="Times New Roman" w:hAnsi="Lato"/>
                <w:sz w:val="20"/>
                <w:szCs w:val="20"/>
              </w:rPr>
            </w:pPr>
          </w:p>
        </w:tc>
        <w:tc>
          <w:tcPr>
            <w:tcW w:w="0" w:type="auto"/>
            <w:vAlign w:val="center"/>
            <w:hideMark/>
          </w:tcPr>
          <w:p w:rsidR="00190AE9" w:rsidRPr="00EB63BB" w:rsidRDefault="00190AE9" w:rsidP="00D914E0">
            <w:pPr>
              <w:rPr>
                <w:rFonts w:ascii="Lato" w:eastAsia="Times New Roman" w:hAnsi="Lato"/>
                <w:sz w:val="20"/>
                <w:szCs w:val="20"/>
              </w:rPr>
            </w:pPr>
            <w:r w:rsidRPr="00EB63BB">
              <w:rPr>
                <w:rStyle w:val="Textoennegrita"/>
                <w:rFonts w:ascii="Lato" w:eastAsia="Times New Roman" w:hAnsi="Lato"/>
                <w:color w:val="000000"/>
                <w:sz w:val="20"/>
                <w:szCs w:val="20"/>
              </w:rPr>
              <w:t>TOTAL</w:t>
            </w:r>
          </w:p>
        </w:tc>
        <w:tc>
          <w:tcPr>
            <w:tcW w:w="0" w:type="auto"/>
            <w:tcBorders>
              <w:top w:val="single" w:sz="12" w:space="0" w:color="000000"/>
              <w:bottom w:val="single" w:sz="12" w:space="0" w:color="000000"/>
            </w:tcBorders>
            <w:vAlign w:val="center"/>
            <w:hideMark/>
          </w:tcPr>
          <w:p w:rsidR="00190AE9" w:rsidRPr="00EB63BB" w:rsidRDefault="00190AE9" w:rsidP="00D914E0">
            <w:pPr>
              <w:jc w:val="right"/>
              <w:rPr>
                <w:rFonts w:ascii="Lato" w:eastAsia="Times New Roman" w:hAnsi="Lato"/>
                <w:sz w:val="20"/>
                <w:szCs w:val="20"/>
              </w:rPr>
            </w:pPr>
            <w:r w:rsidRPr="00EB63BB">
              <w:rPr>
                <w:rStyle w:val="Textoennegrita"/>
                <w:rFonts w:ascii="Lato" w:eastAsia="Times New Roman" w:hAnsi="Lato"/>
                <w:color w:val="000000"/>
                <w:sz w:val="20"/>
                <w:szCs w:val="20"/>
              </w:rPr>
              <w:t>66,407,949,735.00</w:t>
            </w:r>
          </w:p>
        </w:tc>
        <w:tc>
          <w:tcPr>
            <w:tcW w:w="0" w:type="auto"/>
            <w:tcBorders>
              <w:top w:val="single" w:sz="12" w:space="0" w:color="000000"/>
              <w:bottom w:val="single" w:sz="12" w:space="0" w:color="000000"/>
            </w:tcBorders>
            <w:vAlign w:val="center"/>
            <w:hideMark/>
          </w:tcPr>
          <w:p w:rsidR="00190AE9" w:rsidRPr="00EB63BB" w:rsidRDefault="00190AE9" w:rsidP="00D914E0">
            <w:pPr>
              <w:jc w:val="right"/>
              <w:rPr>
                <w:rFonts w:ascii="Lato" w:eastAsia="Times New Roman" w:hAnsi="Lato"/>
                <w:sz w:val="20"/>
                <w:szCs w:val="20"/>
              </w:rPr>
            </w:pPr>
            <w:r w:rsidRPr="00EB63BB">
              <w:rPr>
                <w:rStyle w:val="Textoennegrita"/>
                <w:rFonts w:ascii="Lato" w:eastAsia="Times New Roman" w:hAnsi="Lato"/>
                <w:color w:val="000000"/>
                <w:sz w:val="20"/>
                <w:szCs w:val="20"/>
              </w:rPr>
              <w:t>30,521,902,407.73</w:t>
            </w:r>
          </w:p>
        </w:tc>
        <w:tc>
          <w:tcPr>
            <w:tcW w:w="863" w:type="pct"/>
            <w:tcBorders>
              <w:top w:val="single" w:sz="12" w:space="0" w:color="000000"/>
              <w:bottom w:val="single" w:sz="12" w:space="0" w:color="000000"/>
            </w:tcBorders>
            <w:vAlign w:val="center"/>
            <w:hideMark/>
          </w:tcPr>
          <w:p w:rsidR="00190AE9" w:rsidRPr="00EB63BB" w:rsidRDefault="00190AE9" w:rsidP="00D914E0">
            <w:pPr>
              <w:jc w:val="right"/>
              <w:rPr>
                <w:rFonts w:ascii="Lato" w:eastAsia="Times New Roman" w:hAnsi="Lato"/>
                <w:sz w:val="20"/>
                <w:szCs w:val="20"/>
              </w:rPr>
            </w:pPr>
            <w:r w:rsidRPr="00EB63BB">
              <w:rPr>
                <w:rStyle w:val="Textoennegrita"/>
                <w:rFonts w:ascii="Lato" w:eastAsia="Times New Roman" w:hAnsi="Lato"/>
                <w:color w:val="000000"/>
                <w:sz w:val="20"/>
                <w:szCs w:val="20"/>
              </w:rPr>
              <w:t>-35,886,047,327.27</w:t>
            </w:r>
          </w:p>
        </w:tc>
      </w:tr>
    </w:tbl>
    <w:p w:rsidR="00BC3555" w:rsidRPr="00EB63BB" w:rsidRDefault="00BC3555">
      <w:pPr>
        <w:divId w:val="1563128952"/>
        <w:rPr>
          <w:rStyle w:val="Textoennegrita"/>
          <w:rFonts w:ascii="Lato" w:eastAsia="Times New Roman" w:hAnsi="Lato"/>
          <w:sz w:val="20"/>
          <w:szCs w:val="20"/>
        </w:rPr>
      </w:pPr>
    </w:p>
    <w:p w:rsidR="00B027B5" w:rsidRPr="00EB63BB" w:rsidRDefault="00642EB6">
      <w:pPr>
        <w:divId w:val="1563128952"/>
        <w:rPr>
          <w:rStyle w:val="Textoennegrita"/>
          <w:rFonts w:ascii="Lato" w:eastAsia="Times New Roman" w:hAnsi="Lato"/>
          <w:sz w:val="20"/>
          <w:szCs w:val="20"/>
        </w:rPr>
      </w:pPr>
      <w:r w:rsidRPr="00EB63BB">
        <w:rPr>
          <w:rStyle w:val="Textoennegrita"/>
          <w:rFonts w:ascii="Lato" w:eastAsia="Times New Roman" w:hAnsi="Lato"/>
          <w:sz w:val="20"/>
          <w:szCs w:val="20"/>
        </w:rPr>
        <w:t xml:space="preserve">10. Información sobre la Deuda y el Reporte Analítico de la Deuda </w:t>
      </w:r>
    </w:p>
    <w:p w:rsidR="00190AE9" w:rsidRPr="00EB63BB" w:rsidRDefault="00190AE9" w:rsidP="00190AE9">
      <w:pPr>
        <w:divId w:val="1563128952"/>
        <w:rPr>
          <w:rFonts w:ascii="Lato" w:hAnsi="Lato"/>
          <w:b/>
          <w:bCs/>
          <w:sz w:val="20"/>
          <w:szCs w:val="20"/>
        </w:rPr>
      </w:pPr>
      <w:r w:rsidRPr="00EB63BB">
        <w:rPr>
          <w:rFonts w:ascii="Lato" w:hAnsi="Lato"/>
          <w:b/>
          <w:bCs/>
          <w:sz w:val="20"/>
          <w:szCs w:val="20"/>
        </w:rPr>
        <w:t>Deuda respecto al PIB</w:t>
      </w:r>
    </w:p>
    <w:p w:rsidR="00190AE9" w:rsidRPr="00EB63BB" w:rsidRDefault="00190AE9" w:rsidP="00190AE9">
      <w:pPr>
        <w:jc w:val="both"/>
        <w:divId w:val="1563128952"/>
        <w:rPr>
          <w:rFonts w:ascii="Lato" w:hAnsi="Lato"/>
          <w:sz w:val="20"/>
          <w:szCs w:val="20"/>
        </w:rPr>
      </w:pPr>
      <w:r w:rsidRPr="00EB63BB">
        <w:rPr>
          <w:rFonts w:ascii="Lato" w:hAnsi="Lato"/>
          <w:sz w:val="20"/>
          <w:szCs w:val="20"/>
        </w:rPr>
        <w:t>El saldo de la Deuda Pública de largo plazo a cargo del Estado con respecto al Producto Interno Bruto del Estado del período comprendido de 2015 a junio 2026, se comportó de la siguiente manera.</w:t>
      </w:r>
    </w:p>
    <w:p w:rsidR="00190AE9" w:rsidRPr="00EB63BB" w:rsidRDefault="00190AE9" w:rsidP="00190AE9">
      <w:pPr>
        <w:jc w:val="both"/>
        <w:divId w:val="1563128952"/>
        <w:rPr>
          <w:rFonts w:ascii="Lato" w:hAnsi="Lato"/>
          <w:sz w:val="20"/>
          <w:szCs w:val="20"/>
        </w:rPr>
      </w:pPr>
    </w:p>
    <w:tbl>
      <w:tblPr>
        <w:tblW w:w="9687" w:type="dxa"/>
        <w:tblCellMar>
          <w:left w:w="0" w:type="dxa"/>
          <w:right w:w="0" w:type="dxa"/>
        </w:tblCellMar>
        <w:tblLook w:val="04A0" w:firstRow="1" w:lastRow="0" w:firstColumn="1" w:lastColumn="0" w:noHBand="0" w:noVBand="1"/>
      </w:tblPr>
      <w:tblGrid>
        <w:gridCol w:w="1224"/>
        <w:gridCol w:w="788"/>
        <w:gridCol w:w="788"/>
        <w:gridCol w:w="788"/>
        <w:gridCol w:w="788"/>
        <w:gridCol w:w="645"/>
        <w:gridCol w:w="645"/>
        <w:gridCol w:w="645"/>
        <w:gridCol w:w="645"/>
        <w:gridCol w:w="645"/>
        <w:gridCol w:w="645"/>
        <w:gridCol w:w="645"/>
        <w:gridCol w:w="6"/>
        <w:gridCol w:w="772"/>
        <w:gridCol w:w="6"/>
        <w:gridCol w:w="6"/>
        <w:gridCol w:w="6"/>
      </w:tblGrid>
      <w:tr w:rsidR="00190AE9" w:rsidRPr="00EB63BB" w:rsidTr="00190AE9">
        <w:trPr>
          <w:divId w:val="1563128952"/>
          <w:trHeight w:val="240"/>
        </w:trPr>
        <w:tc>
          <w:tcPr>
            <w:tcW w:w="0" w:type="auto"/>
            <w:tcBorders>
              <w:top w:val="single" w:sz="8" w:space="0" w:color="4F81BD"/>
              <w:left w:val="nil"/>
              <w:bottom w:val="single" w:sz="8" w:space="0" w:color="4F81BD"/>
              <w:right w:val="nil"/>
            </w:tcBorders>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b/>
                <w:bCs/>
                <w:sz w:val="20"/>
                <w:szCs w:val="20"/>
              </w:rPr>
            </w:pPr>
            <w:r w:rsidRPr="00EB63BB">
              <w:rPr>
                <w:rFonts w:ascii="Lato" w:hAnsi="Lato"/>
                <w:b/>
                <w:bCs/>
                <w:sz w:val="20"/>
                <w:szCs w:val="20"/>
              </w:rPr>
              <w:t>Concepto</w:t>
            </w:r>
          </w:p>
        </w:tc>
        <w:tc>
          <w:tcPr>
            <w:tcW w:w="0" w:type="auto"/>
            <w:tcBorders>
              <w:top w:val="single" w:sz="8" w:space="0" w:color="4F81BD"/>
              <w:left w:val="nil"/>
              <w:bottom w:val="single" w:sz="8" w:space="0" w:color="4F81BD"/>
              <w:right w:val="nil"/>
            </w:tcBorders>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b/>
                <w:bCs/>
                <w:sz w:val="20"/>
                <w:szCs w:val="20"/>
              </w:rPr>
            </w:pPr>
            <w:r w:rsidRPr="00EB63BB">
              <w:rPr>
                <w:rFonts w:ascii="Lato" w:hAnsi="Lato"/>
                <w:b/>
                <w:bCs/>
                <w:sz w:val="20"/>
                <w:szCs w:val="20"/>
              </w:rPr>
              <w:t>2015</w:t>
            </w:r>
          </w:p>
        </w:tc>
        <w:tc>
          <w:tcPr>
            <w:tcW w:w="0" w:type="auto"/>
            <w:tcBorders>
              <w:top w:val="single" w:sz="8" w:space="0" w:color="4F81BD"/>
              <w:left w:val="nil"/>
              <w:bottom w:val="single" w:sz="8" w:space="0" w:color="4F81BD"/>
              <w:right w:val="nil"/>
            </w:tcBorders>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b/>
                <w:bCs/>
                <w:sz w:val="20"/>
                <w:szCs w:val="20"/>
              </w:rPr>
            </w:pPr>
            <w:r w:rsidRPr="00EB63BB">
              <w:rPr>
                <w:rFonts w:ascii="Lato" w:hAnsi="Lato"/>
                <w:b/>
                <w:bCs/>
                <w:sz w:val="20"/>
                <w:szCs w:val="20"/>
              </w:rPr>
              <w:t>2016</w:t>
            </w:r>
          </w:p>
        </w:tc>
        <w:tc>
          <w:tcPr>
            <w:tcW w:w="0" w:type="auto"/>
            <w:tcBorders>
              <w:top w:val="single" w:sz="8" w:space="0" w:color="4F81BD"/>
              <w:left w:val="nil"/>
              <w:bottom w:val="single" w:sz="8" w:space="0" w:color="4F81BD"/>
              <w:right w:val="nil"/>
            </w:tcBorders>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b/>
                <w:bCs/>
                <w:sz w:val="20"/>
                <w:szCs w:val="20"/>
              </w:rPr>
            </w:pPr>
            <w:r w:rsidRPr="00EB63BB">
              <w:rPr>
                <w:rFonts w:ascii="Lato" w:hAnsi="Lato"/>
                <w:b/>
                <w:bCs/>
                <w:sz w:val="20"/>
                <w:szCs w:val="20"/>
              </w:rPr>
              <w:t>2017</w:t>
            </w:r>
          </w:p>
        </w:tc>
        <w:tc>
          <w:tcPr>
            <w:tcW w:w="0" w:type="auto"/>
            <w:tcBorders>
              <w:top w:val="single" w:sz="8" w:space="0" w:color="4F81BD"/>
              <w:left w:val="nil"/>
              <w:bottom w:val="single" w:sz="8" w:space="0" w:color="4F81BD"/>
              <w:right w:val="nil"/>
            </w:tcBorders>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b/>
                <w:bCs/>
                <w:sz w:val="20"/>
                <w:szCs w:val="20"/>
              </w:rPr>
            </w:pPr>
            <w:r w:rsidRPr="00EB63BB">
              <w:rPr>
                <w:rFonts w:ascii="Lato" w:hAnsi="Lato"/>
                <w:b/>
                <w:bCs/>
                <w:sz w:val="20"/>
                <w:szCs w:val="20"/>
              </w:rPr>
              <w:t>2018</w:t>
            </w:r>
          </w:p>
        </w:tc>
        <w:tc>
          <w:tcPr>
            <w:tcW w:w="0" w:type="auto"/>
            <w:tcBorders>
              <w:top w:val="single" w:sz="8" w:space="0" w:color="4F81BD"/>
              <w:left w:val="nil"/>
              <w:bottom w:val="single" w:sz="8" w:space="0" w:color="4F81BD"/>
              <w:right w:val="nil"/>
            </w:tcBorders>
            <w:vAlign w:val="center"/>
            <w:hideMark/>
          </w:tcPr>
          <w:p w:rsidR="00190AE9" w:rsidRPr="00EB63BB" w:rsidRDefault="00190AE9" w:rsidP="00D914E0">
            <w:pPr>
              <w:spacing w:line="276" w:lineRule="auto"/>
              <w:rPr>
                <w:rFonts w:ascii="Lato" w:hAnsi="Lato"/>
                <w:b/>
                <w:bCs/>
                <w:sz w:val="20"/>
                <w:szCs w:val="20"/>
              </w:rPr>
            </w:pPr>
            <w:r w:rsidRPr="00EB63BB">
              <w:rPr>
                <w:rFonts w:ascii="Lato" w:hAnsi="Lato"/>
                <w:b/>
                <w:bCs/>
                <w:sz w:val="20"/>
                <w:szCs w:val="20"/>
              </w:rPr>
              <w:t>2019</w:t>
            </w:r>
          </w:p>
        </w:tc>
        <w:tc>
          <w:tcPr>
            <w:tcW w:w="0" w:type="auto"/>
            <w:tcBorders>
              <w:top w:val="single" w:sz="8" w:space="0" w:color="4F81BD"/>
              <w:left w:val="nil"/>
              <w:bottom w:val="single" w:sz="8" w:space="0" w:color="4F81BD"/>
              <w:right w:val="nil"/>
            </w:tcBorders>
            <w:vAlign w:val="center"/>
          </w:tcPr>
          <w:p w:rsidR="00190AE9" w:rsidRPr="00EB63BB" w:rsidRDefault="00190AE9" w:rsidP="00D914E0">
            <w:pPr>
              <w:spacing w:line="276" w:lineRule="auto"/>
              <w:jc w:val="center"/>
              <w:rPr>
                <w:rFonts w:ascii="Lato" w:hAnsi="Lato"/>
                <w:b/>
                <w:bCs/>
                <w:sz w:val="20"/>
                <w:szCs w:val="20"/>
              </w:rPr>
            </w:pPr>
            <w:r w:rsidRPr="00EB63BB">
              <w:rPr>
                <w:rFonts w:ascii="Lato" w:hAnsi="Lato"/>
                <w:b/>
                <w:bCs/>
                <w:sz w:val="20"/>
                <w:szCs w:val="20"/>
              </w:rPr>
              <w:t>2020</w:t>
            </w:r>
          </w:p>
        </w:tc>
        <w:tc>
          <w:tcPr>
            <w:tcW w:w="0" w:type="auto"/>
            <w:tcBorders>
              <w:top w:val="single" w:sz="8" w:space="0" w:color="4F81BD"/>
              <w:left w:val="nil"/>
              <w:bottom w:val="single" w:sz="8" w:space="0" w:color="4F81BD"/>
              <w:right w:val="nil"/>
            </w:tcBorders>
            <w:vAlign w:val="center"/>
          </w:tcPr>
          <w:p w:rsidR="00190AE9" w:rsidRPr="00EB63BB" w:rsidRDefault="00190AE9" w:rsidP="00D914E0">
            <w:pPr>
              <w:spacing w:line="276" w:lineRule="auto"/>
              <w:jc w:val="center"/>
              <w:rPr>
                <w:rFonts w:ascii="Lato" w:hAnsi="Lato"/>
                <w:b/>
                <w:bCs/>
                <w:sz w:val="20"/>
                <w:szCs w:val="20"/>
              </w:rPr>
            </w:pPr>
            <w:r w:rsidRPr="00EB63BB">
              <w:rPr>
                <w:rFonts w:ascii="Lato" w:hAnsi="Lato"/>
                <w:b/>
                <w:bCs/>
                <w:sz w:val="20"/>
                <w:szCs w:val="20"/>
              </w:rPr>
              <w:t>2021</w:t>
            </w:r>
          </w:p>
        </w:tc>
        <w:tc>
          <w:tcPr>
            <w:tcW w:w="0" w:type="auto"/>
            <w:tcBorders>
              <w:top w:val="single" w:sz="8" w:space="0" w:color="4F81BD"/>
              <w:left w:val="nil"/>
              <w:bottom w:val="single" w:sz="8" w:space="0" w:color="4F81BD"/>
              <w:right w:val="nil"/>
            </w:tcBorders>
            <w:vAlign w:val="center"/>
          </w:tcPr>
          <w:p w:rsidR="00190AE9" w:rsidRPr="00EB63BB" w:rsidRDefault="00190AE9" w:rsidP="00D914E0">
            <w:pPr>
              <w:spacing w:line="276" w:lineRule="auto"/>
              <w:jc w:val="center"/>
              <w:rPr>
                <w:rFonts w:ascii="Lato" w:hAnsi="Lato"/>
                <w:b/>
                <w:bCs/>
                <w:sz w:val="20"/>
                <w:szCs w:val="20"/>
              </w:rPr>
            </w:pPr>
            <w:r w:rsidRPr="00EB63BB">
              <w:rPr>
                <w:rFonts w:ascii="Lato" w:hAnsi="Lato"/>
                <w:b/>
                <w:bCs/>
                <w:sz w:val="20"/>
                <w:szCs w:val="20"/>
              </w:rPr>
              <w:t>2022</w:t>
            </w:r>
          </w:p>
        </w:tc>
        <w:tc>
          <w:tcPr>
            <w:tcW w:w="0" w:type="auto"/>
            <w:tcBorders>
              <w:top w:val="single" w:sz="8" w:space="0" w:color="4F81BD"/>
              <w:left w:val="nil"/>
              <w:bottom w:val="single" w:sz="8" w:space="0" w:color="4F81BD"/>
              <w:right w:val="nil"/>
            </w:tcBorders>
            <w:vAlign w:val="center"/>
          </w:tcPr>
          <w:p w:rsidR="00190AE9" w:rsidRPr="00EB63BB" w:rsidRDefault="00190AE9" w:rsidP="00D914E0">
            <w:pPr>
              <w:spacing w:line="276" w:lineRule="auto"/>
              <w:jc w:val="center"/>
              <w:rPr>
                <w:rFonts w:ascii="Lato" w:hAnsi="Lato"/>
                <w:b/>
                <w:bCs/>
                <w:sz w:val="20"/>
                <w:szCs w:val="20"/>
              </w:rPr>
            </w:pPr>
            <w:r w:rsidRPr="00EB63BB">
              <w:rPr>
                <w:rFonts w:ascii="Lato" w:hAnsi="Lato"/>
                <w:b/>
                <w:bCs/>
                <w:sz w:val="20"/>
                <w:szCs w:val="20"/>
              </w:rPr>
              <w:t>2023</w:t>
            </w:r>
          </w:p>
        </w:tc>
        <w:tc>
          <w:tcPr>
            <w:tcW w:w="0" w:type="auto"/>
            <w:tcBorders>
              <w:top w:val="single" w:sz="8" w:space="0" w:color="4F81BD"/>
              <w:left w:val="nil"/>
              <w:bottom w:val="single" w:sz="8" w:space="0" w:color="4F81BD"/>
              <w:right w:val="nil"/>
            </w:tcBorders>
            <w:vAlign w:val="center"/>
          </w:tcPr>
          <w:p w:rsidR="00190AE9" w:rsidRPr="00EB63BB" w:rsidRDefault="00190AE9" w:rsidP="00D914E0">
            <w:pPr>
              <w:spacing w:line="276" w:lineRule="auto"/>
              <w:jc w:val="center"/>
              <w:rPr>
                <w:rFonts w:ascii="Lato" w:hAnsi="Lato"/>
                <w:b/>
                <w:bCs/>
                <w:sz w:val="20"/>
                <w:szCs w:val="20"/>
              </w:rPr>
            </w:pPr>
            <w:r w:rsidRPr="00EB63BB">
              <w:rPr>
                <w:rFonts w:ascii="Lato" w:hAnsi="Lato"/>
                <w:b/>
                <w:bCs/>
                <w:sz w:val="20"/>
                <w:szCs w:val="20"/>
              </w:rPr>
              <w:t>2024</w:t>
            </w:r>
          </w:p>
        </w:tc>
        <w:tc>
          <w:tcPr>
            <w:tcW w:w="0" w:type="auto"/>
            <w:tcBorders>
              <w:top w:val="single" w:sz="8" w:space="0" w:color="4F81BD"/>
              <w:left w:val="nil"/>
              <w:bottom w:val="single" w:sz="8" w:space="0" w:color="4F81BD"/>
              <w:right w:val="nil"/>
            </w:tcBorders>
            <w:vAlign w:val="center"/>
          </w:tcPr>
          <w:p w:rsidR="00190AE9" w:rsidRPr="00EB63BB" w:rsidRDefault="00190AE9" w:rsidP="00D914E0">
            <w:pPr>
              <w:spacing w:line="276" w:lineRule="auto"/>
              <w:jc w:val="center"/>
              <w:rPr>
                <w:rFonts w:ascii="Lato" w:hAnsi="Lato"/>
                <w:b/>
                <w:bCs/>
                <w:sz w:val="20"/>
                <w:szCs w:val="20"/>
              </w:rPr>
            </w:pPr>
            <w:r w:rsidRPr="00EB63BB">
              <w:rPr>
                <w:rFonts w:ascii="Lato" w:hAnsi="Lato"/>
                <w:b/>
                <w:bCs/>
                <w:sz w:val="20"/>
                <w:szCs w:val="20"/>
              </w:rPr>
              <w:t>2025</w:t>
            </w:r>
          </w:p>
        </w:tc>
        <w:tc>
          <w:tcPr>
            <w:tcW w:w="0" w:type="auto"/>
            <w:tcBorders>
              <w:top w:val="single" w:sz="8" w:space="0" w:color="4F81BD"/>
              <w:left w:val="nil"/>
              <w:bottom w:val="single" w:sz="8" w:space="0" w:color="4F81BD"/>
              <w:right w:val="nil"/>
            </w:tcBorders>
          </w:tcPr>
          <w:p w:rsidR="00190AE9" w:rsidRPr="00EB63BB" w:rsidRDefault="00190AE9" w:rsidP="00D914E0">
            <w:pPr>
              <w:spacing w:line="276" w:lineRule="auto"/>
              <w:jc w:val="center"/>
              <w:rPr>
                <w:rFonts w:ascii="Lato" w:hAnsi="Lato"/>
                <w:b/>
                <w:bCs/>
                <w:sz w:val="20"/>
                <w:szCs w:val="20"/>
              </w:rPr>
            </w:pPr>
          </w:p>
        </w:tc>
        <w:tc>
          <w:tcPr>
            <w:tcW w:w="0" w:type="auto"/>
            <w:tcBorders>
              <w:top w:val="single" w:sz="8" w:space="0" w:color="4F81BD"/>
              <w:left w:val="nil"/>
              <w:bottom w:val="single" w:sz="8" w:space="0" w:color="4F81BD"/>
              <w:right w:val="nil"/>
            </w:tcBorders>
            <w:vAlign w:val="center"/>
          </w:tcPr>
          <w:p w:rsidR="00190AE9" w:rsidRPr="00EB63BB" w:rsidRDefault="00190AE9" w:rsidP="00D914E0">
            <w:pPr>
              <w:spacing w:line="276" w:lineRule="auto"/>
              <w:jc w:val="center"/>
              <w:rPr>
                <w:rFonts w:ascii="Lato" w:hAnsi="Lato"/>
                <w:b/>
                <w:bCs/>
                <w:sz w:val="20"/>
                <w:szCs w:val="20"/>
              </w:rPr>
            </w:pPr>
            <w:r w:rsidRPr="00EB63BB">
              <w:rPr>
                <w:rFonts w:ascii="Lato" w:hAnsi="Lato"/>
                <w:b/>
                <w:bCs/>
                <w:sz w:val="20"/>
                <w:szCs w:val="20"/>
              </w:rPr>
              <w:t>IIT 2026</w:t>
            </w:r>
          </w:p>
        </w:tc>
        <w:tc>
          <w:tcPr>
            <w:tcW w:w="0" w:type="auto"/>
            <w:tcBorders>
              <w:top w:val="single" w:sz="8" w:space="0" w:color="4F81BD"/>
              <w:left w:val="nil"/>
              <w:bottom w:val="single" w:sz="8" w:space="0" w:color="4F81BD"/>
              <w:right w:val="nil"/>
            </w:tcBorders>
          </w:tcPr>
          <w:p w:rsidR="00190AE9" w:rsidRPr="00EB63BB" w:rsidRDefault="00190AE9" w:rsidP="00D914E0">
            <w:pPr>
              <w:spacing w:line="276" w:lineRule="auto"/>
              <w:jc w:val="center"/>
              <w:rPr>
                <w:rFonts w:ascii="Lato" w:hAnsi="Lato"/>
                <w:b/>
                <w:bCs/>
                <w:sz w:val="20"/>
                <w:szCs w:val="20"/>
              </w:rPr>
            </w:pPr>
          </w:p>
        </w:tc>
        <w:tc>
          <w:tcPr>
            <w:tcW w:w="0" w:type="auto"/>
            <w:tcBorders>
              <w:top w:val="single" w:sz="8" w:space="0" w:color="4F81BD"/>
              <w:left w:val="nil"/>
              <w:bottom w:val="single" w:sz="8" w:space="0" w:color="4F81BD"/>
              <w:right w:val="nil"/>
            </w:tcBorders>
          </w:tcPr>
          <w:p w:rsidR="00190AE9" w:rsidRPr="00EB63BB" w:rsidRDefault="00190AE9" w:rsidP="00D914E0">
            <w:pPr>
              <w:spacing w:line="276" w:lineRule="auto"/>
              <w:jc w:val="center"/>
              <w:rPr>
                <w:rFonts w:ascii="Lato" w:hAnsi="Lato"/>
                <w:b/>
                <w:bCs/>
                <w:sz w:val="20"/>
                <w:szCs w:val="20"/>
              </w:rPr>
            </w:pPr>
          </w:p>
        </w:tc>
        <w:tc>
          <w:tcPr>
            <w:tcW w:w="0" w:type="auto"/>
            <w:tcBorders>
              <w:top w:val="single" w:sz="8" w:space="0" w:color="4F81BD"/>
              <w:left w:val="nil"/>
              <w:bottom w:val="single" w:sz="8" w:space="0" w:color="4F81BD"/>
              <w:right w:val="nil"/>
            </w:tcBorders>
          </w:tcPr>
          <w:p w:rsidR="00190AE9" w:rsidRPr="00EB63BB" w:rsidRDefault="00190AE9" w:rsidP="00D914E0">
            <w:pPr>
              <w:spacing w:line="276" w:lineRule="auto"/>
              <w:jc w:val="center"/>
              <w:rPr>
                <w:rFonts w:ascii="Lato" w:hAnsi="Lato"/>
                <w:b/>
                <w:bCs/>
                <w:sz w:val="20"/>
                <w:szCs w:val="20"/>
              </w:rPr>
            </w:pPr>
          </w:p>
        </w:tc>
      </w:tr>
      <w:tr w:rsidR="00190AE9" w:rsidRPr="00EB63BB" w:rsidTr="00190AE9">
        <w:trPr>
          <w:divId w:val="1563128952"/>
          <w:trHeight w:val="463"/>
        </w:trPr>
        <w:tc>
          <w:tcPr>
            <w:tcW w:w="0" w:type="auto"/>
            <w:tcBorders>
              <w:top w:val="nil"/>
              <w:left w:val="nil"/>
              <w:bottom w:val="single" w:sz="8" w:space="0" w:color="4F81BD"/>
              <w:right w:val="nil"/>
            </w:tcBorders>
            <w:shd w:val="clear" w:color="auto" w:fill="E2EFD9" w:themeFill="accent6" w:themeFillTint="33"/>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sz w:val="20"/>
                <w:szCs w:val="20"/>
              </w:rPr>
            </w:pPr>
            <w:r w:rsidRPr="00EB63BB">
              <w:rPr>
                <w:rFonts w:ascii="Lato" w:hAnsi="Lato"/>
                <w:sz w:val="20"/>
                <w:szCs w:val="20"/>
              </w:rPr>
              <w:t>Deuda/PIB</w:t>
            </w:r>
            <w:r w:rsidRPr="00EB63BB">
              <w:rPr>
                <w:rFonts w:ascii="Lato" w:hAnsi="Lato"/>
                <w:sz w:val="20"/>
                <w:szCs w:val="20"/>
                <w:vertAlign w:val="superscript"/>
              </w:rPr>
              <w:t>1</w:t>
            </w:r>
          </w:p>
        </w:tc>
        <w:tc>
          <w:tcPr>
            <w:tcW w:w="0" w:type="auto"/>
            <w:tcBorders>
              <w:top w:val="nil"/>
              <w:left w:val="nil"/>
              <w:bottom w:val="single" w:sz="8" w:space="0" w:color="4F81BD"/>
              <w:right w:val="nil"/>
            </w:tcBorders>
            <w:shd w:val="clear" w:color="auto" w:fill="E2EFD9" w:themeFill="accent6" w:themeFillTint="33"/>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sz w:val="20"/>
                <w:szCs w:val="20"/>
              </w:rPr>
            </w:pPr>
            <w:r w:rsidRPr="00EB63BB">
              <w:rPr>
                <w:rFonts w:ascii="Lato" w:hAnsi="Lato"/>
                <w:sz w:val="20"/>
                <w:szCs w:val="20"/>
              </w:rPr>
              <w:t>0.0098</w:t>
            </w:r>
          </w:p>
        </w:tc>
        <w:tc>
          <w:tcPr>
            <w:tcW w:w="0" w:type="auto"/>
            <w:tcBorders>
              <w:top w:val="nil"/>
              <w:left w:val="nil"/>
              <w:bottom w:val="single" w:sz="8" w:space="0" w:color="4F81BD"/>
              <w:right w:val="nil"/>
            </w:tcBorders>
            <w:shd w:val="clear" w:color="auto" w:fill="E2EFD9" w:themeFill="accent6" w:themeFillTint="33"/>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sz w:val="20"/>
                <w:szCs w:val="20"/>
              </w:rPr>
            </w:pPr>
            <w:r w:rsidRPr="00EB63BB">
              <w:rPr>
                <w:rFonts w:ascii="Lato" w:hAnsi="Lato"/>
                <w:sz w:val="20"/>
                <w:szCs w:val="20"/>
              </w:rPr>
              <w:t>0.0104</w:t>
            </w:r>
          </w:p>
        </w:tc>
        <w:tc>
          <w:tcPr>
            <w:tcW w:w="0" w:type="auto"/>
            <w:tcBorders>
              <w:top w:val="nil"/>
              <w:left w:val="nil"/>
              <w:bottom w:val="single" w:sz="8" w:space="0" w:color="4F81BD"/>
              <w:right w:val="nil"/>
            </w:tcBorders>
            <w:shd w:val="clear" w:color="auto" w:fill="E2EFD9" w:themeFill="accent6" w:themeFillTint="33"/>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sz w:val="20"/>
                <w:szCs w:val="20"/>
              </w:rPr>
            </w:pPr>
            <w:r w:rsidRPr="00EB63BB">
              <w:rPr>
                <w:rFonts w:ascii="Lato" w:hAnsi="Lato"/>
                <w:sz w:val="20"/>
                <w:szCs w:val="20"/>
              </w:rPr>
              <w:t>0.0134</w:t>
            </w:r>
          </w:p>
        </w:tc>
        <w:tc>
          <w:tcPr>
            <w:tcW w:w="0" w:type="auto"/>
            <w:tcBorders>
              <w:top w:val="nil"/>
              <w:left w:val="nil"/>
              <w:bottom w:val="single" w:sz="8" w:space="0" w:color="4F81BD"/>
              <w:right w:val="nil"/>
            </w:tcBorders>
            <w:shd w:val="clear" w:color="auto" w:fill="E2EFD9" w:themeFill="accent6" w:themeFillTint="33"/>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sz w:val="20"/>
                <w:szCs w:val="20"/>
              </w:rPr>
            </w:pPr>
            <w:r w:rsidRPr="00EB63BB">
              <w:rPr>
                <w:rFonts w:ascii="Lato" w:hAnsi="Lato"/>
                <w:sz w:val="20"/>
                <w:szCs w:val="20"/>
              </w:rPr>
              <w:t>0.0131</w:t>
            </w:r>
          </w:p>
        </w:tc>
        <w:tc>
          <w:tcPr>
            <w:tcW w:w="0" w:type="auto"/>
            <w:tcBorders>
              <w:top w:val="nil"/>
              <w:left w:val="nil"/>
              <w:bottom w:val="single" w:sz="8" w:space="0" w:color="4F81BD"/>
              <w:right w:val="nil"/>
            </w:tcBorders>
            <w:shd w:val="clear" w:color="auto" w:fill="E2EFD9" w:themeFill="accent6" w:themeFillTint="33"/>
            <w:vAlign w:val="center"/>
            <w:hideMark/>
          </w:tcPr>
          <w:p w:rsidR="00190AE9" w:rsidRPr="00EB63BB" w:rsidRDefault="00190AE9" w:rsidP="00D914E0">
            <w:pPr>
              <w:spacing w:line="276" w:lineRule="auto"/>
              <w:rPr>
                <w:rFonts w:ascii="Lato" w:hAnsi="Lato"/>
                <w:sz w:val="20"/>
                <w:szCs w:val="20"/>
              </w:rPr>
            </w:pPr>
            <w:r w:rsidRPr="00EB63BB">
              <w:rPr>
                <w:rFonts w:ascii="Lato" w:hAnsi="Lato"/>
                <w:sz w:val="20"/>
                <w:szCs w:val="20"/>
              </w:rPr>
              <w:t>0.0135</w:t>
            </w:r>
          </w:p>
        </w:tc>
        <w:tc>
          <w:tcPr>
            <w:tcW w:w="0" w:type="auto"/>
            <w:tcBorders>
              <w:top w:val="nil"/>
              <w:left w:val="nil"/>
              <w:bottom w:val="single" w:sz="8" w:space="0" w:color="4F81BD"/>
              <w:right w:val="nil"/>
            </w:tcBorders>
            <w:shd w:val="clear" w:color="auto" w:fill="E2EFD9" w:themeFill="accent6" w:themeFillTint="33"/>
            <w:vAlign w:val="center"/>
          </w:tcPr>
          <w:p w:rsidR="00190AE9" w:rsidRPr="00EB63BB" w:rsidRDefault="00190AE9" w:rsidP="00D914E0">
            <w:pPr>
              <w:spacing w:line="276" w:lineRule="auto"/>
              <w:jc w:val="center"/>
              <w:rPr>
                <w:rFonts w:ascii="Lato" w:hAnsi="Lato"/>
                <w:sz w:val="20"/>
                <w:szCs w:val="20"/>
              </w:rPr>
            </w:pPr>
            <w:r w:rsidRPr="00EB63BB">
              <w:rPr>
                <w:rFonts w:ascii="Lato" w:hAnsi="Lato"/>
                <w:sz w:val="20"/>
                <w:szCs w:val="20"/>
              </w:rPr>
              <w:t>0.0181</w:t>
            </w:r>
          </w:p>
        </w:tc>
        <w:tc>
          <w:tcPr>
            <w:tcW w:w="0" w:type="auto"/>
            <w:tcBorders>
              <w:top w:val="nil"/>
              <w:left w:val="nil"/>
              <w:bottom w:val="single" w:sz="8" w:space="0" w:color="4F81BD"/>
              <w:right w:val="nil"/>
            </w:tcBorders>
            <w:shd w:val="clear" w:color="auto" w:fill="E2EFD9" w:themeFill="accent6" w:themeFillTint="33"/>
            <w:vAlign w:val="center"/>
          </w:tcPr>
          <w:p w:rsidR="00190AE9" w:rsidRPr="00EB63BB" w:rsidRDefault="00190AE9" w:rsidP="00D914E0">
            <w:pPr>
              <w:spacing w:line="276" w:lineRule="auto"/>
              <w:jc w:val="center"/>
              <w:rPr>
                <w:rFonts w:ascii="Lato" w:hAnsi="Lato"/>
                <w:sz w:val="20"/>
                <w:szCs w:val="20"/>
              </w:rPr>
            </w:pPr>
            <w:r w:rsidRPr="00EB63BB">
              <w:rPr>
                <w:rFonts w:ascii="Lato" w:hAnsi="Lato"/>
                <w:sz w:val="20"/>
                <w:szCs w:val="20"/>
              </w:rPr>
              <w:t>0.0188</w:t>
            </w:r>
          </w:p>
        </w:tc>
        <w:tc>
          <w:tcPr>
            <w:tcW w:w="0" w:type="auto"/>
            <w:tcBorders>
              <w:top w:val="nil"/>
              <w:left w:val="nil"/>
              <w:bottom w:val="single" w:sz="8" w:space="0" w:color="4F81BD"/>
              <w:right w:val="nil"/>
            </w:tcBorders>
            <w:shd w:val="clear" w:color="auto" w:fill="E2EFD9" w:themeFill="accent6" w:themeFillTint="33"/>
            <w:vAlign w:val="center"/>
          </w:tcPr>
          <w:p w:rsidR="00190AE9" w:rsidRPr="00EB63BB" w:rsidRDefault="00190AE9" w:rsidP="00D914E0">
            <w:pPr>
              <w:spacing w:line="276" w:lineRule="auto"/>
              <w:jc w:val="center"/>
              <w:rPr>
                <w:rFonts w:ascii="Lato" w:hAnsi="Lato"/>
                <w:sz w:val="20"/>
                <w:szCs w:val="20"/>
              </w:rPr>
            </w:pPr>
            <w:r w:rsidRPr="00EB63BB">
              <w:rPr>
                <w:rFonts w:ascii="Lato" w:hAnsi="Lato"/>
                <w:sz w:val="20"/>
                <w:szCs w:val="20"/>
              </w:rPr>
              <w:t>0.0210</w:t>
            </w:r>
          </w:p>
        </w:tc>
        <w:tc>
          <w:tcPr>
            <w:tcW w:w="0" w:type="auto"/>
            <w:tcBorders>
              <w:top w:val="nil"/>
              <w:left w:val="nil"/>
              <w:bottom w:val="single" w:sz="8" w:space="0" w:color="4F81BD"/>
              <w:right w:val="nil"/>
            </w:tcBorders>
            <w:shd w:val="clear" w:color="auto" w:fill="E2EFD9" w:themeFill="accent6" w:themeFillTint="33"/>
            <w:vAlign w:val="center"/>
          </w:tcPr>
          <w:p w:rsidR="00190AE9" w:rsidRPr="00EB63BB" w:rsidRDefault="00190AE9" w:rsidP="00D914E0">
            <w:pPr>
              <w:spacing w:line="276" w:lineRule="auto"/>
              <w:jc w:val="center"/>
              <w:rPr>
                <w:rFonts w:ascii="Lato" w:hAnsi="Lato"/>
                <w:sz w:val="20"/>
                <w:szCs w:val="20"/>
              </w:rPr>
            </w:pPr>
            <w:r w:rsidRPr="00EB63BB">
              <w:rPr>
                <w:rFonts w:ascii="Lato" w:hAnsi="Lato"/>
                <w:sz w:val="20"/>
                <w:szCs w:val="20"/>
              </w:rPr>
              <w:t>0.0208</w:t>
            </w:r>
          </w:p>
        </w:tc>
        <w:tc>
          <w:tcPr>
            <w:tcW w:w="0" w:type="auto"/>
            <w:tcBorders>
              <w:top w:val="nil"/>
              <w:left w:val="nil"/>
              <w:bottom w:val="single" w:sz="8" w:space="0" w:color="4F81BD"/>
              <w:right w:val="nil"/>
            </w:tcBorders>
            <w:shd w:val="clear" w:color="auto" w:fill="E2EFD9" w:themeFill="accent6" w:themeFillTint="33"/>
            <w:vAlign w:val="center"/>
          </w:tcPr>
          <w:p w:rsidR="00190AE9" w:rsidRPr="00EB63BB" w:rsidRDefault="00190AE9" w:rsidP="00D914E0">
            <w:pPr>
              <w:spacing w:line="276" w:lineRule="auto"/>
              <w:jc w:val="center"/>
              <w:rPr>
                <w:rFonts w:ascii="Lato" w:hAnsi="Lato"/>
                <w:sz w:val="20"/>
                <w:szCs w:val="20"/>
              </w:rPr>
            </w:pPr>
            <w:r w:rsidRPr="00EB63BB">
              <w:rPr>
                <w:rFonts w:ascii="Lato" w:hAnsi="Lato"/>
                <w:sz w:val="20"/>
                <w:szCs w:val="20"/>
              </w:rPr>
              <w:t>0.0195</w:t>
            </w:r>
          </w:p>
        </w:tc>
        <w:tc>
          <w:tcPr>
            <w:tcW w:w="0" w:type="auto"/>
            <w:tcBorders>
              <w:top w:val="nil"/>
              <w:left w:val="nil"/>
              <w:bottom w:val="single" w:sz="8" w:space="0" w:color="4F81BD"/>
              <w:right w:val="nil"/>
            </w:tcBorders>
            <w:shd w:val="clear" w:color="auto" w:fill="E2EFD9" w:themeFill="accent6" w:themeFillTint="33"/>
            <w:vAlign w:val="center"/>
          </w:tcPr>
          <w:p w:rsidR="00190AE9" w:rsidRPr="00EB63BB" w:rsidRDefault="00190AE9" w:rsidP="00D914E0">
            <w:pPr>
              <w:spacing w:line="276" w:lineRule="auto"/>
              <w:jc w:val="center"/>
              <w:rPr>
                <w:rFonts w:ascii="Lato" w:hAnsi="Lato"/>
                <w:sz w:val="20"/>
                <w:szCs w:val="20"/>
              </w:rPr>
            </w:pPr>
            <w:r w:rsidRPr="00EB63BB">
              <w:rPr>
                <w:rFonts w:ascii="Lato" w:hAnsi="Lato"/>
                <w:sz w:val="20"/>
                <w:szCs w:val="20"/>
              </w:rPr>
              <w:t>0.0182</w:t>
            </w:r>
          </w:p>
        </w:tc>
        <w:tc>
          <w:tcPr>
            <w:tcW w:w="0" w:type="auto"/>
            <w:tcBorders>
              <w:top w:val="nil"/>
              <w:left w:val="nil"/>
              <w:bottom w:val="single" w:sz="8" w:space="0" w:color="4F81BD"/>
              <w:right w:val="nil"/>
            </w:tcBorders>
            <w:shd w:val="clear" w:color="auto" w:fill="E2EFD9" w:themeFill="accent6" w:themeFillTint="33"/>
          </w:tcPr>
          <w:p w:rsidR="00190AE9" w:rsidRPr="00EB63BB" w:rsidRDefault="00190AE9" w:rsidP="00D914E0">
            <w:pPr>
              <w:spacing w:line="276" w:lineRule="auto"/>
              <w:jc w:val="center"/>
              <w:rPr>
                <w:rFonts w:ascii="Lato" w:hAnsi="Lato"/>
                <w:sz w:val="20"/>
                <w:szCs w:val="20"/>
              </w:rPr>
            </w:pPr>
          </w:p>
        </w:tc>
        <w:tc>
          <w:tcPr>
            <w:tcW w:w="0" w:type="auto"/>
            <w:tcBorders>
              <w:top w:val="nil"/>
              <w:left w:val="nil"/>
              <w:bottom w:val="single" w:sz="8" w:space="0" w:color="4F81BD"/>
              <w:right w:val="nil"/>
            </w:tcBorders>
            <w:shd w:val="clear" w:color="auto" w:fill="E2EFD9" w:themeFill="accent6" w:themeFillTint="33"/>
            <w:vAlign w:val="center"/>
          </w:tcPr>
          <w:p w:rsidR="00190AE9" w:rsidRPr="00EB63BB" w:rsidRDefault="00190AE9" w:rsidP="00D914E0">
            <w:pPr>
              <w:spacing w:line="276" w:lineRule="auto"/>
              <w:jc w:val="center"/>
              <w:rPr>
                <w:rFonts w:ascii="Lato" w:hAnsi="Lato"/>
                <w:sz w:val="20"/>
                <w:szCs w:val="20"/>
              </w:rPr>
            </w:pPr>
            <w:r w:rsidRPr="00EB63BB">
              <w:rPr>
                <w:rFonts w:ascii="Lato" w:hAnsi="Lato"/>
                <w:sz w:val="20"/>
                <w:szCs w:val="20"/>
              </w:rPr>
              <w:t>0.0180</w:t>
            </w:r>
          </w:p>
        </w:tc>
        <w:tc>
          <w:tcPr>
            <w:tcW w:w="0" w:type="auto"/>
            <w:tcBorders>
              <w:top w:val="nil"/>
              <w:left w:val="nil"/>
              <w:bottom w:val="single" w:sz="8" w:space="0" w:color="4F81BD"/>
              <w:right w:val="nil"/>
            </w:tcBorders>
            <w:shd w:val="clear" w:color="auto" w:fill="D3DFEE"/>
          </w:tcPr>
          <w:p w:rsidR="00190AE9" w:rsidRPr="00EB63BB" w:rsidRDefault="00190AE9" w:rsidP="00D914E0">
            <w:pPr>
              <w:spacing w:line="276" w:lineRule="auto"/>
              <w:jc w:val="center"/>
              <w:rPr>
                <w:rFonts w:ascii="Lato" w:hAnsi="Lato"/>
                <w:sz w:val="20"/>
                <w:szCs w:val="20"/>
              </w:rPr>
            </w:pPr>
          </w:p>
        </w:tc>
        <w:tc>
          <w:tcPr>
            <w:tcW w:w="0" w:type="auto"/>
            <w:tcBorders>
              <w:top w:val="nil"/>
              <w:left w:val="nil"/>
              <w:bottom w:val="single" w:sz="8" w:space="0" w:color="4F81BD"/>
              <w:right w:val="nil"/>
            </w:tcBorders>
            <w:shd w:val="clear" w:color="auto" w:fill="D3DFEE"/>
          </w:tcPr>
          <w:p w:rsidR="00190AE9" w:rsidRPr="00EB63BB" w:rsidRDefault="00190AE9" w:rsidP="00D914E0">
            <w:pPr>
              <w:spacing w:line="276" w:lineRule="auto"/>
              <w:jc w:val="center"/>
              <w:rPr>
                <w:rFonts w:ascii="Lato" w:hAnsi="Lato"/>
                <w:sz w:val="20"/>
                <w:szCs w:val="20"/>
              </w:rPr>
            </w:pPr>
          </w:p>
        </w:tc>
        <w:tc>
          <w:tcPr>
            <w:tcW w:w="0" w:type="auto"/>
            <w:tcBorders>
              <w:top w:val="nil"/>
              <w:left w:val="nil"/>
              <w:bottom w:val="single" w:sz="8" w:space="0" w:color="4F81BD"/>
              <w:right w:val="nil"/>
            </w:tcBorders>
            <w:shd w:val="clear" w:color="auto" w:fill="D3DFEE"/>
          </w:tcPr>
          <w:p w:rsidR="00190AE9" w:rsidRPr="00EB63BB" w:rsidRDefault="00190AE9" w:rsidP="00D914E0">
            <w:pPr>
              <w:spacing w:line="276" w:lineRule="auto"/>
              <w:jc w:val="center"/>
              <w:rPr>
                <w:rFonts w:ascii="Lato" w:hAnsi="Lato"/>
                <w:sz w:val="20"/>
                <w:szCs w:val="20"/>
              </w:rPr>
            </w:pPr>
          </w:p>
        </w:tc>
      </w:tr>
    </w:tbl>
    <w:p w:rsidR="00190AE9" w:rsidRPr="00EB63BB" w:rsidRDefault="00190AE9" w:rsidP="00190AE9">
      <w:pPr>
        <w:jc w:val="both"/>
        <w:divId w:val="1563128952"/>
        <w:rPr>
          <w:rFonts w:ascii="Lato" w:hAnsi="Lato"/>
          <w:sz w:val="20"/>
          <w:szCs w:val="20"/>
          <w:lang w:eastAsia="es-ES"/>
        </w:rPr>
      </w:pPr>
      <w:r w:rsidRPr="00EB63BB">
        <w:rPr>
          <w:rFonts w:ascii="Lato" w:hAnsi="Lato"/>
          <w:sz w:val="20"/>
          <w:szCs w:val="20"/>
        </w:rPr>
        <w:t xml:space="preserve">Fuente: </w:t>
      </w:r>
      <w:r w:rsidRPr="00EB63BB">
        <w:rPr>
          <w:rFonts w:ascii="Lato" w:hAnsi="Lato"/>
          <w:sz w:val="20"/>
          <w:szCs w:val="20"/>
          <w:vertAlign w:val="superscript"/>
        </w:rPr>
        <w:t>1</w:t>
      </w:r>
      <w:r w:rsidRPr="00EB63BB">
        <w:rPr>
          <w:rFonts w:ascii="Lato" w:hAnsi="Lato"/>
          <w:sz w:val="20"/>
          <w:szCs w:val="20"/>
        </w:rPr>
        <w:t>INEGI</w:t>
      </w:r>
    </w:p>
    <w:p w:rsidR="00190AE9" w:rsidRPr="00EB63BB" w:rsidRDefault="00190AE9" w:rsidP="00190AE9">
      <w:pPr>
        <w:jc w:val="both"/>
        <w:divId w:val="1563128952"/>
        <w:rPr>
          <w:rFonts w:ascii="Lato" w:hAnsi="Lato"/>
          <w:b/>
          <w:bCs/>
          <w:sz w:val="20"/>
          <w:szCs w:val="20"/>
        </w:rPr>
      </w:pPr>
    </w:p>
    <w:p w:rsidR="00190AE9" w:rsidRPr="00EB63BB" w:rsidRDefault="00190AE9" w:rsidP="00190AE9">
      <w:pPr>
        <w:jc w:val="both"/>
        <w:divId w:val="1563128952"/>
        <w:rPr>
          <w:rFonts w:ascii="Lato" w:hAnsi="Lato"/>
          <w:b/>
          <w:bCs/>
          <w:sz w:val="20"/>
          <w:szCs w:val="20"/>
        </w:rPr>
      </w:pPr>
    </w:p>
    <w:p w:rsidR="00190AE9" w:rsidRPr="00EB63BB" w:rsidRDefault="00190AE9" w:rsidP="00190AE9">
      <w:pPr>
        <w:jc w:val="both"/>
        <w:divId w:val="1563128952"/>
        <w:rPr>
          <w:rFonts w:ascii="Lato" w:hAnsi="Lato"/>
          <w:b/>
          <w:bCs/>
          <w:sz w:val="20"/>
          <w:szCs w:val="20"/>
        </w:rPr>
      </w:pPr>
    </w:p>
    <w:p w:rsidR="00190AE9" w:rsidRPr="00EB63BB" w:rsidRDefault="00190AE9" w:rsidP="00190AE9">
      <w:pPr>
        <w:jc w:val="both"/>
        <w:divId w:val="1563128952"/>
        <w:rPr>
          <w:rFonts w:ascii="Lato" w:hAnsi="Lato"/>
          <w:b/>
          <w:bCs/>
          <w:sz w:val="20"/>
          <w:szCs w:val="20"/>
        </w:rPr>
      </w:pPr>
    </w:p>
    <w:p w:rsidR="00190AE9" w:rsidRPr="00EB63BB" w:rsidRDefault="00190AE9" w:rsidP="00190AE9">
      <w:pPr>
        <w:jc w:val="both"/>
        <w:divId w:val="1563128952"/>
        <w:rPr>
          <w:rFonts w:ascii="Lato" w:hAnsi="Lato"/>
          <w:b/>
          <w:bCs/>
          <w:sz w:val="20"/>
          <w:szCs w:val="20"/>
        </w:rPr>
      </w:pPr>
      <w:r w:rsidRPr="00EB63BB">
        <w:rPr>
          <w:rFonts w:ascii="Lato" w:hAnsi="Lato"/>
          <w:b/>
          <w:bCs/>
          <w:sz w:val="20"/>
          <w:szCs w:val="20"/>
        </w:rPr>
        <w:t>Deuda respecto a la Recaudación</w:t>
      </w:r>
    </w:p>
    <w:p w:rsidR="00190AE9" w:rsidRPr="00EB63BB" w:rsidRDefault="00190AE9" w:rsidP="00190AE9">
      <w:pPr>
        <w:jc w:val="both"/>
        <w:divId w:val="1563128952"/>
        <w:rPr>
          <w:rFonts w:ascii="Lato" w:hAnsi="Lato"/>
          <w:sz w:val="20"/>
          <w:szCs w:val="20"/>
        </w:rPr>
      </w:pPr>
      <w:r w:rsidRPr="00EB63BB">
        <w:rPr>
          <w:rFonts w:ascii="Lato" w:hAnsi="Lato"/>
          <w:sz w:val="20"/>
          <w:szCs w:val="20"/>
        </w:rPr>
        <w:t>El saldo de la Deuda Pública de largo plazo a cargo del Estado con respecto a la Recaudación del Estado del período comprendido de 2015 a junio 2026 se comportó de la siguiente manera.</w:t>
      </w:r>
    </w:p>
    <w:p w:rsidR="00190AE9" w:rsidRPr="00EB63BB" w:rsidRDefault="00190AE9" w:rsidP="00190AE9">
      <w:pPr>
        <w:jc w:val="both"/>
        <w:divId w:val="1563128952"/>
        <w:rPr>
          <w:rFonts w:ascii="Lato" w:hAnsi="Lato"/>
          <w:sz w:val="20"/>
          <w:szCs w:val="20"/>
        </w:rPr>
      </w:pPr>
    </w:p>
    <w:tbl>
      <w:tblPr>
        <w:tblW w:w="9439" w:type="dxa"/>
        <w:tblCellMar>
          <w:left w:w="0" w:type="dxa"/>
          <w:right w:w="0" w:type="dxa"/>
        </w:tblCellMar>
        <w:tblLook w:val="04A0" w:firstRow="1" w:lastRow="0" w:firstColumn="1" w:lastColumn="0" w:noHBand="0" w:noVBand="1"/>
      </w:tblPr>
      <w:tblGrid>
        <w:gridCol w:w="2173"/>
        <w:gridCol w:w="680"/>
        <w:gridCol w:w="680"/>
        <w:gridCol w:w="681"/>
        <w:gridCol w:w="681"/>
        <w:gridCol w:w="523"/>
        <w:gridCol w:w="523"/>
        <w:gridCol w:w="523"/>
        <w:gridCol w:w="7"/>
        <w:gridCol w:w="7"/>
        <w:gridCol w:w="7"/>
        <w:gridCol w:w="523"/>
        <w:gridCol w:w="523"/>
        <w:gridCol w:w="7"/>
        <w:gridCol w:w="523"/>
        <w:gridCol w:w="523"/>
        <w:gridCol w:w="7"/>
        <w:gridCol w:w="848"/>
      </w:tblGrid>
      <w:tr w:rsidR="00190AE9" w:rsidRPr="00EB63BB" w:rsidTr="00190AE9">
        <w:trPr>
          <w:divId w:val="1563128952"/>
          <w:trHeight w:val="284"/>
        </w:trPr>
        <w:tc>
          <w:tcPr>
            <w:tcW w:w="0" w:type="auto"/>
            <w:tcBorders>
              <w:top w:val="single" w:sz="8" w:space="0" w:color="4F81BD"/>
              <w:left w:val="nil"/>
              <w:bottom w:val="single" w:sz="8" w:space="0" w:color="4F81BD"/>
              <w:right w:val="nil"/>
            </w:tcBorders>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b/>
                <w:bCs/>
                <w:sz w:val="20"/>
                <w:szCs w:val="20"/>
              </w:rPr>
            </w:pPr>
            <w:r w:rsidRPr="00EB63BB">
              <w:rPr>
                <w:rFonts w:ascii="Lato" w:hAnsi="Lato"/>
                <w:b/>
                <w:bCs/>
                <w:sz w:val="20"/>
                <w:szCs w:val="20"/>
              </w:rPr>
              <w:t>Concepto</w:t>
            </w:r>
          </w:p>
        </w:tc>
        <w:tc>
          <w:tcPr>
            <w:tcW w:w="0" w:type="auto"/>
            <w:tcBorders>
              <w:top w:val="single" w:sz="8" w:space="0" w:color="4F81BD"/>
              <w:left w:val="nil"/>
              <w:bottom w:val="single" w:sz="8" w:space="0" w:color="4F81BD"/>
              <w:right w:val="nil"/>
            </w:tcBorders>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b/>
                <w:bCs/>
                <w:sz w:val="20"/>
                <w:szCs w:val="20"/>
              </w:rPr>
            </w:pPr>
            <w:r w:rsidRPr="00EB63BB">
              <w:rPr>
                <w:rFonts w:ascii="Lato" w:hAnsi="Lato"/>
                <w:b/>
                <w:bCs/>
                <w:sz w:val="20"/>
                <w:szCs w:val="20"/>
              </w:rPr>
              <w:t>2015</w:t>
            </w:r>
          </w:p>
        </w:tc>
        <w:tc>
          <w:tcPr>
            <w:tcW w:w="0" w:type="auto"/>
            <w:tcBorders>
              <w:top w:val="single" w:sz="8" w:space="0" w:color="4F81BD"/>
              <w:left w:val="nil"/>
              <w:bottom w:val="single" w:sz="8" w:space="0" w:color="4F81BD"/>
              <w:right w:val="nil"/>
            </w:tcBorders>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b/>
                <w:bCs/>
                <w:sz w:val="20"/>
                <w:szCs w:val="20"/>
              </w:rPr>
            </w:pPr>
            <w:r w:rsidRPr="00EB63BB">
              <w:rPr>
                <w:rFonts w:ascii="Lato" w:hAnsi="Lato"/>
                <w:b/>
                <w:bCs/>
                <w:sz w:val="20"/>
                <w:szCs w:val="20"/>
              </w:rPr>
              <w:t>2016</w:t>
            </w:r>
          </w:p>
        </w:tc>
        <w:tc>
          <w:tcPr>
            <w:tcW w:w="0" w:type="auto"/>
            <w:tcBorders>
              <w:top w:val="single" w:sz="8" w:space="0" w:color="4F81BD"/>
              <w:left w:val="nil"/>
              <w:bottom w:val="single" w:sz="8" w:space="0" w:color="4F81BD"/>
              <w:right w:val="nil"/>
            </w:tcBorders>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b/>
                <w:bCs/>
                <w:sz w:val="20"/>
                <w:szCs w:val="20"/>
              </w:rPr>
            </w:pPr>
            <w:r w:rsidRPr="00EB63BB">
              <w:rPr>
                <w:rFonts w:ascii="Lato" w:hAnsi="Lato"/>
                <w:b/>
                <w:bCs/>
                <w:sz w:val="20"/>
                <w:szCs w:val="20"/>
              </w:rPr>
              <w:t>2017</w:t>
            </w:r>
          </w:p>
        </w:tc>
        <w:tc>
          <w:tcPr>
            <w:tcW w:w="0" w:type="auto"/>
            <w:tcBorders>
              <w:top w:val="single" w:sz="8" w:space="0" w:color="4F81BD"/>
              <w:left w:val="nil"/>
              <w:bottom w:val="single" w:sz="8" w:space="0" w:color="4F81BD"/>
              <w:right w:val="nil"/>
            </w:tcBorders>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b/>
                <w:bCs/>
                <w:sz w:val="20"/>
                <w:szCs w:val="20"/>
              </w:rPr>
            </w:pPr>
            <w:r w:rsidRPr="00EB63BB">
              <w:rPr>
                <w:rFonts w:ascii="Lato" w:hAnsi="Lato"/>
                <w:b/>
                <w:bCs/>
                <w:sz w:val="20"/>
                <w:szCs w:val="20"/>
              </w:rPr>
              <w:t>2018</w:t>
            </w:r>
          </w:p>
        </w:tc>
        <w:tc>
          <w:tcPr>
            <w:tcW w:w="0" w:type="auto"/>
            <w:tcBorders>
              <w:top w:val="single" w:sz="8" w:space="0" w:color="4F81BD"/>
              <w:left w:val="nil"/>
              <w:bottom w:val="single" w:sz="8" w:space="0" w:color="4F81BD"/>
              <w:right w:val="nil"/>
            </w:tcBorders>
            <w:vAlign w:val="center"/>
            <w:hideMark/>
          </w:tcPr>
          <w:p w:rsidR="00190AE9" w:rsidRPr="00EB63BB" w:rsidRDefault="00190AE9" w:rsidP="00D914E0">
            <w:pPr>
              <w:spacing w:line="276" w:lineRule="auto"/>
              <w:jc w:val="both"/>
              <w:rPr>
                <w:rFonts w:ascii="Lato" w:hAnsi="Lato"/>
                <w:b/>
                <w:bCs/>
                <w:sz w:val="20"/>
                <w:szCs w:val="20"/>
              </w:rPr>
            </w:pPr>
            <w:r w:rsidRPr="00EB63BB">
              <w:rPr>
                <w:rFonts w:ascii="Lato" w:hAnsi="Lato"/>
                <w:b/>
                <w:bCs/>
                <w:sz w:val="20"/>
                <w:szCs w:val="20"/>
              </w:rPr>
              <w:t>2019</w:t>
            </w:r>
          </w:p>
        </w:tc>
        <w:tc>
          <w:tcPr>
            <w:tcW w:w="0" w:type="auto"/>
            <w:tcBorders>
              <w:top w:val="single" w:sz="8" w:space="0" w:color="4F81BD"/>
              <w:left w:val="nil"/>
              <w:bottom w:val="single" w:sz="8" w:space="0" w:color="4F81BD"/>
              <w:right w:val="nil"/>
            </w:tcBorders>
            <w:vAlign w:val="center"/>
          </w:tcPr>
          <w:p w:rsidR="00190AE9" w:rsidRPr="00EB63BB" w:rsidRDefault="00190AE9" w:rsidP="00D914E0">
            <w:pPr>
              <w:spacing w:line="276" w:lineRule="auto"/>
              <w:jc w:val="center"/>
              <w:rPr>
                <w:rFonts w:ascii="Lato" w:hAnsi="Lato"/>
                <w:b/>
                <w:bCs/>
                <w:sz w:val="20"/>
                <w:szCs w:val="20"/>
              </w:rPr>
            </w:pPr>
            <w:r w:rsidRPr="00EB63BB">
              <w:rPr>
                <w:rFonts w:ascii="Lato" w:hAnsi="Lato"/>
                <w:b/>
                <w:bCs/>
                <w:sz w:val="20"/>
                <w:szCs w:val="20"/>
              </w:rPr>
              <w:t>2020</w:t>
            </w:r>
          </w:p>
        </w:tc>
        <w:tc>
          <w:tcPr>
            <w:tcW w:w="0" w:type="auto"/>
            <w:tcBorders>
              <w:top w:val="single" w:sz="8" w:space="0" w:color="4F81BD"/>
              <w:left w:val="nil"/>
              <w:bottom w:val="single" w:sz="8" w:space="0" w:color="4F81BD"/>
              <w:right w:val="nil"/>
            </w:tcBorders>
            <w:vAlign w:val="center"/>
          </w:tcPr>
          <w:p w:rsidR="00190AE9" w:rsidRPr="00EB63BB" w:rsidRDefault="00190AE9" w:rsidP="00D914E0">
            <w:pPr>
              <w:spacing w:line="276" w:lineRule="auto"/>
              <w:jc w:val="center"/>
              <w:rPr>
                <w:rFonts w:ascii="Lato" w:hAnsi="Lato"/>
                <w:b/>
                <w:bCs/>
                <w:sz w:val="20"/>
                <w:szCs w:val="20"/>
              </w:rPr>
            </w:pPr>
            <w:r w:rsidRPr="00EB63BB">
              <w:rPr>
                <w:rFonts w:ascii="Lato" w:hAnsi="Lato"/>
                <w:b/>
                <w:bCs/>
                <w:sz w:val="20"/>
                <w:szCs w:val="20"/>
              </w:rPr>
              <w:t>2021</w:t>
            </w:r>
          </w:p>
        </w:tc>
        <w:tc>
          <w:tcPr>
            <w:tcW w:w="0" w:type="auto"/>
            <w:tcBorders>
              <w:top w:val="single" w:sz="8" w:space="0" w:color="4F81BD"/>
              <w:left w:val="nil"/>
              <w:bottom w:val="single" w:sz="8" w:space="0" w:color="4F81BD"/>
              <w:right w:val="nil"/>
            </w:tcBorders>
          </w:tcPr>
          <w:p w:rsidR="00190AE9" w:rsidRPr="00EB63BB" w:rsidRDefault="00190AE9" w:rsidP="00D914E0">
            <w:pPr>
              <w:spacing w:line="276" w:lineRule="auto"/>
              <w:jc w:val="both"/>
              <w:rPr>
                <w:rFonts w:ascii="Lato" w:hAnsi="Lato"/>
                <w:b/>
                <w:bCs/>
                <w:sz w:val="20"/>
                <w:szCs w:val="20"/>
              </w:rPr>
            </w:pPr>
          </w:p>
        </w:tc>
        <w:tc>
          <w:tcPr>
            <w:tcW w:w="0" w:type="auto"/>
            <w:tcBorders>
              <w:top w:val="single" w:sz="8" w:space="0" w:color="4F81BD"/>
              <w:left w:val="nil"/>
              <w:bottom w:val="single" w:sz="8" w:space="0" w:color="4F81BD"/>
              <w:right w:val="nil"/>
            </w:tcBorders>
          </w:tcPr>
          <w:p w:rsidR="00190AE9" w:rsidRPr="00EB63BB" w:rsidRDefault="00190AE9" w:rsidP="00D914E0">
            <w:pPr>
              <w:spacing w:line="276" w:lineRule="auto"/>
              <w:jc w:val="both"/>
              <w:rPr>
                <w:rFonts w:ascii="Lato" w:hAnsi="Lato"/>
                <w:b/>
                <w:bCs/>
                <w:sz w:val="20"/>
                <w:szCs w:val="20"/>
              </w:rPr>
            </w:pPr>
          </w:p>
        </w:tc>
        <w:tc>
          <w:tcPr>
            <w:tcW w:w="0" w:type="auto"/>
            <w:tcBorders>
              <w:top w:val="single" w:sz="8" w:space="0" w:color="4F81BD"/>
              <w:left w:val="nil"/>
              <w:bottom w:val="single" w:sz="8" w:space="0" w:color="4F81BD"/>
              <w:right w:val="nil"/>
            </w:tcBorders>
          </w:tcPr>
          <w:p w:rsidR="00190AE9" w:rsidRPr="00EB63BB" w:rsidRDefault="00190AE9" w:rsidP="00D914E0">
            <w:pPr>
              <w:spacing w:line="276" w:lineRule="auto"/>
              <w:jc w:val="both"/>
              <w:rPr>
                <w:rFonts w:ascii="Lato" w:hAnsi="Lato"/>
                <w:b/>
                <w:bCs/>
                <w:sz w:val="20"/>
                <w:szCs w:val="20"/>
              </w:rPr>
            </w:pPr>
          </w:p>
        </w:tc>
        <w:tc>
          <w:tcPr>
            <w:tcW w:w="0" w:type="auto"/>
            <w:tcBorders>
              <w:top w:val="single" w:sz="8" w:space="0" w:color="4F81BD"/>
              <w:left w:val="nil"/>
              <w:bottom w:val="single" w:sz="8" w:space="0" w:color="4F81BD"/>
              <w:right w:val="nil"/>
            </w:tcBorders>
            <w:vAlign w:val="center"/>
          </w:tcPr>
          <w:p w:rsidR="00190AE9" w:rsidRPr="00EB63BB" w:rsidRDefault="00190AE9" w:rsidP="00D914E0">
            <w:pPr>
              <w:spacing w:line="276" w:lineRule="auto"/>
              <w:jc w:val="center"/>
              <w:rPr>
                <w:rFonts w:ascii="Lato" w:hAnsi="Lato"/>
                <w:b/>
                <w:bCs/>
                <w:sz w:val="20"/>
                <w:szCs w:val="20"/>
              </w:rPr>
            </w:pPr>
            <w:r w:rsidRPr="00EB63BB">
              <w:rPr>
                <w:rFonts w:ascii="Lato" w:hAnsi="Lato"/>
                <w:b/>
                <w:bCs/>
                <w:sz w:val="20"/>
                <w:szCs w:val="20"/>
              </w:rPr>
              <w:t>2022</w:t>
            </w:r>
          </w:p>
        </w:tc>
        <w:tc>
          <w:tcPr>
            <w:tcW w:w="0" w:type="auto"/>
            <w:tcBorders>
              <w:top w:val="single" w:sz="8" w:space="0" w:color="4F81BD"/>
              <w:left w:val="nil"/>
              <w:bottom w:val="single" w:sz="8" w:space="0" w:color="4F81BD"/>
              <w:right w:val="nil"/>
            </w:tcBorders>
            <w:vAlign w:val="center"/>
          </w:tcPr>
          <w:p w:rsidR="00190AE9" w:rsidRPr="00EB63BB" w:rsidRDefault="00190AE9" w:rsidP="00D914E0">
            <w:pPr>
              <w:spacing w:line="276" w:lineRule="auto"/>
              <w:jc w:val="center"/>
              <w:rPr>
                <w:rFonts w:ascii="Lato" w:hAnsi="Lato"/>
                <w:b/>
                <w:bCs/>
                <w:sz w:val="20"/>
                <w:szCs w:val="20"/>
              </w:rPr>
            </w:pPr>
            <w:r w:rsidRPr="00EB63BB">
              <w:rPr>
                <w:rFonts w:ascii="Lato" w:hAnsi="Lato"/>
                <w:b/>
                <w:bCs/>
                <w:sz w:val="20"/>
                <w:szCs w:val="20"/>
              </w:rPr>
              <w:t>2023</w:t>
            </w:r>
          </w:p>
        </w:tc>
        <w:tc>
          <w:tcPr>
            <w:tcW w:w="0" w:type="auto"/>
            <w:tcBorders>
              <w:top w:val="single" w:sz="8" w:space="0" w:color="4F81BD"/>
              <w:left w:val="nil"/>
              <w:bottom w:val="single" w:sz="8" w:space="0" w:color="4F81BD"/>
              <w:right w:val="nil"/>
            </w:tcBorders>
          </w:tcPr>
          <w:p w:rsidR="00190AE9" w:rsidRPr="00EB63BB" w:rsidRDefault="00190AE9" w:rsidP="00D914E0">
            <w:pPr>
              <w:spacing w:line="276" w:lineRule="auto"/>
              <w:jc w:val="center"/>
              <w:rPr>
                <w:rFonts w:ascii="Lato" w:hAnsi="Lato"/>
                <w:b/>
                <w:bCs/>
                <w:sz w:val="20"/>
                <w:szCs w:val="20"/>
              </w:rPr>
            </w:pPr>
          </w:p>
        </w:tc>
        <w:tc>
          <w:tcPr>
            <w:tcW w:w="0" w:type="auto"/>
            <w:tcBorders>
              <w:top w:val="single" w:sz="8" w:space="0" w:color="4F81BD"/>
              <w:left w:val="nil"/>
              <w:bottom w:val="single" w:sz="8" w:space="0" w:color="4F81BD"/>
              <w:right w:val="nil"/>
            </w:tcBorders>
            <w:vAlign w:val="center"/>
          </w:tcPr>
          <w:p w:rsidR="00190AE9" w:rsidRPr="00EB63BB" w:rsidRDefault="00190AE9" w:rsidP="00D914E0">
            <w:pPr>
              <w:spacing w:line="276" w:lineRule="auto"/>
              <w:jc w:val="center"/>
              <w:rPr>
                <w:rFonts w:ascii="Lato" w:hAnsi="Lato"/>
                <w:b/>
                <w:bCs/>
                <w:sz w:val="20"/>
                <w:szCs w:val="20"/>
              </w:rPr>
            </w:pPr>
            <w:r w:rsidRPr="00EB63BB">
              <w:rPr>
                <w:rFonts w:ascii="Lato" w:hAnsi="Lato"/>
                <w:b/>
                <w:bCs/>
                <w:sz w:val="20"/>
                <w:szCs w:val="20"/>
              </w:rPr>
              <w:t>2024</w:t>
            </w:r>
          </w:p>
        </w:tc>
        <w:tc>
          <w:tcPr>
            <w:tcW w:w="0" w:type="auto"/>
            <w:tcBorders>
              <w:top w:val="single" w:sz="8" w:space="0" w:color="4F81BD"/>
              <w:left w:val="nil"/>
              <w:bottom w:val="single" w:sz="8" w:space="0" w:color="4F81BD"/>
              <w:right w:val="nil"/>
            </w:tcBorders>
            <w:vAlign w:val="center"/>
          </w:tcPr>
          <w:p w:rsidR="00190AE9" w:rsidRPr="00EB63BB" w:rsidRDefault="00190AE9" w:rsidP="00D914E0">
            <w:pPr>
              <w:spacing w:line="276" w:lineRule="auto"/>
              <w:jc w:val="center"/>
              <w:rPr>
                <w:rFonts w:ascii="Lato" w:hAnsi="Lato"/>
                <w:b/>
                <w:bCs/>
                <w:sz w:val="20"/>
                <w:szCs w:val="20"/>
              </w:rPr>
            </w:pPr>
            <w:r w:rsidRPr="00EB63BB">
              <w:rPr>
                <w:rFonts w:ascii="Lato" w:hAnsi="Lato"/>
                <w:b/>
                <w:bCs/>
                <w:sz w:val="20"/>
                <w:szCs w:val="20"/>
              </w:rPr>
              <w:t>2025</w:t>
            </w:r>
          </w:p>
        </w:tc>
        <w:tc>
          <w:tcPr>
            <w:tcW w:w="0" w:type="auto"/>
            <w:tcBorders>
              <w:top w:val="single" w:sz="8" w:space="0" w:color="4F81BD"/>
              <w:left w:val="nil"/>
              <w:bottom w:val="single" w:sz="8" w:space="0" w:color="4F81BD"/>
              <w:right w:val="nil"/>
            </w:tcBorders>
          </w:tcPr>
          <w:p w:rsidR="00190AE9" w:rsidRPr="00EB63BB" w:rsidRDefault="00190AE9" w:rsidP="00D914E0">
            <w:pPr>
              <w:spacing w:line="276" w:lineRule="auto"/>
              <w:jc w:val="center"/>
              <w:rPr>
                <w:rFonts w:ascii="Lato" w:hAnsi="Lato"/>
                <w:b/>
                <w:bCs/>
                <w:sz w:val="20"/>
                <w:szCs w:val="20"/>
              </w:rPr>
            </w:pPr>
          </w:p>
        </w:tc>
        <w:tc>
          <w:tcPr>
            <w:tcW w:w="0" w:type="auto"/>
            <w:tcBorders>
              <w:top w:val="single" w:sz="8" w:space="0" w:color="4F81BD"/>
              <w:left w:val="nil"/>
              <w:bottom w:val="single" w:sz="8" w:space="0" w:color="4F81BD"/>
              <w:right w:val="nil"/>
            </w:tcBorders>
            <w:vAlign w:val="center"/>
          </w:tcPr>
          <w:p w:rsidR="00190AE9" w:rsidRPr="00EB63BB" w:rsidRDefault="00190AE9" w:rsidP="00D914E0">
            <w:pPr>
              <w:spacing w:line="276" w:lineRule="auto"/>
              <w:jc w:val="center"/>
              <w:rPr>
                <w:rFonts w:ascii="Lato" w:hAnsi="Lato"/>
                <w:b/>
                <w:bCs/>
                <w:sz w:val="20"/>
                <w:szCs w:val="20"/>
              </w:rPr>
            </w:pPr>
            <w:r w:rsidRPr="00EB63BB">
              <w:rPr>
                <w:rFonts w:ascii="Lato" w:hAnsi="Lato"/>
                <w:b/>
                <w:bCs/>
                <w:sz w:val="20"/>
                <w:szCs w:val="20"/>
              </w:rPr>
              <w:t>IIT 2026</w:t>
            </w:r>
          </w:p>
        </w:tc>
      </w:tr>
      <w:tr w:rsidR="00190AE9" w:rsidRPr="00EB63BB" w:rsidTr="00190AE9">
        <w:trPr>
          <w:divId w:val="1563128952"/>
          <w:trHeight w:val="284"/>
        </w:trPr>
        <w:tc>
          <w:tcPr>
            <w:tcW w:w="0" w:type="auto"/>
            <w:tcBorders>
              <w:top w:val="nil"/>
              <w:left w:val="nil"/>
              <w:bottom w:val="single" w:sz="8" w:space="0" w:color="4F81BD"/>
              <w:right w:val="nil"/>
            </w:tcBorders>
            <w:shd w:val="clear" w:color="auto" w:fill="E2EFD9" w:themeFill="accent6" w:themeFillTint="33"/>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sz w:val="20"/>
                <w:szCs w:val="20"/>
              </w:rPr>
            </w:pPr>
            <w:r w:rsidRPr="00EB63BB">
              <w:rPr>
                <w:rFonts w:ascii="Lato" w:hAnsi="Lato"/>
                <w:sz w:val="20"/>
                <w:szCs w:val="20"/>
              </w:rPr>
              <w:t>Deuda/Recaudación</w:t>
            </w:r>
          </w:p>
        </w:tc>
        <w:tc>
          <w:tcPr>
            <w:tcW w:w="0" w:type="auto"/>
            <w:tcBorders>
              <w:top w:val="nil"/>
              <w:left w:val="nil"/>
              <w:bottom w:val="single" w:sz="8" w:space="0" w:color="4F81BD"/>
              <w:right w:val="nil"/>
            </w:tcBorders>
            <w:shd w:val="clear" w:color="auto" w:fill="E2EFD9" w:themeFill="accent6" w:themeFillTint="33"/>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sz w:val="20"/>
                <w:szCs w:val="20"/>
              </w:rPr>
            </w:pPr>
            <w:r w:rsidRPr="00EB63BB">
              <w:rPr>
                <w:rFonts w:ascii="Lato" w:hAnsi="Lato"/>
                <w:sz w:val="20"/>
                <w:szCs w:val="20"/>
              </w:rPr>
              <w:t>0.81</w:t>
            </w:r>
          </w:p>
        </w:tc>
        <w:tc>
          <w:tcPr>
            <w:tcW w:w="0" w:type="auto"/>
            <w:tcBorders>
              <w:top w:val="nil"/>
              <w:left w:val="nil"/>
              <w:bottom w:val="single" w:sz="8" w:space="0" w:color="4F81BD"/>
              <w:right w:val="nil"/>
            </w:tcBorders>
            <w:shd w:val="clear" w:color="auto" w:fill="E2EFD9" w:themeFill="accent6" w:themeFillTint="33"/>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sz w:val="20"/>
                <w:szCs w:val="20"/>
              </w:rPr>
            </w:pPr>
            <w:r w:rsidRPr="00EB63BB">
              <w:rPr>
                <w:rFonts w:ascii="Lato" w:hAnsi="Lato"/>
                <w:sz w:val="20"/>
                <w:szCs w:val="20"/>
              </w:rPr>
              <w:t>0.88</w:t>
            </w:r>
          </w:p>
        </w:tc>
        <w:tc>
          <w:tcPr>
            <w:tcW w:w="0" w:type="auto"/>
            <w:tcBorders>
              <w:top w:val="nil"/>
              <w:left w:val="nil"/>
              <w:bottom w:val="single" w:sz="8" w:space="0" w:color="4F81BD"/>
              <w:right w:val="nil"/>
            </w:tcBorders>
            <w:shd w:val="clear" w:color="auto" w:fill="E2EFD9" w:themeFill="accent6" w:themeFillTint="33"/>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sz w:val="20"/>
                <w:szCs w:val="20"/>
              </w:rPr>
            </w:pPr>
            <w:r w:rsidRPr="00EB63BB">
              <w:rPr>
                <w:rFonts w:ascii="Lato" w:hAnsi="Lato"/>
                <w:sz w:val="20"/>
                <w:szCs w:val="20"/>
              </w:rPr>
              <w:t>0.97</w:t>
            </w:r>
          </w:p>
        </w:tc>
        <w:tc>
          <w:tcPr>
            <w:tcW w:w="0" w:type="auto"/>
            <w:tcBorders>
              <w:top w:val="nil"/>
              <w:left w:val="nil"/>
              <w:bottom w:val="single" w:sz="8" w:space="0" w:color="4F81BD"/>
              <w:right w:val="nil"/>
            </w:tcBorders>
            <w:shd w:val="clear" w:color="auto" w:fill="E2EFD9" w:themeFill="accent6" w:themeFillTint="33"/>
            <w:tcMar>
              <w:top w:w="0" w:type="dxa"/>
              <w:left w:w="70" w:type="dxa"/>
              <w:bottom w:w="0" w:type="dxa"/>
              <w:right w:w="70" w:type="dxa"/>
            </w:tcMar>
            <w:vAlign w:val="center"/>
            <w:hideMark/>
          </w:tcPr>
          <w:p w:rsidR="00190AE9" w:rsidRPr="00EB63BB" w:rsidRDefault="00190AE9" w:rsidP="00D914E0">
            <w:pPr>
              <w:spacing w:line="276" w:lineRule="auto"/>
              <w:jc w:val="both"/>
              <w:rPr>
                <w:rFonts w:ascii="Lato" w:hAnsi="Lato"/>
                <w:sz w:val="20"/>
                <w:szCs w:val="20"/>
              </w:rPr>
            </w:pPr>
            <w:r w:rsidRPr="00EB63BB">
              <w:rPr>
                <w:rFonts w:ascii="Lato" w:hAnsi="Lato"/>
                <w:sz w:val="20"/>
                <w:szCs w:val="20"/>
              </w:rPr>
              <w:t>0.91</w:t>
            </w:r>
          </w:p>
        </w:tc>
        <w:tc>
          <w:tcPr>
            <w:tcW w:w="0" w:type="auto"/>
            <w:tcBorders>
              <w:top w:val="nil"/>
              <w:left w:val="nil"/>
              <w:bottom w:val="single" w:sz="8" w:space="0" w:color="4F81BD"/>
              <w:right w:val="nil"/>
            </w:tcBorders>
            <w:shd w:val="clear" w:color="auto" w:fill="E2EFD9" w:themeFill="accent6" w:themeFillTint="33"/>
            <w:vAlign w:val="center"/>
            <w:hideMark/>
          </w:tcPr>
          <w:p w:rsidR="00190AE9" w:rsidRPr="00EB63BB" w:rsidRDefault="00190AE9" w:rsidP="00D914E0">
            <w:pPr>
              <w:spacing w:line="276" w:lineRule="auto"/>
              <w:jc w:val="both"/>
              <w:rPr>
                <w:rFonts w:ascii="Lato" w:hAnsi="Lato"/>
                <w:sz w:val="20"/>
                <w:szCs w:val="20"/>
              </w:rPr>
            </w:pPr>
            <w:r w:rsidRPr="00EB63BB">
              <w:rPr>
                <w:rFonts w:ascii="Lato" w:hAnsi="Lato"/>
                <w:sz w:val="20"/>
                <w:szCs w:val="20"/>
              </w:rPr>
              <w:t>1.16</w:t>
            </w:r>
          </w:p>
        </w:tc>
        <w:tc>
          <w:tcPr>
            <w:tcW w:w="0" w:type="auto"/>
            <w:tcBorders>
              <w:top w:val="nil"/>
              <w:left w:val="nil"/>
              <w:bottom w:val="single" w:sz="8" w:space="0" w:color="4F81BD"/>
              <w:right w:val="nil"/>
            </w:tcBorders>
            <w:shd w:val="clear" w:color="auto" w:fill="E2EFD9" w:themeFill="accent6" w:themeFillTint="33"/>
            <w:vAlign w:val="center"/>
          </w:tcPr>
          <w:p w:rsidR="00190AE9" w:rsidRPr="00EB63BB" w:rsidRDefault="00190AE9" w:rsidP="00D914E0">
            <w:pPr>
              <w:spacing w:line="276" w:lineRule="auto"/>
              <w:jc w:val="center"/>
              <w:rPr>
                <w:rFonts w:ascii="Lato" w:hAnsi="Lato"/>
                <w:sz w:val="20"/>
                <w:szCs w:val="20"/>
              </w:rPr>
            </w:pPr>
            <w:r w:rsidRPr="00EB63BB">
              <w:rPr>
                <w:rFonts w:ascii="Lato" w:hAnsi="Lato"/>
                <w:sz w:val="20"/>
                <w:szCs w:val="20"/>
              </w:rPr>
              <w:t>2.17</w:t>
            </w:r>
          </w:p>
        </w:tc>
        <w:tc>
          <w:tcPr>
            <w:tcW w:w="0" w:type="auto"/>
            <w:tcBorders>
              <w:top w:val="nil"/>
              <w:left w:val="nil"/>
              <w:bottom w:val="single" w:sz="8" w:space="0" w:color="4F81BD"/>
              <w:right w:val="nil"/>
            </w:tcBorders>
            <w:shd w:val="clear" w:color="auto" w:fill="E2EFD9" w:themeFill="accent6" w:themeFillTint="33"/>
            <w:vAlign w:val="center"/>
          </w:tcPr>
          <w:p w:rsidR="00190AE9" w:rsidRPr="00EB63BB" w:rsidRDefault="00190AE9" w:rsidP="00D914E0">
            <w:pPr>
              <w:spacing w:line="276" w:lineRule="auto"/>
              <w:jc w:val="center"/>
              <w:rPr>
                <w:rFonts w:ascii="Lato" w:hAnsi="Lato"/>
                <w:sz w:val="20"/>
                <w:szCs w:val="20"/>
              </w:rPr>
            </w:pPr>
            <w:r w:rsidRPr="00EB63BB">
              <w:rPr>
                <w:rFonts w:ascii="Lato" w:hAnsi="Lato"/>
                <w:sz w:val="20"/>
                <w:szCs w:val="20"/>
              </w:rPr>
              <w:t>1.46</w:t>
            </w:r>
          </w:p>
        </w:tc>
        <w:tc>
          <w:tcPr>
            <w:tcW w:w="0" w:type="auto"/>
            <w:tcBorders>
              <w:top w:val="nil"/>
              <w:left w:val="nil"/>
              <w:bottom w:val="single" w:sz="8" w:space="0" w:color="4F81BD"/>
              <w:right w:val="nil"/>
            </w:tcBorders>
            <w:shd w:val="clear" w:color="auto" w:fill="E2EFD9" w:themeFill="accent6" w:themeFillTint="33"/>
          </w:tcPr>
          <w:p w:rsidR="00190AE9" w:rsidRPr="00EB63BB" w:rsidRDefault="00190AE9" w:rsidP="00D914E0">
            <w:pPr>
              <w:spacing w:line="276" w:lineRule="auto"/>
              <w:jc w:val="both"/>
              <w:rPr>
                <w:rFonts w:ascii="Lato" w:hAnsi="Lato"/>
                <w:sz w:val="20"/>
                <w:szCs w:val="20"/>
              </w:rPr>
            </w:pPr>
          </w:p>
        </w:tc>
        <w:tc>
          <w:tcPr>
            <w:tcW w:w="0" w:type="auto"/>
            <w:tcBorders>
              <w:top w:val="nil"/>
              <w:left w:val="nil"/>
              <w:bottom w:val="single" w:sz="8" w:space="0" w:color="4F81BD"/>
              <w:right w:val="nil"/>
            </w:tcBorders>
            <w:shd w:val="clear" w:color="auto" w:fill="E2EFD9" w:themeFill="accent6" w:themeFillTint="33"/>
          </w:tcPr>
          <w:p w:rsidR="00190AE9" w:rsidRPr="00EB63BB" w:rsidRDefault="00190AE9" w:rsidP="00D914E0">
            <w:pPr>
              <w:spacing w:line="276" w:lineRule="auto"/>
              <w:jc w:val="both"/>
              <w:rPr>
                <w:rFonts w:ascii="Lato" w:hAnsi="Lato"/>
                <w:sz w:val="20"/>
                <w:szCs w:val="20"/>
              </w:rPr>
            </w:pPr>
          </w:p>
        </w:tc>
        <w:tc>
          <w:tcPr>
            <w:tcW w:w="0" w:type="auto"/>
            <w:tcBorders>
              <w:top w:val="nil"/>
              <w:left w:val="nil"/>
              <w:bottom w:val="single" w:sz="8" w:space="0" w:color="4F81BD"/>
              <w:right w:val="nil"/>
            </w:tcBorders>
            <w:shd w:val="clear" w:color="auto" w:fill="E2EFD9" w:themeFill="accent6" w:themeFillTint="33"/>
          </w:tcPr>
          <w:p w:rsidR="00190AE9" w:rsidRPr="00EB63BB" w:rsidRDefault="00190AE9" w:rsidP="00D914E0">
            <w:pPr>
              <w:spacing w:line="276" w:lineRule="auto"/>
              <w:jc w:val="both"/>
              <w:rPr>
                <w:rFonts w:ascii="Lato" w:hAnsi="Lato"/>
                <w:sz w:val="20"/>
                <w:szCs w:val="20"/>
              </w:rPr>
            </w:pPr>
          </w:p>
        </w:tc>
        <w:tc>
          <w:tcPr>
            <w:tcW w:w="0" w:type="auto"/>
            <w:tcBorders>
              <w:top w:val="nil"/>
              <w:left w:val="nil"/>
              <w:bottom w:val="single" w:sz="8" w:space="0" w:color="4F81BD"/>
              <w:right w:val="nil"/>
            </w:tcBorders>
            <w:shd w:val="clear" w:color="auto" w:fill="E2EFD9" w:themeFill="accent6" w:themeFillTint="33"/>
            <w:vAlign w:val="center"/>
          </w:tcPr>
          <w:p w:rsidR="00190AE9" w:rsidRPr="00EB63BB" w:rsidRDefault="00190AE9" w:rsidP="00D914E0">
            <w:pPr>
              <w:spacing w:line="276" w:lineRule="auto"/>
              <w:jc w:val="center"/>
              <w:rPr>
                <w:rFonts w:ascii="Lato" w:hAnsi="Lato"/>
                <w:sz w:val="20"/>
                <w:szCs w:val="20"/>
              </w:rPr>
            </w:pPr>
            <w:r w:rsidRPr="00EB63BB">
              <w:rPr>
                <w:rFonts w:ascii="Lato" w:hAnsi="Lato"/>
                <w:sz w:val="20"/>
                <w:szCs w:val="20"/>
              </w:rPr>
              <w:t>1.23</w:t>
            </w:r>
          </w:p>
        </w:tc>
        <w:tc>
          <w:tcPr>
            <w:tcW w:w="0" w:type="auto"/>
            <w:tcBorders>
              <w:top w:val="nil"/>
              <w:left w:val="nil"/>
              <w:bottom w:val="single" w:sz="8" w:space="0" w:color="4F81BD"/>
              <w:right w:val="nil"/>
            </w:tcBorders>
            <w:shd w:val="clear" w:color="auto" w:fill="E2EFD9" w:themeFill="accent6" w:themeFillTint="33"/>
            <w:vAlign w:val="center"/>
          </w:tcPr>
          <w:p w:rsidR="00190AE9" w:rsidRPr="00EB63BB" w:rsidRDefault="00190AE9" w:rsidP="00D914E0">
            <w:pPr>
              <w:spacing w:line="276" w:lineRule="auto"/>
              <w:jc w:val="center"/>
              <w:rPr>
                <w:rFonts w:ascii="Lato" w:hAnsi="Lato"/>
                <w:sz w:val="20"/>
                <w:szCs w:val="20"/>
              </w:rPr>
            </w:pPr>
            <w:r w:rsidRPr="00EB63BB">
              <w:rPr>
                <w:rFonts w:ascii="Lato" w:hAnsi="Lato"/>
                <w:sz w:val="20"/>
                <w:szCs w:val="20"/>
              </w:rPr>
              <w:t>0.99</w:t>
            </w:r>
          </w:p>
        </w:tc>
        <w:tc>
          <w:tcPr>
            <w:tcW w:w="0" w:type="auto"/>
            <w:tcBorders>
              <w:top w:val="nil"/>
              <w:left w:val="nil"/>
              <w:bottom w:val="single" w:sz="8" w:space="0" w:color="4F81BD"/>
              <w:right w:val="nil"/>
            </w:tcBorders>
            <w:shd w:val="clear" w:color="auto" w:fill="E2EFD9" w:themeFill="accent6" w:themeFillTint="33"/>
          </w:tcPr>
          <w:p w:rsidR="00190AE9" w:rsidRPr="00EB63BB" w:rsidRDefault="00190AE9" w:rsidP="00D914E0">
            <w:pPr>
              <w:spacing w:line="276" w:lineRule="auto"/>
              <w:jc w:val="center"/>
              <w:rPr>
                <w:rFonts w:ascii="Lato" w:hAnsi="Lato"/>
                <w:sz w:val="20"/>
                <w:szCs w:val="20"/>
              </w:rPr>
            </w:pPr>
          </w:p>
        </w:tc>
        <w:tc>
          <w:tcPr>
            <w:tcW w:w="0" w:type="auto"/>
            <w:tcBorders>
              <w:top w:val="nil"/>
              <w:left w:val="nil"/>
              <w:bottom w:val="single" w:sz="8" w:space="0" w:color="4F81BD"/>
              <w:right w:val="nil"/>
            </w:tcBorders>
            <w:shd w:val="clear" w:color="auto" w:fill="E2EFD9" w:themeFill="accent6" w:themeFillTint="33"/>
            <w:vAlign w:val="center"/>
          </w:tcPr>
          <w:p w:rsidR="00190AE9" w:rsidRPr="00EB63BB" w:rsidRDefault="00190AE9" w:rsidP="00D914E0">
            <w:pPr>
              <w:spacing w:line="276" w:lineRule="auto"/>
              <w:jc w:val="center"/>
              <w:rPr>
                <w:rFonts w:ascii="Lato" w:hAnsi="Lato"/>
                <w:sz w:val="20"/>
                <w:szCs w:val="20"/>
              </w:rPr>
            </w:pPr>
            <w:r w:rsidRPr="00EB63BB">
              <w:rPr>
                <w:rFonts w:ascii="Lato" w:hAnsi="Lato"/>
                <w:sz w:val="20"/>
                <w:szCs w:val="20"/>
              </w:rPr>
              <w:t>1.39</w:t>
            </w:r>
          </w:p>
        </w:tc>
        <w:tc>
          <w:tcPr>
            <w:tcW w:w="0" w:type="auto"/>
            <w:tcBorders>
              <w:top w:val="nil"/>
              <w:left w:val="nil"/>
              <w:bottom w:val="single" w:sz="8" w:space="0" w:color="4F81BD"/>
              <w:right w:val="nil"/>
            </w:tcBorders>
            <w:shd w:val="clear" w:color="auto" w:fill="E2EFD9" w:themeFill="accent6" w:themeFillTint="33"/>
            <w:vAlign w:val="center"/>
          </w:tcPr>
          <w:p w:rsidR="00190AE9" w:rsidRPr="00EB63BB" w:rsidRDefault="00190AE9" w:rsidP="00D914E0">
            <w:pPr>
              <w:spacing w:line="276" w:lineRule="auto"/>
              <w:jc w:val="center"/>
              <w:rPr>
                <w:rFonts w:ascii="Lato" w:hAnsi="Lato"/>
                <w:sz w:val="20"/>
                <w:szCs w:val="20"/>
              </w:rPr>
            </w:pPr>
            <w:r w:rsidRPr="00EB63BB">
              <w:rPr>
                <w:rFonts w:ascii="Lato" w:hAnsi="Lato"/>
                <w:sz w:val="20"/>
                <w:szCs w:val="20"/>
              </w:rPr>
              <w:t>1.20</w:t>
            </w:r>
          </w:p>
        </w:tc>
        <w:tc>
          <w:tcPr>
            <w:tcW w:w="0" w:type="auto"/>
            <w:tcBorders>
              <w:top w:val="nil"/>
              <w:left w:val="nil"/>
              <w:bottom w:val="single" w:sz="8" w:space="0" w:color="4F81BD"/>
              <w:right w:val="nil"/>
            </w:tcBorders>
            <w:shd w:val="clear" w:color="auto" w:fill="E2EFD9" w:themeFill="accent6" w:themeFillTint="33"/>
          </w:tcPr>
          <w:p w:rsidR="00190AE9" w:rsidRPr="00EB63BB" w:rsidRDefault="00190AE9" w:rsidP="00D914E0">
            <w:pPr>
              <w:spacing w:line="276" w:lineRule="auto"/>
              <w:jc w:val="center"/>
              <w:rPr>
                <w:rFonts w:ascii="Lato" w:hAnsi="Lato"/>
                <w:sz w:val="20"/>
                <w:szCs w:val="20"/>
              </w:rPr>
            </w:pPr>
          </w:p>
        </w:tc>
        <w:tc>
          <w:tcPr>
            <w:tcW w:w="0" w:type="auto"/>
            <w:tcBorders>
              <w:top w:val="nil"/>
              <w:left w:val="nil"/>
              <w:bottom w:val="single" w:sz="8" w:space="0" w:color="4F81BD"/>
              <w:right w:val="nil"/>
            </w:tcBorders>
            <w:shd w:val="clear" w:color="auto" w:fill="E2EFD9" w:themeFill="accent6" w:themeFillTint="33"/>
            <w:vAlign w:val="center"/>
          </w:tcPr>
          <w:p w:rsidR="00190AE9" w:rsidRPr="00EB63BB" w:rsidRDefault="00190AE9" w:rsidP="00D914E0">
            <w:pPr>
              <w:spacing w:line="276" w:lineRule="auto"/>
              <w:jc w:val="center"/>
              <w:rPr>
                <w:rFonts w:ascii="Lato" w:hAnsi="Lato"/>
                <w:sz w:val="20"/>
                <w:szCs w:val="20"/>
              </w:rPr>
            </w:pPr>
            <w:r w:rsidRPr="00EB63BB">
              <w:rPr>
                <w:rFonts w:ascii="Lato" w:hAnsi="Lato"/>
                <w:sz w:val="20"/>
                <w:szCs w:val="20"/>
              </w:rPr>
              <w:t>2.24</w:t>
            </w:r>
          </w:p>
        </w:tc>
      </w:tr>
    </w:tbl>
    <w:p w:rsidR="00190AE9" w:rsidRPr="00EB63BB" w:rsidRDefault="00190AE9" w:rsidP="00190AE9">
      <w:pPr>
        <w:autoSpaceDE w:val="0"/>
        <w:autoSpaceDN w:val="0"/>
        <w:spacing w:line="360" w:lineRule="auto"/>
        <w:jc w:val="both"/>
        <w:divId w:val="1563128952"/>
        <w:rPr>
          <w:rFonts w:ascii="Lato" w:hAnsi="Lato"/>
          <w:sz w:val="20"/>
          <w:szCs w:val="20"/>
          <w:lang w:eastAsia="es-ES"/>
        </w:rPr>
      </w:pPr>
    </w:p>
    <w:p w:rsidR="00190AE9" w:rsidRPr="00EB63BB" w:rsidRDefault="00190AE9" w:rsidP="00190AE9">
      <w:pPr>
        <w:autoSpaceDE w:val="0"/>
        <w:autoSpaceDN w:val="0"/>
        <w:spacing w:line="360" w:lineRule="auto"/>
        <w:jc w:val="both"/>
        <w:divId w:val="1563128952"/>
        <w:rPr>
          <w:rFonts w:ascii="Lato" w:hAnsi="Lato"/>
          <w:sz w:val="20"/>
          <w:szCs w:val="20"/>
        </w:rPr>
      </w:pPr>
      <w:r w:rsidRPr="00EB63BB">
        <w:rPr>
          <w:rFonts w:ascii="Lato" w:hAnsi="Lato"/>
          <w:sz w:val="20"/>
          <w:szCs w:val="20"/>
        </w:rPr>
        <w:t xml:space="preserve">La Deuda Pública de largo plazo del Estado es interna y los instrumentos financieros a través de los cuales ésta fue formalizada, son contratos de apertura de crédito simple, a continuación, se detallan las características de cada instrumento financiero celebrado, entre las que se consideran la tasa de interés y el vencimiento. </w:t>
      </w:r>
    </w:p>
    <w:p w:rsidR="00190AE9" w:rsidRPr="00EB63BB" w:rsidRDefault="00190AE9" w:rsidP="00190AE9">
      <w:pPr>
        <w:autoSpaceDE w:val="0"/>
        <w:autoSpaceDN w:val="0"/>
        <w:jc w:val="both"/>
        <w:divId w:val="1563128952"/>
        <w:rPr>
          <w:rFonts w:ascii="Lato" w:hAnsi="Lato"/>
          <w:sz w:val="20"/>
          <w:szCs w:val="20"/>
        </w:rPr>
      </w:pPr>
    </w:p>
    <w:tbl>
      <w:tblPr>
        <w:tblStyle w:val="Tabladecuadrcula1clara"/>
        <w:tblW w:w="0" w:type="auto"/>
        <w:tblLook w:val="04A0" w:firstRow="1" w:lastRow="0" w:firstColumn="1" w:lastColumn="0" w:noHBand="0" w:noVBand="1"/>
      </w:tblPr>
      <w:tblGrid>
        <w:gridCol w:w="3397"/>
        <w:gridCol w:w="3686"/>
        <w:gridCol w:w="1745"/>
      </w:tblGrid>
      <w:tr w:rsidR="00190AE9" w:rsidRPr="00EB63BB" w:rsidTr="00190AE9">
        <w:trPr>
          <w:cnfStyle w:val="100000000000" w:firstRow="1" w:lastRow="0" w:firstColumn="0" w:lastColumn="0" w:oddVBand="0" w:evenVBand="0" w:oddHBand="0" w:evenHBand="0" w:firstRowFirstColumn="0" w:firstRowLastColumn="0" w:lastRowFirstColumn="0" w:lastRowLastColumn="0"/>
          <w:divId w:val="1563128952"/>
          <w:trHeight w:val="629"/>
          <w:tblHeader/>
        </w:trPr>
        <w:tc>
          <w:tcPr>
            <w:cnfStyle w:val="001000000000" w:firstRow="0" w:lastRow="0" w:firstColumn="1" w:lastColumn="0" w:oddVBand="0" w:evenVBand="0" w:oddHBand="0" w:evenHBand="0" w:firstRowFirstColumn="0" w:firstRowLastColumn="0" w:lastRowFirstColumn="0" w:lastRowLastColumn="0"/>
            <w:tcW w:w="3397" w:type="dxa"/>
            <w:hideMark/>
          </w:tcPr>
          <w:p w:rsidR="00190AE9" w:rsidRPr="00EB63BB" w:rsidRDefault="00190AE9" w:rsidP="00D914E0">
            <w:pPr>
              <w:autoSpaceDE w:val="0"/>
              <w:autoSpaceDN w:val="0"/>
              <w:spacing w:line="300" w:lineRule="auto"/>
              <w:jc w:val="center"/>
              <w:rPr>
                <w:rFonts w:ascii="Lato" w:hAnsi="Lato"/>
                <w:b w:val="0"/>
                <w:bCs w:val="0"/>
                <w:sz w:val="20"/>
                <w:szCs w:val="20"/>
              </w:rPr>
            </w:pPr>
            <w:r w:rsidRPr="00EB63BB">
              <w:rPr>
                <w:rFonts w:ascii="Lato" w:hAnsi="Lato"/>
                <w:sz w:val="20"/>
                <w:szCs w:val="20"/>
              </w:rPr>
              <w:t>Institución Financiera</w:t>
            </w:r>
          </w:p>
        </w:tc>
        <w:tc>
          <w:tcPr>
            <w:tcW w:w="3686" w:type="dxa"/>
            <w:hideMark/>
          </w:tcPr>
          <w:p w:rsidR="00190AE9" w:rsidRPr="00EB63BB" w:rsidRDefault="00190AE9" w:rsidP="00D914E0">
            <w:pPr>
              <w:autoSpaceDE w:val="0"/>
              <w:autoSpaceDN w:val="0"/>
              <w:spacing w:line="300" w:lineRule="auto"/>
              <w:jc w:val="center"/>
              <w:cnfStyle w:val="100000000000" w:firstRow="1"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Tasa de interés</w:t>
            </w:r>
          </w:p>
        </w:tc>
        <w:tc>
          <w:tcPr>
            <w:tcW w:w="1745" w:type="dxa"/>
          </w:tcPr>
          <w:p w:rsidR="00190AE9" w:rsidRPr="00EB63BB" w:rsidRDefault="00190AE9" w:rsidP="00D914E0">
            <w:pPr>
              <w:autoSpaceDE w:val="0"/>
              <w:autoSpaceDN w:val="0"/>
              <w:spacing w:line="300" w:lineRule="auto"/>
              <w:jc w:val="center"/>
              <w:cnfStyle w:val="100000000000" w:firstRow="1"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Fecha de Vencimiento</w:t>
            </w:r>
          </w:p>
        </w:tc>
      </w:tr>
      <w:tr w:rsidR="00190AE9" w:rsidRPr="00EB63BB" w:rsidTr="00190AE9">
        <w:trPr>
          <w:divId w:val="1563128952"/>
          <w:trHeight w:val="701"/>
        </w:trPr>
        <w:tc>
          <w:tcPr>
            <w:cnfStyle w:val="001000000000" w:firstRow="0" w:lastRow="0" w:firstColumn="1" w:lastColumn="0" w:oddVBand="0" w:evenVBand="0" w:oddHBand="0" w:evenHBand="0" w:firstRowFirstColumn="0" w:firstRowLastColumn="0" w:lastRowFirstColumn="0" w:lastRowLastColumn="0"/>
            <w:tcW w:w="3397" w:type="dxa"/>
            <w:hideMark/>
          </w:tcPr>
          <w:p w:rsidR="00190AE9" w:rsidRPr="00EB63BB" w:rsidRDefault="00190AE9" w:rsidP="00D914E0">
            <w:pPr>
              <w:autoSpaceDE w:val="0"/>
              <w:autoSpaceDN w:val="0"/>
              <w:spacing w:line="300" w:lineRule="auto"/>
              <w:rPr>
                <w:rFonts w:ascii="Lato" w:hAnsi="Lato"/>
                <w:sz w:val="20"/>
                <w:szCs w:val="20"/>
              </w:rPr>
            </w:pPr>
            <w:r w:rsidRPr="00EB63BB">
              <w:rPr>
                <w:rFonts w:ascii="Lato" w:hAnsi="Lato"/>
                <w:sz w:val="20"/>
                <w:szCs w:val="20"/>
              </w:rPr>
              <w:t>Banco Nacional de Obras y  Servicios Públicos, S.N.C.</w:t>
            </w:r>
          </w:p>
        </w:tc>
        <w:tc>
          <w:tcPr>
            <w:tcW w:w="3686" w:type="dxa"/>
            <w:hideMark/>
          </w:tcPr>
          <w:p w:rsidR="00190AE9" w:rsidRPr="00EB63BB" w:rsidRDefault="00190AE9" w:rsidP="00D914E0">
            <w:pPr>
              <w:autoSpaceDE w:val="0"/>
              <w:autoSpaceDN w:val="0"/>
              <w:spacing w:line="300" w:lineRule="auto"/>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1a disposición: TASA BASE + Sobretasa (7.10+1.02=8.12)</w:t>
            </w:r>
          </w:p>
          <w:p w:rsidR="00190AE9" w:rsidRPr="00EB63BB" w:rsidRDefault="00190AE9" w:rsidP="00D914E0">
            <w:pPr>
              <w:autoSpaceDE w:val="0"/>
              <w:autoSpaceDN w:val="0"/>
              <w:spacing w:line="300" w:lineRule="auto"/>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2a disposición: TASA BASE + Sobretasa (7.70+1.02=8.72)</w:t>
            </w:r>
          </w:p>
        </w:tc>
        <w:tc>
          <w:tcPr>
            <w:tcW w:w="1745" w:type="dxa"/>
            <w:hideMark/>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05/06/2033</w:t>
            </w:r>
          </w:p>
        </w:tc>
      </w:tr>
      <w:tr w:rsidR="00190AE9" w:rsidRPr="00EB63BB" w:rsidTr="00190AE9">
        <w:trPr>
          <w:divId w:val="1563128952"/>
          <w:trHeight w:val="487"/>
        </w:trPr>
        <w:tc>
          <w:tcPr>
            <w:cnfStyle w:val="001000000000" w:firstRow="0" w:lastRow="0" w:firstColumn="1" w:lastColumn="0" w:oddVBand="0" w:evenVBand="0" w:oddHBand="0" w:evenHBand="0" w:firstRowFirstColumn="0" w:firstRowLastColumn="0" w:lastRowFirstColumn="0" w:lastRowLastColumn="0"/>
            <w:tcW w:w="3397" w:type="dxa"/>
            <w:hideMark/>
          </w:tcPr>
          <w:p w:rsidR="00190AE9" w:rsidRPr="00EB63BB" w:rsidRDefault="00190AE9" w:rsidP="00D914E0">
            <w:pPr>
              <w:autoSpaceDE w:val="0"/>
              <w:autoSpaceDN w:val="0"/>
              <w:spacing w:line="300" w:lineRule="auto"/>
              <w:rPr>
                <w:rFonts w:ascii="Lato" w:hAnsi="Lato"/>
                <w:sz w:val="20"/>
                <w:szCs w:val="20"/>
              </w:rPr>
            </w:pPr>
            <w:r w:rsidRPr="00EB63BB">
              <w:rPr>
                <w:rFonts w:ascii="Lato" w:hAnsi="Lato"/>
                <w:sz w:val="20"/>
                <w:szCs w:val="20"/>
              </w:rPr>
              <w:t>Banco Nacional de México, S.A., integrante del Grupo Financiero Banamex.</w:t>
            </w:r>
          </w:p>
        </w:tc>
        <w:tc>
          <w:tcPr>
            <w:tcW w:w="3686" w:type="dxa"/>
            <w:hideMark/>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TIIE + 0.25</w:t>
            </w:r>
          </w:p>
        </w:tc>
        <w:tc>
          <w:tcPr>
            <w:tcW w:w="1745" w:type="dxa"/>
            <w:hideMark/>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28/11/2039</w:t>
            </w:r>
          </w:p>
        </w:tc>
      </w:tr>
      <w:tr w:rsidR="00190AE9" w:rsidRPr="00EB63BB" w:rsidTr="00190AE9">
        <w:trPr>
          <w:divId w:val="1563128952"/>
          <w:trHeight w:val="487"/>
        </w:trPr>
        <w:tc>
          <w:tcPr>
            <w:cnfStyle w:val="001000000000" w:firstRow="0" w:lastRow="0" w:firstColumn="1" w:lastColumn="0" w:oddVBand="0" w:evenVBand="0" w:oddHBand="0" w:evenHBand="0" w:firstRowFirstColumn="0" w:firstRowLastColumn="0" w:lastRowFirstColumn="0" w:lastRowLastColumn="0"/>
            <w:tcW w:w="3397" w:type="dxa"/>
          </w:tcPr>
          <w:p w:rsidR="00190AE9" w:rsidRPr="00EB63BB" w:rsidRDefault="00190AE9" w:rsidP="00D914E0">
            <w:pPr>
              <w:autoSpaceDE w:val="0"/>
              <w:autoSpaceDN w:val="0"/>
              <w:spacing w:line="300" w:lineRule="auto"/>
              <w:rPr>
                <w:rFonts w:ascii="Lato" w:hAnsi="Lato"/>
                <w:sz w:val="20"/>
                <w:szCs w:val="20"/>
              </w:rPr>
            </w:pPr>
            <w:r w:rsidRPr="00EB63BB">
              <w:rPr>
                <w:rFonts w:ascii="Lato" w:hAnsi="Lato"/>
                <w:sz w:val="20"/>
                <w:szCs w:val="20"/>
              </w:rPr>
              <w:t>Banco Nacional de Obras y  Servicios Públicos, S.N.C.</w:t>
            </w:r>
          </w:p>
        </w:tc>
        <w:tc>
          <w:tcPr>
            <w:tcW w:w="3686" w:type="dxa"/>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TIIE + 0.37</w:t>
            </w:r>
          </w:p>
        </w:tc>
        <w:tc>
          <w:tcPr>
            <w:tcW w:w="1745" w:type="dxa"/>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28/09/2040</w:t>
            </w:r>
          </w:p>
        </w:tc>
      </w:tr>
      <w:tr w:rsidR="00190AE9" w:rsidRPr="00EB63BB" w:rsidTr="00190AE9">
        <w:trPr>
          <w:divId w:val="1563128952"/>
          <w:trHeight w:val="487"/>
        </w:trPr>
        <w:tc>
          <w:tcPr>
            <w:cnfStyle w:val="001000000000" w:firstRow="0" w:lastRow="0" w:firstColumn="1" w:lastColumn="0" w:oddVBand="0" w:evenVBand="0" w:oddHBand="0" w:evenHBand="0" w:firstRowFirstColumn="0" w:firstRowLastColumn="0" w:lastRowFirstColumn="0" w:lastRowLastColumn="0"/>
            <w:tcW w:w="3397" w:type="dxa"/>
          </w:tcPr>
          <w:p w:rsidR="00190AE9" w:rsidRPr="00EB63BB" w:rsidRDefault="00190AE9" w:rsidP="00D914E0">
            <w:pPr>
              <w:autoSpaceDE w:val="0"/>
              <w:autoSpaceDN w:val="0"/>
              <w:spacing w:line="300" w:lineRule="auto"/>
              <w:rPr>
                <w:rFonts w:ascii="Lato" w:hAnsi="Lato"/>
                <w:sz w:val="20"/>
                <w:szCs w:val="20"/>
              </w:rPr>
            </w:pPr>
            <w:r w:rsidRPr="00EB63BB">
              <w:rPr>
                <w:rFonts w:ascii="Lato" w:hAnsi="Lato"/>
                <w:sz w:val="20"/>
                <w:szCs w:val="20"/>
              </w:rPr>
              <w:t>Banco Nacional de Obras y  Servicios Públicos, S.N.C.</w:t>
            </w:r>
          </w:p>
        </w:tc>
        <w:tc>
          <w:tcPr>
            <w:tcW w:w="3686" w:type="dxa"/>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TIIE + 0.37</w:t>
            </w:r>
          </w:p>
        </w:tc>
        <w:tc>
          <w:tcPr>
            <w:tcW w:w="1745" w:type="dxa"/>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28/09/2040</w:t>
            </w:r>
          </w:p>
        </w:tc>
      </w:tr>
      <w:tr w:rsidR="00190AE9" w:rsidRPr="00EB63BB" w:rsidTr="00190AE9">
        <w:trPr>
          <w:divId w:val="1563128952"/>
          <w:trHeight w:val="487"/>
        </w:trPr>
        <w:tc>
          <w:tcPr>
            <w:cnfStyle w:val="001000000000" w:firstRow="0" w:lastRow="0" w:firstColumn="1" w:lastColumn="0" w:oddVBand="0" w:evenVBand="0" w:oddHBand="0" w:evenHBand="0" w:firstRowFirstColumn="0" w:firstRowLastColumn="0" w:lastRowFirstColumn="0" w:lastRowLastColumn="0"/>
            <w:tcW w:w="3397" w:type="dxa"/>
          </w:tcPr>
          <w:p w:rsidR="00190AE9" w:rsidRPr="00EB63BB" w:rsidRDefault="00190AE9" w:rsidP="00D914E0">
            <w:pPr>
              <w:autoSpaceDE w:val="0"/>
              <w:autoSpaceDN w:val="0"/>
              <w:spacing w:line="300" w:lineRule="auto"/>
              <w:rPr>
                <w:rFonts w:ascii="Lato" w:hAnsi="Lato"/>
                <w:sz w:val="20"/>
                <w:szCs w:val="20"/>
              </w:rPr>
            </w:pPr>
            <w:r w:rsidRPr="00EB63BB">
              <w:rPr>
                <w:rFonts w:ascii="Lato" w:hAnsi="Lato"/>
                <w:sz w:val="20"/>
                <w:szCs w:val="20"/>
              </w:rPr>
              <w:lastRenderedPageBreak/>
              <w:t>Banco Nacional de Obras y  Servicios Públicos, S.N.C.</w:t>
            </w:r>
          </w:p>
        </w:tc>
        <w:tc>
          <w:tcPr>
            <w:tcW w:w="3686" w:type="dxa"/>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TIIE + 0.37</w:t>
            </w:r>
          </w:p>
        </w:tc>
        <w:tc>
          <w:tcPr>
            <w:tcW w:w="1745" w:type="dxa"/>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28/09/2040</w:t>
            </w:r>
          </w:p>
        </w:tc>
      </w:tr>
      <w:tr w:rsidR="00190AE9" w:rsidRPr="00EB63BB" w:rsidTr="00190AE9">
        <w:trPr>
          <w:divId w:val="1563128952"/>
          <w:trHeight w:val="487"/>
        </w:trPr>
        <w:tc>
          <w:tcPr>
            <w:cnfStyle w:val="001000000000" w:firstRow="0" w:lastRow="0" w:firstColumn="1" w:lastColumn="0" w:oddVBand="0" w:evenVBand="0" w:oddHBand="0" w:evenHBand="0" w:firstRowFirstColumn="0" w:firstRowLastColumn="0" w:lastRowFirstColumn="0" w:lastRowLastColumn="0"/>
            <w:tcW w:w="3397" w:type="dxa"/>
          </w:tcPr>
          <w:p w:rsidR="00190AE9" w:rsidRPr="00EB63BB" w:rsidRDefault="00190AE9" w:rsidP="00D914E0">
            <w:pPr>
              <w:autoSpaceDE w:val="0"/>
              <w:autoSpaceDN w:val="0"/>
              <w:spacing w:line="300" w:lineRule="auto"/>
              <w:rPr>
                <w:rFonts w:ascii="Lato" w:hAnsi="Lato"/>
                <w:sz w:val="20"/>
                <w:szCs w:val="20"/>
              </w:rPr>
            </w:pPr>
            <w:r w:rsidRPr="00EB63BB">
              <w:rPr>
                <w:rFonts w:ascii="Lato" w:hAnsi="Lato"/>
                <w:sz w:val="20"/>
                <w:szCs w:val="20"/>
              </w:rPr>
              <w:t>BBVA México, S.A., Institución de Banca Múltiple, Grupo Financiero BBVA México</w:t>
            </w:r>
          </w:p>
        </w:tc>
        <w:tc>
          <w:tcPr>
            <w:tcW w:w="3686" w:type="dxa"/>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TIIE + 0.32</w:t>
            </w:r>
          </w:p>
        </w:tc>
        <w:tc>
          <w:tcPr>
            <w:tcW w:w="1745" w:type="dxa"/>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05/09/2042</w:t>
            </w:r>
          </w:p>
        </w:tc>
      </w:tr>
      <w:tr w:rsidR="00190AE9" w:rsidRPr="00EB63BB" w:rsidTr="00190AE9">
        <w:trPr>
          <w:divId w:val="1563128952"/>
          <w:trHeight w:val="487"/>
        </w:trPr>
        <w:tc>
          <w:tcPr>
            <w:cnfStyle w:val="001000000000" w:firstRow="0" w:lastRow="0" w:firstColumn="1" w:lastColumn="0" w:oddVBand="0" w:evenVBand="0" w:oddHBand="0" w:evenHBand="0" w:firstRowFirstColumn="0" w:firstRowLastColumn="0" w:lastRowFirstColumn="0" w:lastRowLastColumn="0"/>
            <w:tcW w:w="3397" w:type="dxa"/>
          </w:tcPr>
          <w:p w:rsidR="00190AE9" w:rsidRPr="00EB63BB" w:rsidRDefault="00190AE9" w:rsidP="00D914E0">
            <w:pPr>
              <w:autoSpaceDE w:val="0"/>
              <w:autoSpaceDN w:val="0"/>
              <w:spacing w:line="300" w:lineRule="auto"/>
              <w:rPr>
                <w:rFonts w:ascii="Lato" w:hAnsi="Lato"/>
                <w:sz w:val="20"/>
                <w:szCs w:val="20"/>
              </w:rPr>
            </w:pPr>
            <w:r w:rsidRPr="00EB63BB">
              <w:rPr>
                <w:rFonts w:ascii="Lato" w:hAnsi="Lato"/>
                <w:sz w:val="20"/>
                <w:szCs w:val="20"/>
              </w:rPr>
              <w:t>BBVA México, S.A., Institución de Banca Múltiple, Grupo Financiero BBVA México</w:t>
            </w:r>
          </w:p>
        </w:tc>
        <w:tc>
          <w:tcPr>
            <w:tcW w:w="3686" w:type="dxa"/>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TIIE + 0.26</w:t>
            </w:r>
          </w:p>
        </w:tc>
        <w:tc>
          <w:tcPr>
            <w:tcW w:w="1745" w:type="dxa"/>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02/10/2043</w:t>
            </w:r>
          </w:p>
        </w:tc>
      </w:tr>
      <w:tr w:rsidR="00190AE9" w:rsidRPr="00EB63BB" w:rsidTr="00190AE9">
        <w:trPr>
          <w:divId w:val="1563128952"/>
          <w:trHeight w:val="487"/>
        </w:trPr>
        <w:tc>
          <w:tcPr>
            <w:cnfStyle w:val="001000000000" w:firstRow="0" w:lastRow="0" w:firstColumn="1" w:lastColumn="0" w:oddVBand="0" w:evenVBand="0" w:oddHBand="0" w:evenHBand="0" w:firstRowFirstColumn="0" w:firstRowLastColumn="0" w:lastRowFirstColumn="0" w:lastRowLastColumn="0"/>
            <w:tcW w:w="3397" w:type="dxa"/>
          </w:tcPr>
          <w:p w:rsidR="00190AE9" w:rsidRPr="00EB63BB" w:rsidRDefault="00190AE9" w:rsidP="00D914E0">
            <w:pPr>
              <w:autoSpaceDE w:val="0"/>
              <w:autoSpaceDN w:val="0"/>
              <w:spacing w:line="300" w:lineRule="auto"/>
              <w:rPr>
                <w:rFonts w:ascii="Lato" w:hAnsi="Lato"/>
                <w:sz w:val="20"/>
                <w:szCs w:val="20"/>
              </w:rPr>
            </w:pPr>
            <w:r w:rsidRPr="00EB63BB">
              <w:rPr>
                <w:rFonts w:ascii="Lato" w:hAnsi="Lato"/>
                <w:sz w:val="20"/>
                <w:szCs w:val="20"/>
              </w:rPr>
              <w:t>Banco Mercantil del Norte, S.A., Institución de Banca Múltiple, Grupo Financiero Banorte</w:t>
            </w:r>
          </w:p>
        </w:tc>
        <w:tc>
          <w:tcPr>
            <w:tcW w:w="3686" w:type="dxa"/>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TIIE + 0.38</w:t>
            </w:r>
          </w:p>
        </w:tc>
        <w:tc>
          <w:tcPr>
            <w:tcW w:w="1745" w:type="dxa"/>
          </w:tcPr>
          <w:p w:rsidR="00190AE9" w:rsidRPr="00EB63BB" w:rsidRDefault="00190AE9" w:rsidP="00D914E0">
            <w:pPr>
              <w:autoSpaceDE w:val="0"/>
              <w:autoSpaceDN w:val="0"/>
              <w:spacing w:line="300" w:lineRule="auto"/>
              <w:jc w:val="cente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EB63BB">
              <w:rPr>
                <w:rFonts w:ascii="Lato" w:hAnsi="Lato"/>
                <w:sz w:val="20"/>
                <w:szCs w:val="20"/>
              </w:rPr>
              <w:t>02/10/2043</w:t>
            </w:r>
          </w:p>
        </w:tc>
      </w:tr>
    </w:tbl>
    <w:p w:rsidR="00190AE9" w:rsidRPr="00EB63BB" w:rsidRDefault="00190AE9" w:rsidP="00190AE9">
      <w:pPr>
        <w:autoSpaceDE w:val="0"/>
        <w:autoSpaceDN w:val="0"/>
        <w:spacing w:line="360" w:lineRule="auto"/>
        <w:jc w:val="both"/>
        <w:divId w:val="1563128952"/>
        <w:rPr>
          <w:rFonts w:ascii="Lato" w:hAnsi="Lato"/>
          <w:b/>
          <w:bCs/>
          <w:sz w:val="20"/>
          <w:szCs w:val="20"/>
        </w:rPr>
      </w:pPr>
    </w:p>
    <w:p w:rsidR="00190AE9" w:rsidRPr="00EB63BB" w:rsidRDefault="00190AE9" w:rsidP="00190AE9">
      <w:pPr>
        <w:autoSpaceDE w:val="0"/>
        <w:autoSpaceDN w:val="0"/>
        <w:spacing w:line="360" w:lineRule="auto"/>
        <w:jc w:val="both"/>
        <w:divId w:val="1563128952"/>
        <w:rPr>
          <w:rFonts w:ascii="Lato" w:hAnsi="Lato"/>
          <w:b/>
          <w:bCs/>
          <w:sz w:val="20"/>
          <w:szCs w:val="20"/>
        </w:rPr>
      </w:pPr>
      <w:r w:rsidRPr="00EB63BB">
        <w:rPr>
          <w:rFonts w:ascii="Lato" w:hAnsi="Lato"/>
          <w:b/>
          <w:bCs/>
          <w:sz w:val="20"/>
          <w:szCs w:val="20"/>
        </w:rPr>
        <w:t>11.- Calificaciones Otorgadas.</w:t>
      </w:r>
    </w:p>
    <w:p w:rsidR="00190AE9" w:rsidRPr="00EB63BB" w:rsidRDefault="00190AE9" w:rsidP="00190AE9">
      <w:pPr>
        <w:autoSpaceDE w:val="0"/>
        <w:autoSpaceDN w:val="0"/>
        <w:spacing w:line="360" w:lineRule="auto"/>
        <w:jc w:val="both"/>
        <w:divId w:val="1563128952"/>
        <w:rPr>
          <w:rFonts w:ascii="Lato" w:eastAsia="PMingLiU" w:hAnsi="Lato" w:cs="Soberana Sans"/>
          <w:sz w:val="20"/>
          <w:szCs w:val="20"/>
          <w:lang w:val="es-ES" w:eastAsia="es-ES"/>
        </w:rPr>
      </w:pPr>
      <w:r w:rsidRPr="00EB63BB">
        <w:rPr>
          <w:rFonts w:ascii="Lato" w:hAnsi="Lato"/>
          <w:sz w:val="20"/>
          <w:szCs w:val="20"/>
        </w:rPr>
        <w:t xml:space="preserve">a)  Las </w:t>
      </w:r>
      <w:r w:rsidRPr="00EB63BB">
        <w:rPr>
          <w:rFonts w:ascii="Lato" w:eastAsia="PMingLiU" w:hAnsi="Lato" w:cs="Soberana Sans"/>
          <w:sz w:val="20"/>
          <w:szCs w:val="20"/>
          <w:lang w:val="es-ES" w:eastAsia="es-ES"/>
        </w:rPr>
        <w:t>calificadoras HR Ratings, Fitch Ratings y Moody's Local actualizaron la calificación crediticia del estado:</w:t>
      </w:r>
    </w:p>
    <w:p w:rsidR="00190AE9" w:rsidRPr="00EB63BB" w:rsidRDefault="00190AE9" w:rsidP="00190AE9">
      <w:pPr>
        <w:pStyle w:val="Prrafodelista"/>
        <w:numPr>
          <w:ilvl w:val="0"/>
          <w:numId w:val="2"/>
        </w:numPr>
        <w:jc w:val="both"/>
        <w:divId w:val="1563128952"/>
        <w:rPr>
          <w:rFonts w:ascii="Lato" w:eastAsia="PMingLiU" w:hAnsi="Lato" w:cs="Soberana Sans"/>
          <w:sz w:val="20"/>
          <w:szCs w:val="20"/>
          <w:lang w:val="es-ES" w:eastAsia="es-ES"/>
        </w:rPr>
      </w:pPr>
      <w:r w:rsidRPr="00EB63BB">
        <w:rPr>
          <w:rFonts w:ascii="Lato" w:eastAsia="PMingLiU" w:hAnsi="Lato" w:cs="Soberana Sans"/>
          <w:sz w:val="20"/>
          <w:szCs w:val="20"/>
          <w:lang w:val="es-ES" w:eastAsia="es-ES"/>
        </w:rPr>
        <w:t>El 25 de marzo de 2026, HR Ratings determinó ratificar la calificación del estado de Yucatán en HR AA+ y modificó la Perspectiva de Estable a Positiva, la calificación refleja la fortaleza de las finanzas públicas, una gestión responsable de la deuda y una sólida posición de liquidez. El cambio de perspectiva reconoce la expectativa de que el Estado mantendrá un desempeño financiero favorable, respaldado por el resultado positivo observado en las métricas de endeudamiento del Estado.</w:t>
      </w:r>
    </w:p>
    <w:p w:rsidR="00190AE9" w:rsidRPr="00EB63BB" w:rsidRDefault="00190AE9" w:rsidP="00190AE9">
      <w:pPr>
        <w:pStyle w:val="Prrafodelista"/>
        <w:jc w:val="both"/>
        <w:divId w:val="1563128952"/>
        <w:rPr>
          <w:rFonts w:ascii="Lato" w:eastAsia="PMingLiU" w:hAnsi="Lato" w:cs="Soberana Sans"/>
          <w:sz w:val="20"/>
          <w:szCs w:val="20"/>
          <w:lang w:val="es-ES" w:eastAsia="es-ES"/>
        </w:rPr>
      </w:pPr>
    </w:p>
    <w:p w:rsidR="00190AE9" w:rsidRPr="00EB63BB" w:rsidRDefault="00190AE9" w:rsidP="00190AE9">
      <w:pPr>
        <w:pStyle w:val="Prrafodelista"/>
        <w:numPr>
          <w:ilvl w:val="0"/>
          <w:numId w:val="2"/>
        </w:numPr>
        <w:jc w:val="both"/>
        <w:divId w:val="1563128952"/>
        <w:rPr>
          <w:rFonts w:ascii="Lato" w:eastAsia="PMingLiU" w:hAnsi="Lato" w:cs="Soberana Sans"/>
          <w:sz w:val="20"/>
          <w:szCs w:val="20"/>
          <w:lang w:val="es-ES" w:eastAsia="es-ES"/>
        </w:rPr>
      </w:pPr>
      <w:r w:rsidRPr="00EB63BB">
        <w:rPr>
          <w:rFonts w:ascii="Lato" w:eastAsia="PMingLiU" w:hAnsi="Lato" w:cs="Soberana Sans"/>
          <w:sz w:val="20"/>
          <w:szCs w:val="20"/>
          <w:lang w:val="es-ES" w:eastAsia="es-ES"/>
        </w:rPr>
        <w:t xml:space="preserve">Por su parte, el 13 de mayo de 2026, Fitch Ratings ratificó la calificación del estado de Yucatán en ‘AA- (mex)’ y revisó a Negativa la perspectiva. La ratificación de la calificación obedece al desempeño adecuado observado en 2025, apoyado por una mayor recaudación y un manejo adecuado de la liquidez y los pasivos. La calificadora destaca un historial de políticas sólidas y un manejo adecuado de la deuda y reconoce las estrategias implementadas para fortalecer la recaudación de ingresos propios. </w:t>
      </w:r>
    </w:p>
    <w:p w:rsidR="00190AE9" w:rsidRPr="00EB63BB" w:rsidRDefault="00190AE9" w:rsidP="00190AE9">
      <w:pPr>
        <w:jc w:val="both"/>
        <w:divId w:val="1563128952"/>
        <w:rPr>
          <w:rFonts w:ascii="Lato" w:eastAsia="PMingLiU" w:hAnsi="Lato" w:cs="Soberana Sans"/>
          <w:sz w:val="20"/>
          <w:szCs w:val="20"/>
          <w:lang w:val="es-ES" w:eastAsia="es-ES"/>
        </w:rPr>
      </w:pPr>
    </w:p>
    <w:p w:rsidR="00190AE9" w:rsidRPr="00EB63BB" w:rsidRDefault="00190AE9" w:rsidP="00190AE9">
      <w:pPr>
        <w:pStyle w:val="Prrafodelista"/>
        <w:numPr>
          <w:ilvl w:val="0"/>
          <w:numId w:val="2"/>
        </w:numPr>
        <w:jc w:val="both"/>
        <w:divId w:val="1563128952"/>
        <w:rPr>
          <w:rFonts w:ascii="Lato" w:eastAsia="PMingLiU" w:hAnsi="Lato" w:cs="Soberana Sans"/>
          <w:sz w:val="20"/>
          <w:szCs w:val="20"/>
          <w:lang w:val="es-ES" w:eastAsia="es-ES"/>
        </w:rPr>
      </w:pPr>
      <w:r w:rsidRPr="00EB63BB">
        <w:rPr>
          <w:rFonts w:ascii="Lato" w:eastAsia="PMingLiU" w:hAnsi="Lato" w:cs="Soberana Sans"/>
          <w:sz w:val="20"/>
          <w:szCs w:val="20"/>
          <w:lang w:val="es-ES" w:eastAsia="es-ES"/>
        </w:rPr>
        <w:t xml:space="preserve">En el mismo sentido, el 8 de junio de 2026, Moody's Local ratificó la calificación del Estado de Yucatán en AA- con perspectiva a estable, la acción de calificación es el resultado de una adecuada gestión financiera y presupuestal, reflejada en una alta posición de liquidez, niveles moderados de endeudamiento, así como una evolución favorable en la recaudación de ingresos propios. Asimismo, </w:t>
      </w:r>
      <w:r w:rsidRPr="00EB63BB">
        <w:rPr>
          <w:rFonts w:ascii="Lato" w:eastAsia="PMingLiU" w:hAnsi="Lato" w:cs="Soberana Sans"/>
          <w:sz w:val="20"/>
          <w:szCs w:val="20"/>
          <w:lang w:val="es-ES" w:eastAsia="es-ES"/>
        </w:rPr>
        <w:lastRenderedPageBreak/>
        <w:t>destaca que el Estado de Yucatán ha mostrado un desempeño económico favorable en años recientes, impulsado por mayores niveles de inversión, desarrollo industrial y fortalecimiento de la infraestructura estratégica.</w:t>
      </w:r>
    </w:p>
    <w:p w:rsidR="00190AE9" w:rsidRPr="00EB63BB" w:rsidRDefault="00190AE9">
      <w:pPr>
        <w:divId w:val="86775812"/>
        <w:rPr>
          <w:rStyle w:val="Textoennegrita"/>
          <w:rFonts w:ascii="Lato" w:eastAsia="Times New Roman" w:hAnsi="Lato"/>
          <w:sz w:val="20"/>
          <w:szCs w:val="20"/>
        </w:rPr>
      </w:pPr>
    </w:p>
    <w:p w:rsidR="00B027B5" w:rsidRPr="00EB63BB" w:rsidRDefault="00642EB6">
      <w:pPr>
        <w:divId w:val="86775812"/>
        <w:rPr>
          <w:rStyle w:val="Textoennegrita"/>
          <w:rFonts w:ascii="Lato" w:eastAsia="Times New Roman" w:hAnsi="Lato"/>
          <w:sz w:val="20"/>
          <w:szCs w:val="20"/>
        </w:rPr>
      </w:pPr>
      <w:r w:rsidRPr="00EB63BB">
        <w:rPr>
          <w:rStyle w:val="Textoennegrita"/>
          <w:rFonts w:ascii="Lato" w:eastAsia="Times New Roman" w:hAnsi="Lato"/>
          <w:sz w:val="20"/>
          <w:szCs w:val="20"/>
        </w:rPr>
        <w:t>12.- Proceso de Mejora</w:t>
      </w:r>
    </w:p>
    <w:p w:rsidR="00353846" w:rsidRPr="00EB63BB" w:rsidRDefault="00353846" w:rsidP="00353846">
      <w:pPr>
        <w:spacing w:line="240" w:lineRule="auto"/>
        <w:ind w:firstLine="709"/>
        <w:jc w:val="both"/>
        <w:divId w:val="86775812"/>
        <w:rPr>
          <w:rFonts w:ascii="Lato" w:eastAsia="Times New Roman" w:hAnsi="Lato"/>
          <w:sz w:val="20"/>
          <w:szCs w:val="20"/>
        </w:rPr>
      </w:pPr>
      <w:r w:rsidRPr="00EB63BB">
        <w:rPr>
          <w:rFonts w:ascii="Lato" w:eastAsia="Times New Roman" w:hAnsi="Lato"/>
          <w:sz w:val="20"/>
          <w:szCs w:val="20"/>
        </w:rPr>
        <w:t>Se continúa dando seguimiento a temas que por su relevancia se estima importante su revelación ya que los mismos derivan y tienen impacto en los postulados básicos de Contabilidad Gubernamental, como son los de Revelación Suficiente e Importancia Relativa.</w:t>
      </w:r>
    </w:p>
    <w:p w:rsidR="00353846" w:rsidRPr="00EB63BB" w:rsidRDefault="00353846" w:rsidP="00353846">
      <w:pPr>
        <w:spacing w:after="0" w:line="240" w:lineRule="auto"/>
        <w:ind w:left="720" w:firstLine="709"/>
        <w:contextualSpacing/>
        <w:jc w:val="both"/>
        <w:divId w:val="86775812"/>
        <w:rPr>
          <w:rFonts w:ascii="Lato" w:eastAsiaTheme="minorHAnsi" w:hAnsi="Lato" w:cs="Arial"/>
          <w:sz w:val="20"/>
          <w:szCs w:val="20"/>
          <w:lang w:eastAsia="en-US"/>
        </w:rPr>
      </w:pPr>
      <w:r w:rsidRPr="00EB63BB">
        <w:rPr>
          <w:rFonts w:ascii="Lato" w:eastAsiaTheme="minorHAnsi" w:hAnsi="Lato" w:cs="Arial"/>
          <w:b/>
          <w:sz w:val="20"/>
          <w:szCs w:val="20"/>
          <w:lang w:eastAsia="en-US"/>
        </w:rPr>
        <w:t>RECONOCIMIENTO</w:t>
      </w:r>
    </w:p>
    <w:p w:rsidR="00353846" w:rsidRPr="00EB63BB" w:rsidRDefault="00353846" w:rsidP="00353846">
      <w:pPr>
        <w:spacing w:after="0" w:line="240" w:lineRule="auto"/>
        <w:ind w:left="720" w:firstLine="709"/>
        <w:contextualSpacing/>
        <w:jc w:val="both"/>
        <w:divId w:val="86775812"/>
        <w:rPr>
          <w:rFonts w:ascii="Lato" w:eastAsiaTheme="minorHAnsi" w:hAnsi="Lato" w:cs="Arial"/>
          <w:sz w:val="20"/>
          <w:szCs w:val="20"/>
          <w:lang w:eastAsia="en-US"/>
        </w:rPr>
      </w:pPr>
    </w:p>
    <w:p w:rsidR="00353846" w:rsidRPr="00EB63BB" w:rsidRDefault="00353846" w:rsidP="00353846">
      <w:pPr>
        <w:numPr>
          <w:ilvl w:val="0"/>
          <w:numId w:val="3"/>
        </w:numPr>
        <w:spacing w:after="200" w:line="240" w:lineRule="auto"/>
        <w:ind w:left="786" w:firstLine="709"/>
        <w:contextualSpacing/>
        <w:jc w:val="both"/>
        <w:divId w:val="86775812"/>
        <w:rPr>
          <w:rFonts w:ascii="Lato" w:eastAsia="PMingLiU" w:hAnsi="Lato" w:cs="Soberana Sans"/>
          <w:sz w:val="20"/>
          <w:szCs w:val="20"/>
          <w:lang w:val="es-ES" w:eastAsia="es-ES"/>
        </w:rPr>
      </w:pPr>
      <w:r w:rsidRPr="00EB63BB">
        <w:rPr>
          <w:rFonts w:ascii="Lato" w:eastAsia="PMingLiU" w:hAnsi="Lato" w:cs="Soberana Sans"/>
          <w:sz w:val="20"/>
          <w:szCs w:val="20"/>
          <w:lang w:val="es-ES" w:eastAsia="es-ES"/>
        </w:rPr>
        <w:t>En cumplimiento a la Ley de Disciplina Financiera de las Entidades Federativas y los Municipios, el sector central del Poder Ejecutivo del Gobierno del Estado de Yucatán continua presentando  dentro de los Estados financieros, en el Informe actualizado de Pasivos Contingentes los rubros de Obligaciones por las Jubilaciones y Pensionados así como las reclamaciones de descuentos indebidos a la nómina de jubilados, así mismo de forma anual y trimestralmente se actualiza la cifra estimada de litigios laborales, contenciosos y amparos directos al Poder Ejecutivo, la cual ha sid</w:t>
      </w:r>
      <w:r w:rsidR="008E0E58" w:rsidRPr="00EB63BB">
        <w:rPr>
          <w:rFonts w:ascii="Lato" w:eastAsia="PMingLiU" w:hAnsi="Lato" w:cs="Soberana Sans"/>
          <w:sz w:val="20"/>
          <w:szCs w:val="20"/>
          <w:lang w:val="es-ES" w:eastAsia="es-ES"/>
        </w:rPr>
        <w:t>o modificada al 30 de junio</w:t>
      </w:r>
      <w:r w:rsidRPr="00EB63BB">
        <w:rPr>
          <w:rFonts w:ascii="Lato" w:eastAsia="PMingLiU" w:hAnsi="Lato" w:cs="Soberana Sans"/>
          <w:sz w:val="20"/>
          <w:szCs w:val="20"/>
          <w:lang w:val="es-ES" w:eastAsia="es-ES"/>
        </w:rPr>
        <w:t xml:space="preserve"> de 2026.  </w:t>
      </w:r>
    </w:p>
    <w:p w:rsidR="00353846" w:rsidRPr="00EB63BB" w:rsidRDefault="00353846" w:rsidP="00353846">
      <w:pPr>
        <w:spacing w:after="200" w:line="240" w:lineRule="auto"/>
        <w:ind w:left="786" w:firstLine="709"/>
        <w:contextualSpacing/>
        <w:jc w:val="both"/>
        <w:divId w:val="86775812"/>
        <w:rPr>
          <w:rFonts w:ascii="Lato" w:eastAsiaTheme="minorHAnsi" w:hAnsi="Lato" w:cs="Arial"/>
          <w:sz w:val="20"/>
          <w:szCs w:val="20"/>
          <w:lang w:eastAsia="en-US"/>
        </w:rPr>
      </w:pPr>
      <w:r w:rsidRPr="00EB63BB">
        <w:rPr>
          <w:rFonts w:ascii="Lato" w:eastAsia="PMingLiU" w:hAnsi="Lato" w:cs="Soberana Sans"/>
          <w:sz w:val="20"/>
          <w:szCs w:val="20"/>
          <w:lang w:val="es-ES" w:eastAsia="es-ES"/>
        </w:rPr>
        <w:t>Con fecha 31 de diciembre 2023 se realizaron los más recientes estudios actuariales de los rubros de Obligaciones por las Jubilaciones y Pensiones, así como las reclamaciones de descuentos indebidos a la nómina de jubilados, el detalle de las cifras se presenta en el informe de pasivos contingente</w:t>
      </w:r>
      <w:r w:rsidRPr="00EB63BB">
        <w:rPr>
          <w:rFonts w:ascii="Lato" w:eastAsiaTheme="minorHAnsi" w:hAnsi="Lato" w:cs="Arial"/>
          <w:sz w:val="20"/>
          <w:szCs w:val="20"/>
          <w:lang w:eastAsia="en-US"/>
        </w:rPr>
        <w:t>.</w:t>
      </w:r>
    </w:p>
    <w:p w:rsidR="00353846" w:rsidRPr="00EB63BB" w:rsidRDefault="00353846" w:rsidP="00353846">
      <w:pPr>
        <w:spacing w:after="200" w:line="240" w:lineRule="auto"/>
        <w:ind w:left="786" w:firstLine="709"/>
        <w:contextualSpacing/>
        <w:jc w:val="both"/>
        <w:divId w:val="86775812"/>
        <w:rPr>
          <w:rFonts w:ascii="Lato" w:eastAsiaTheme="minorHAnsi" w:hAnsi="Lato" w:cs="Arial"/>
          <w:sz w:val="20"/>
          <w:szCs w:val="20"/>
          <w:lang w:eastAsia="en-US"/>
        </w:rPr>
      </w:pPr>
    </w:p>
    <w:p w:rsidR="00353846" w:rsidRPr="00EB63BB" w:rsidRDefault="00353846" w:rsidP="00353846">
      <w:pPr>
        <w:spacing w:after="200" w:line="240" w:lineRule="auto"/>
        <w:ind w:firstLine="709"/>
        <w:jc w:val="both"/>
        <w:divId w:val="86775812"/>
        <w:rPr>
          <w:rFonts w:ascii="Lato" w:hAnsi="Lato" w:cs="Arial"/>
          <w:b/>
          <w:sz w:val="20"/>
          <w:szCs w:val="20"/>
        </w:rPr>
      </w:pPr>
      <w:r w:rsidRPr="00EB63BB">
        <w:rPr>
          <w:rFonts w:ascii="Lato" w:hAnsi="Lato" w:cs="Arial"/>
          <w:sz w:val="20"/>
          <w:szCs w:val="20"/>
        </w:rPr>
        <w:t xml:space="preserve">      </w:t>
      </w:r>
      <w:r w:rsidRPr="00EB63BB">
        <w:rPr>
          <w:rFonts w:ascii="Lato" w:hAnsi="Lato" w:cs="Arial"/>
          <w:b/>
          <w:sz w:val="20"/>
          <w:szCs w:val="20"/>
        </w:rPr>
        <w:t xml:space="preserve"> DEPURACIÓN Y CONCILIACIONES.</w:t>
      </w:r>
    </w:p>
    <w:p w:rsidR="00353846" w:rsidRPr="00EB63BB" w:rsidRDefault="008E0E58" w:rsidP="00353846">
      <w:pPr>
        <w:numPr>
          <w:ilvl w:val="0"/>
          <w:numId w:val="3"/>
        </w:numPr>
        <w:tabs>
          <w:tab w:val="left" w:pos="2345"/>
        </w:tabs>
        <w:spacing w:after="200" w:line="240" w:lineRule="auto"/>
        <w:ind w:hanging="927"/>
        <w:contextualSpacing/>
        <w:jc w:val="both"/>
        <w:divId w:val="86775812"/>
        <w:rPr>
          <w:rFonts w:ascii="Lato" w:eastAsiaTheme="minorHAnsi" w:hAnsi="Lato" w:cs="Arial"/>
          <w:sz w:val="20"/>
          <w:szCs w:val="20"/>
          <w:lang w:eastAsia="en-US"/>
        </w:rPr>
      </w:pPr>
      <w:r w:rsidRPr="00EB63BB">
        <w:rPr>
          <w:rFonts w:ascii="Lato" w:eastAsiaTheme="minorHAnsi" w:hAnsi="Lato" w:cs="Arial"/>
          <w:sz w:val="20"/>
          <w:szCs w:val="20"/>
          <w:lang w:eastAsia="en-US"/>
        </w:rPr>
        <w:t xml:space="preserve">       </w:t>
      </w:r>
      <w:r w:rsidR="00353846" w:rsidRPr="00EB63BB">
        <w:rPr>
          <w:rFonts w:ascii="Lato" w:eastAsiaTheme="minorHAnsi" w:hAnsi="Lato" w:cs="Arial"/>
          <w:sz w:val="20"/>
          <w:szCs w:val="20"/>
          <w:lang w:eastAsia="en-US"/>
        </w:rPr>
        <w:t>A</w:t>
      </w:r>
      <w:r w:rsidRPr="00EB63BB">
        <w:rPr>
          <w:rFonts w:ascii="Lato" w:eastAsiaTheme="minorHAnsi" w:hAnsi="Lato" w:cs="Arial"/>
          <w:sz w:val="20"/>
          <w:szCs w:val="20"/>
          <w:lang w:eastAsia="en-US"/>
        </w:rPr>
        <w:t>l cierre del mes de mayo de 2026</w:t>
      </w:r>
      <w:r w:rsidR="00353846" w:rsidRPr="00EB63BB">
        <w:rPr>
          <w:rFonts w:ascii="Lato" w:eastAsiaTheme="minorHAnsi" w:hAnsi="Lato" w:cs="Arial"/>
          <w:sz w:val="20"/>
          <w:szCs w:val="20"/>
          <w:lang w:eastAsia="en-US"/>
        </w:rPr>
        <w:t xml:space="preserve"> las partidas en tránsito, del total de las conc</w:t>
      </w:r>
      <w:r w:rsidRPr="00EB63BB">
        <w:rPr>
          <w:rFonts w:ascii="Lato" w:eastAsiaTheme="minorHAnsi" w:hAnsi="Lato" w:cs="Arial"/>
          <w:sz w:val="20"/>
          <w:szCs w:val="20"/>
          <w:lang w:eastAsia="en-US"/>
        </w:rPr>
        <w:t>iliaciones bancarias suman $108.3</w:t>
      </w:r>
      <w:r w:rsidR="00353846" w:rsidRPr="00EB63BB">
        <w:rPr>
          <w:rFonts w:ascii="Lato" w:eastAsiaTheme="minorHAnsi" w:hAnsi="Lato" w:cs="Arial"/>
          <w:sz w:val="20"/>
          <w:szCs w:val="20"/>
          <w:lang w:eastAsia="en-US"/>
        </w:rPr>
        <w:t xml:space="preserve"> mdp.</w:t>
      </w:r>
    </w:p>
    <w:p w:rsidR="00353846" w:rsidRPr="00EB63BB" w:rsidRDefault="00353846" w:rsidP="00353846">
      <w:pPr>
        <w:numPr>
          <w:ilvl w:val="0"/>
          <w:numId w:val="3"/>
        </w:numPr>
        <w:spacing w:after="200" w:line="240" w:lineRule="auto"/>
        <w:ind w:left="2127" w:hanging="644"/>
        <w:contextualSpacing/>
        <w:jc w:val="both"/>
        <w:divId w:val="86775812"/>
        <w:rPr>
          <w:rFonts w:ascii="Lato" w:eastAsiaTheme="minorHAnsi" w:hAnsi="Lato" w:cs="Arial"/>
          <w:sz w:val="20"/>
          <w:szCs w:val="20"/>
          <w:lang w:eastAsia="en-US"/>
        </w:rPr>
      </w:pPr>
      <w:r w:rsidRPr="00EB63BB">
        <w:rPr>
          <w:rFonts w:ascii="Lato" w:eastAsiaTheme="minorHAnsi" w:hAnsi="Lato" w:cs="Arial"/>
          <w:sz w:val="20"/>
          <w:szCs w:val="20"/>
          <w:lang w:eastAsia="en-US"/>
        </w:rPr>
        <w:t>En continuidad con las acciones de mejora, se trabaja en la revisión y actualización de las políticas para el registro de las operaciones, que se elaboraron en conjunto con las áreas que realizan acciones que repercuten en la contabilidad y fueron publicadas en el ejercicio 2024 en la intranet para su difusión y fácil consulta, en complemento con los procedimientos existentes de cada área, que contri</w:t>
      </w:r>
      <w:r w:rsidR="008E0E58" w:rsidRPr="00EB63BB">
        <w:rPr>
          <w:rFonts w:ascii="Lato" w:eastAsiaTheme="minorHAnsi" w:hAnsi="Lato" w:cs="Arial"/>
          <w:sz w:val="20"/>
          <w:szCs w:val="20"/>
          <w:lang w:eastAsia="en-US"/>
        </w:rPr>
        <w:t>buyen al cumplimiento normativo, en el programa de trabajo del ejercicio actual se tiene programado revisarlas para su actualización.</w:t>
      </w:r>
    </w:p>
    <w:p w:rsidR="00353846" w:rsidRPr="00EB63BB" w:rsidRDefault="00353846" w:rsidP="00353846">
      <w:pPr>
        <w:pStyle w:val="Prrafodelista"/>
        <w:numPr>
          <w:ilvl w:val="0"/>
          <w:numId w:val="6"/>
        </w:numPr>
        <w:spacing w:after="200"/>
        <w:jc w:val="both"/>
        <w:divId w:val="86775812"/>
        <w:rPr>
          <w:rFonts w:ascii="Lato" w:hAnsi="Lato" w:cs="Arial"/>
          <w:sz w:val="20"/>
          <w:szCs w:val="20"/>
        </w:rPr>
      </w:pPr>
      <w:r w:rsidRPr="00EB63BB">
        <w:rPr>
          <w:rFonts w:ascii="Lato" w:hAnsi="Lato" w:cs="Arial"/>
          <w:color w:val="000000"/>
          <w:sz w:val="20"/>
          <w:szCs w:val="20"/>
        </w:rPr>
        <w:t>Como parte de las acciones de mejora, en relación al tema de depósitos pendientes de registro por desconocer el depositante, se continúan registrando en la cuenta de pasivo como Ingresos por clasificar, con base en la normatividad CONAC.</w:t>
      </w:r>
    </w:p>
    <w:p w:rsidR="00353846" w:rsidRPr="00EB63BB" w:rsidRDefault="00353846" w:rsidP="00353846">
      <w:pPr>
        <w:spacing w:after="200" w:line="240" w:lineRule="auto"/>
        <w:ind w:left="1571"/>
        <w:contextualSpacing/>
        <w:jc w:val="both"/>
        <w:divId w:val="86775812"/>
        <w:rPr>
          <w:rFonts w:ascii="Lato" w:eastAsiaTheme="minorHAnsi" w:hAnsi="Lato" w:cs="Arial"/>
          <w:sz w:val="20"/>
          <w:szCs w:val="20"/>
          <w:lang w:eastAsia="en-US"/>
        </w:rPr>
      </w:pPr>
    </w:p>
    <w:p w:rsidR="00353846" w:rsidRPr="00EB63BB" w:rsidRDefault="00353846" w:rsidP="00353846">
      <w:pPr>
        <w:spacing w:after="200" w:line="240" w:lineRule="auto"/>
        <w:ind w:left="862" w:firstLine="709"/>
        <w:contextualSpacing/>
        <w:jc w:val="both"/>
        <w:divId w:val="86775812"/>
        <w:rPr>
          <w:rFonts w:ascii="Lato" w:eastAsiaTheme="minorHAnsi" w:hAnsi="Lato" w:cs="Arial"/>
          <w:color w:val="000000"/>
          <w:sz w:val="20"/>
          <w:szCs w:val="20"/>
        </w:rPr>
      </w:pPr>
      <w:r w:rsidRPr="00EB63BB">
        <w:rPr>
          <w:rFonts w:ascii="Lato" w:eastAsiaTheme="minorHAnsi" w:hAnsi="Lato" w:cs="Arial"/>
          <w:color w:val="000000"/>
          <w:sz w:val="20"/>
          <w:szCs w:val="20"/>
        </w:rPr>
        <w:t xml:space="preserve">Así mismo de manera preventiva la Agencia de Administración Fiscal de Yucatán continua fortaleciendo en coordinación con las instituciones bancarias, con el fin de que todas las operaciones cuenten con una referencia para su identificación, mejorando la herramienta puesta en marcha a partir del año 2019,  que facilita el pago de impuestos presentando declaraciones normales por internet y portal bancario con línea de referencia, igualmente en la AAFY se desarrolló el pago referenciado para derechos, productos y aprovechamientos y se están realizando gestiones para que todas las dependencias del Sector Central adopten esta modalidad, lo </w:t>
      </w:r>
      <w:r w:rsidRPr="00EB63BB">
        <w:rPr>
          <w:rFonts w:ascii="Lato" w:eastAsiaTheme="minorHAnsi" w:hAnsi="Lato" w:cs="Arial"/>
          <w:color w:val="000000"/>
          <w:sz w:val="20"/>
          <w:szCs w:val="20"/>
        </w:rPr>
        <w:lastRenderedPageBreak/>
        <w:t xml:space="preserve">anterior ofrece al ciudadano diversos canales  de pago e identificación de los mismos. En el mismo tenor de mejora continua, se sigue avanzando con mecanismos para ahorrar tiempo y dinero, ya que ahora se pueden pagar más de 250 trámites y servicios del Gobierno del Estado de Yucatán en tiendas de autoservicio OXXO, haciendo los procesos más ágiles y sencillos. </w:t>
      </w:r>
    </w:p>
    <w:p w:rsidR="00353846" w:rsidRPr="00EB63BB" w:rsidRDefault="00353846" w:rsidP="00353846">
      <w:pPr>
        <w:spacing w:after="200" w:line="240" w:lineRule="auto"/>
        <w:ind w:left="862" w:firstLine="709"/>
        <w:contextualSpacing/>
        <w:jc w:val="both"/>
        <w:divId w:val="86775812"/>
        <w:rPr>
          <w:rFonts w:ascii="Lato" w:eastAsiaTheme="minorHAnsi" w:hAnsi="Lato" w:cs="Arial"/>
          <w:sz w:val="20"/>
          <w:szCs w:val="20"/>
          <w:lang w:eastAsia="en-US"/>
        </w:rPr>
      </w:pPr>
    </w:p>
    <w:p w:rsidR="00353846" w:rsidRPr="00EB63BB" w:rsidRDefault="00353846" w:rsidP="00353846">
      <w:pPr>
        <w:numPr>
          <w:ilvl w:val="0"/>
          <w:numId w:val="6"/>
        </w:numPr>
        <w:spacing w:after="200" w:line="240" w:lineRule="auto"/>
        <w:ind w:left="502" w:firstLine="709"/>
        <w:contextualSpacing/>
        <w:jc w:val="both"/>
        <w:divId w:val="86775812"/>
        <w:rPr>
          <w:rFonts w:ascii="Lato" w:eastAsiaTheme="minorHAnsi" w:hAnsi="Lato" w:cs="Arial"/>
          <w:sz w:val="20"/>
          <w:szCs w:val="20"/>
          <w:lang w:eastAsia="en-US"/>
        </w:rPr>
      </w:pPr>
      <w:r w:rsidRPr="00EB63BB">
        <w:rPr>
          <w:rFonts w:ascii="Lato" w:eastAsiaTheme="minorHAnsi" w:hAnsi="Lato" w:cs="Arial"/>
          <w:sz w:val="20"/>
          <w:szCs w:val="20"/>
          <w:lang w:eastAsia="en-US"/>
        </w:rPr>
        <w:t>Respecto a cuentas contables distintas a Bancos, se ha concluido la depuración de aquellas que datan del ejercicio 2002 y cuyo importe corresponde a las de mayor relevancia:</w:t>
      </w:r>
    </w:p>
    <w:p w:rsidR="00353846" w:rsidRPr="00EB63BB" w:rsidRDefault="00353846" w:rsidP="00353846">
      <w:pPr>
        <w:numPr>
          <w:ilvl w:val="0"/>
          <w:numId w:val="5"/>
        </w:numPr>
        <w:spacing w:after="200" w:line="240" w:lineRule="auto"/>
        <w:ind w:firstLine="709"/>
        <w:contextualSpacing/>
        <w:jc w:val="both"/>
        <w:divId w:val="86775812"/>
        <w:rPr>
          <w:rFonts w:ascii="Lato" w:eastAsiaTheme="minorHAnsi" w:hAnsi="Lato" w:cs="Arial"/>
          <w:sz w:val="20"/>
          <w:szCs w:val="20"/>
          <w:lang w:eastAsia="en-US"/>
        </w:rPr>
      </w:pPr>
      <w:r w:rsidRPr="00EB63BB">
        <w:rPr>
          <w:rFonts w:ascii="Lato" w:eastAsiaTheme="minorHAnsi" w:hAnsi="Lato" w:cs="Arial"/>
          <w:sz w:val="20"/>
          <w:szCs w:val="20"/>
          <w:lang w:eastAsia="en-US"/>
        </w:rPr>
        <w:t>Se ha logrado concluir con la integración y depuración del saldo de la cuenta de Construcciones en Proceso, de administraciones anteriores, la mayor parte del saldo que actualmente presenta la cuenta de construcciones en proceso, corresponden a proyectos recientes estando a la espera de recibir la documentación para el registro de la conclusión.</w:t>
      </w:r>
    </w:p>
    <w:p w:rsidR="00353846" w:rsidRPr="00EB63BB" w:rsidRDefault="00353846" w:rsidP="00353846">
      <w:pPr>
        <w:numPr>
          <w:ilvl w:val="0"/>
          <w:numId w:val="5"/>
        </w:numPr>
        <w:spacing w:after="200" w:line="240" w:lineRule="auto"/>
        <w:ind w:firstLine="709"/>
        <w:contextualSpacing/>
        <w:jc w:val="both"/>
        <w:divId w:val="86775812"/>
        <w:rPr>
          <w:rFonts w:ascii="Lato" w:eastAsiaTheme="minorHAnsi" w:hAnsi="Lato" w:cs="Arial"/>
          <w:sz w:val="20"/>
          <w:szCs w:val="20"/>
          <w:lang w:eastAsia="en-US"/>
        </w:rPr>
      </w:pPr>
      <w:r w:rsidRPr="00EB63BB">
        <w:rPr>
          <w:rFonts w:ascii="Lato" w:eastAsiaTheme="minorHAnsi" w:hAnsi="Lato" w:cs="Arial"/>
          <w:sz w:val="20"/>
          <w:szCs w:val="20"/>
          <w:lang w:eastAsia="en-US"/>
        </w:rPr>
        <w:t>Kantunil Cancún. Inversiones financieras a Largo Plazo, igualmente se realizaron indagaciones ante instancias externas con la finalidad de obtener información, de las aportaciones realizadas a las empresas, fideicomisos y fondos que integran el saldo, así como información sobre si permanecen en funciones, se realizaron los registros de las 2 respuestas obtenidas por un monto 11.2 mdp   y del resto continua en indagación con distintas instancias.</w:t>
      </w:r>
    </w:p>
    <w:p w:rsidR="00353846" w:rsidRPr="00EB63BB" w:rsidRDefault="00353846" w:rsidP="00353846">
      <w:pPr>
        <w:numPr>
          <w:ilvl w:val="0"/>
          <w:numId w:val="5"/>
        </w:numPr>
        <w:spacing w:after="0" w:line="240" w:lineRule="auto"/>
        <w:ind w:firstLine="709"/>
        <w:contextualSpacing/>
        <w:jc w:val="both"/>
        <w:divId w:val="86775812"/>
        <w:rPr>
          <w:rFonts w:ascii="Lato" w:eastAsiaTheme="minorHAnsi" w:hAnsi="Lato" w:cs="Arial"/>
          <w:sz w:val="20"/>
          <w:szCs w:val="20"/>
          <w:lang w:eastAsia="en-US"/>
        </w:rPr>
      </w:pPr>
      <w:r w:rsidRPr="00EB63BB">
        <w:rPr>
          <w:rFonts w:ascii="Lato" w:eastAsiaTheme="minorHAnsi" w:hAnsi="Lato" w:cs="Arial"/>
          <w:sz w:val="20"/>
          <w:szCs w:val="20"/>
          <w:lang w:eastAsia="en-US"/>
        </w:rPr>
        <w:t>Se concluyó la depuración de cuentas que integran el pasivo como: Fonacot, Acreedores Diversos, así mismo se realizó el análisis del saldo de la cuenta de la Hacienda Pública.</w:t>
      </w:r>
    </w:p>
    <w:p w:rsidR="00353846" w:rsidRPr="00EB63BB" w:rsidRDefault="00353846" w:rsidP="00353846">
      <w:pPr>
        <w:spacing w:after="200" w:line="240" w:lineRule="auto"/>
        <w:ind w:left="720" w:firstLine="709"/>
        <w:contextualSpacing/>
        <w:jc w:val="both"/>
        <w:divId w:val="86775812"/>
        <w:rPr>
          <w:rFonts w:ascii="Lato" w:eastAsiaTheme="minorHAnsi" w:hAnsi="Lato" w:cs="Arial"/>
          <w:b/>
          <w:sz w:val="20"/>
          <w:szCs w:val="20"/>
          <w:lang w:eastAsia="en-US"/>
        </w:rPr>
      </w:pPr>
    </w:p>
    <w:p w:rsidR="00353846" w:rsidRPr="00EB63BB" w:rsidRDefault="00353846" w:rsidP="00353846">
      <w:pPr>
        <w:spacing w:after="200" w:line="240" w:lineRule="auto"/>
        <w:ind w:left="720" w:firstLine="709"/>
        <w:contextualSpacing/>
        <w:jc w:val="both"/>
        <w:divId w:val="86775812"/>
        <w:rPr>
          <w:rFonts w:ascii="Lato" w:eastAsiaTheme="minorHAnsi" w:hAnsi="Lato" w:cs="Arial"/>
          <w:b/>
          <w:sz w:val="20"/>
          <w:szCs w:val="20"/>
          <w:lang w:eastAsia="en-US"/>
        </w:rPr>
      </w:pPr>
      <w:r w:rsidRPr="00EB63BB">
        <w:rPr>
          <w:rFonts w:ascii="Lato" w:eastAsiaTheme="minorHAnsi" w:hAnsi="Lato" w:cs="Arial"/>
          <w:b/>
          <w:sz w:val="20"/>
          <w:szCs w:val="20"/>
          <w:lang w:eastAsia="en-US"/>
        </w:rPr>
        <w:t xml:space="preserve">MEJORAS EN REGISTROS DEL PATRIMONIO </w:t>
      </w:r>
    </w:p>
    <w:p w:rsidR="00353846" w:rsidRPr="00EB63BB" w:rsidRDefault="00353846" w:rsidP="00353846">
      <w:pPr>
        <w:numPr>
          <w:ilvl w:val="0"/>
          <w:numId w:val="6"/>
        </w:numPr>
        <w:spacing w:after="200" w:line="240" w:lineRule="auto"/>
        <w:ind w:left="502" w:firstLine="709"/>
        <w:contextualSpacing/>
        <w:jc w:val="both"/>
        <w:divId w:val="86775812"/>
        <w:rPr>
          <w:rFonts w:ascii="Lato" w:eastAsiaTheme="minorHAnsi" w:hAnsi="Lato" w:cs="Arial"/>
          <w:sz w:val="20"/>
          <w:szCs w:val="20"/>
          <w:lang w:eastAsia="en-US"/>
        </w:rPr>
      </w:pPr>
      <w:r w:rsidRPr="00EB63BB">
        <w:rPr>
          <w:rFonts w:ascii="Lato" w:eastAsiaTheme="minorHAnsi" w:hAnsi="Lato" w:cs="Arial"/>
          <w:sz w:val="20"/>
          <w:szCs w:val="20"/>
          <w:lang w:eastAsia="en-US"/>
        </w:rPr>
        <w:t>En el proceso de conciliación de los saldos contables por familia de los bienes muebles, se esta integrando la información en patrimonio y contabilidad de la Secretaría de Educación, debido a que en el Sistema Integral del Gobierno del Estado de Yucatán no se encuentra la información de los bienes muebles de las escuelas de la Secretaría de Educación, que se controlan y registran en un sistema propio de la Secretaría de Educación y cuyas altas y bajas de bienes muebles de escuelas se integran al sistema de contabilidad por medio de registro manual, la Secretaría de Educación realizó gestiones solicitando que los reportes de bienes muebles que se generan de su sistema se reconozcan y adicionen a los reportes del Sistema de Control Patrimonial para realizar la integración de los bienes muebles.</w:t>
      </w:r>
    </w:p>
    <w:p w:rsidR="00353846" w:rsidRPr="00EB63BB" w:rsidRDefault="00353846" w:rsidP="00353846">
      <w:pPr>
        <w:spacing w:after="200" w:line="240" w:lineRule="auto"/>
        <w:ind w:left="502" w:firstLine="709"/>
        <w:contextualSpacing/>
        <w:jc w:val="both"/>
        <w:divId w:val="86775812"/>
        <w:rPr>
          <w:rFonts w:ascii="Lato" w:eastAsiaTheme="minorHAnsi" w:hAnsi="Lato" w:cs="Arial"/>
          <w:sz w:val="20"/>
          <w:szCs w:val="20"/>
          <w:lang w:eastAsia="en-US"/>
        </w:rPr>
      </w:pPr>
    </w:p>
    <w:p w:rsidR="00353846" w:rsidRPr="00EB63BB" w:rsidRDefault="00353846" w:rsidP="00353846">
      <w:pPr>
        <w:numPr>
          <w:ilvl w:val="0"/>
          <w:numId w:val="6"/>
        </w:numPr>
        <w:spacing w:after="0" w:line="240" w:lineRule="auto"/>
        <w:ind w:left="502" w:firstLine="709"/>
        <w:contextualSpacing/>
        <w:jc w:val="both"/>
        <w:divId w:val="86775812"/>
        <w:rPr>
          <w:rFonts w:ascii="Lato" w:eastAsiaTheme="minorHAnsi" w:hAnsi="Lato" w:cs="Arial"/>
          <w:sz w:val="20"/>
          <w:szCs w:val="20"/>
          <w:lang w:eastAsia="en-US"/>
        </w:rPr>
      </w:pPr>
      <w:r w:rsidRPr="00EB63BB">
        <w:rPr>
          <w:rFonts w:ascii="Lato" w:eastAsiaTheme="minorHAnsi" w:hAnsi="Lato" w:cs="Arial"/>
          <w:sz w:val="20"/>
          <w:szCs w:val="20"/>
          <w:lang w:eastAsia="en-US"/>
        </w:rPr>
        <w:t>En el mes de junio de 2024 se inició el uso del módulo de Almacenes, en el sistema integral.  Los ejecutores del gasto que tengan almacenes con existencia de materiales y suministros de consumo para el desempeño de sus actividades, para dar cumplimiento a la normatividad establecida por la Dirección General de Control Patrimonial, Inmobiliario y Almacenes.</w:t>
      </w:r>
    </w:p>
    <w:p w:rsidR="00353846" w:rsidRPr="00EB63BB" w:rsidRDefault="00353846" w:rsidP="00353846">
      <w:pPr>
        <w:spacing w:after="0" w:line="240" w:lineRule="auto"/>
        <w:ind w:left="720" w:firstLine="709"/>
        <w:contextualSpacing/>
        <w:jc w:val="both"/>
        <w:divId w:val="86775812"/>
        <w:rPr>
          <w:rFonts w:ascii="Lato" w:eastAsiaTheme="minorHAnsi" w:hAnsi="Lato" w:cs="Arial"/>
          <w:sz w:val="20"/>
          <w:szCs w:val="20"/>
          <w:lang w:eastAsia="en-US"/>
        </w:rPr>
      </w:pPr>
    </w:p>
    <w:p w:rsidR="00353846" w:rsidRPr="00EB63BB" w:rsidRDefault="00353846" w:rsidP="00353846">
      <w:pPr>
        <w:pStyle w:val="Prrafodelista"/>
        <w:numPr>
          <w:ilvl w:val="0"/>
          <w:numId w:val="6"/>
        </w:numPr>
        <w:spacing w:after="200"/>
        <w:ind w:left="1701"/>
        <w:jc w:val="both"/>
        <w:divId w:val="86775812"/>
        <w:rPr>
          <w:rFonts w:ascii="Lato" w:hAnsi="Lato" w:cs="Arial"/>
          <w:b/>
          <w:sz w:val="20"/>
          <w:szCs w:val="20"/>
        </w:rPr>
      </w:pPr>
      <w:r w:rsidRPr="00EB63BB">
        <w:rPr>
          <w:rFonts w:ascii="Lato" w:hAnsi="Lato" w:cs="Arial"/>
          <w:b/>
          <w:sz w:val="20"/>
          <w:szCs w:val="20"/>
        </w:rPr>
        <w:t xml:space="preserve">DEL GASTO DE INVERSION Y DE LAS APORTACIONES. </w:t>
      </w:r>
    </w:p>
    <w:p w:rsidR="00353846" w:rsidRPr="00EB63BB" w:rsidRDefault="00353846" w:rsidP="00353846">
      <w:pPr>
        <w:spacing w:after="200" w:line="240" w:lineRule="auto"/>
        <w:ind w:left="502" w:firstLine="709"/>
        <w:contextualSpacing/>
        <w:jc w:val="both"/>
        <w:divId w:val="86775812"/>
        <w:rPr>
          <w:rFonts w:ascii="Lato" w:eastAsiaTheme="minorHAnsi" w:hAnsi="Lato" w:cs="Arial"/>
          <w:sz w:val="20"/>
          <w:szCs w:val="20"/>
          <w:lang w:eastAsia="en-US"/>
        </w:rPr>
      </w:pPr>
      <w:r w:rsidRPr="00EB63BB">
        <w:rPr>
          <w:rFonts w:ascii="Lato" w:eastAsiaTheme="minorHAnsi" w:hAnsi="Lato" w:cs="Arial"/>
          <w:sz w:val="20"/>
          <w:szCs w:val="20"/>
          <w:lang w:eastAsia="en-US"/>
        </w:rPr>
        <w:t>Debido a que se identificaron áreas de oportunidad en los registros de las aportaciones de capital realizadas a las empresas de participación mayoritaria estatal, se procedió a la integración, depuración y conciliación de la totalidad del saldo de la cuenta. Resultado de la depuración se advirtió que en los casos del Aeropuerto de Chichen Itzá, S.A. de C.V. y del Sistema Tele Yucatán de C.V., empresas de participación mayoritaria estatal, las aportaciones realizadas en años anteriores, se encontraban registradas parcialmente en Participaciones y Aportaciones de Capital.</w:t>
      </w:r>
    </w:p>
    <w:p w:rsidR="00353846" w:rsidRPr="00EB63BB" w:rsidRDefault="00353846" w:rsidP="0035743F">
      <w:pPr>
        <w:spacing w:after="200" w:line="240" w:lineRule="auto"/>
        <w:ind w:left="502" w:firstLine="709"/>
        <w:contextualSpacing/>
        <w:jc w:val="both"/>
        <w:divId w:val="86775812"/>
        <w:rPr>
          <w:rFonts w:ascii="Lato" w:eastAsiaTheme="minorHAnsi" w:hAnsi="Lato" w:cs="Arial"/>
          <w:sz w:val="20"/>
          <w:szCs w:val="20"/>
          <w:lang w:eastAsia="en-US"/>
        </w:rPr>
      </w:pPr>
      <w:r w:rsidRPr="00EB63BB">
        <w:rPr>
          <w:rFonts w:ascii="Lato" w:eastAsiaTheme="minorHAnsi" w:hAnsi="Lato" w:cs="Arial"/>
          <w:sz w:val="20"/>
          <w:szCs w:val="20"/>
          <w:lang w:eastAsia="en-US"/>
        </w:rPr>
        <w:t xml:space="preserve"> Se realizaron aportaciones a la empresa Aeropuerto de Chichen Itzá, S.A. de C.V. por un importe de $1.6 mdp durante el ejercicio 2020 y durante los ejercicios 2021, 2022 y 2023 se aportaron $1.1 mdp en cada uno de los años, en los ejercicios 2024 y 2025 se </w:t>
      </w:r>
      <w:r w:rsidRPr="00EB63BB">
        <w:rPr>
          <w:rFonts w:ascii="Lato" w:eastAsiaTheme="minorHAnsi" w:hAnsi="Lato" w:cs="Arial"/>
          <w:sz w:val="20"/>
          <w:szCs w:val="20"/>
          <w:lang w:eastAsia="en-US"/>
        </w:rPr>
        <w:lastRenderedPageBreak/>
        <w:t>aportaron $1.3 mdp, durante el presente ejercicio se</w:t>
      </w:r>
      <w:r w:rsidR="0035743F" w:rsidRPr="00EB63BB">
        <w:rPr>
          <w:rFonts w:ascii="Lato" w:eastAsiaTheme="minorHAnsi" w:hAnsi="Lato" w:cs="Arial"/>
          <w:sz w:val="20"/>
          <w:szCs w:val="20"/>
          <w:lang w:eastAsia="en-US"/>
        </w:rPr>
        <w:t xml:space="preserve"> han aportado $ .6</w:t>
      </w:r>
      <w:r w:rsidRPr="00EB63BB">
        <w:rPr>
          <w:rFonts w:ascii="Lato" w:eastAsiaTheme="minorHAnsi" w:hAnsi="Lato" w:cs="Arial"/>
          <w:sz w:val="20"/>
          <w:szCs w:val="20"/>
          <w:lang w:eastAsia="en-US"/>
        </w:rPr>
        <w:t xml:space="preserve">mdp, aportaciones para incrementar el capital, el total de las aportaciones se encuentran pendientes de formalizar. </w:t>
      </w:r>
    </w:p>
    <w:p w:rsidR="00353846" w:rsidRPr="00EB63BB" w:rsidRDefault="00353846" w:rsidP="00353846">
      <w:pPr>
        <w:spacing w:after="200" w:line="240" w:lineRule="auto"/>
        <w:ind w:left="567" w:firstLine="709"/>
        <w:jc w:val="both"/>
        <w:divId w:val="86775812"/>
        <w:rPr>
          <w:rFonts w:ascii="Lato" w:hAnsi="Lato" w:cs="Arial"/>
          <w:sz w:val="20"/>
          <w:szCs w:val="20"/>
        </w:rPr>
      </w:pPr>
      <w:r w:rsidRPr="00EB63BB">
        <w:rPr>
          <w:rFonts w:ascii="Lato" w:hAnsi="Lato" w:cs="Arial"/>
          <w:sz w:val="20"/>
          <w:szCs w:val="20"/>
        </w:rPr>
        <w:t xml:space="preserve"> A la empresa Portuaria Yucateca, SA de CV, durante el ejercicio 2021 se le aportaron $560,000.00. para incremento de su capital, con lo aportado originalmente, hacen un total de 6.1 md. en proceso de suscripción.</w:t>
      </w:r>
    </w:p>
    <w:p w:rsidR="00353846" w:rsidRPr="00EB63BB" w:rsidRDefault="00353846" w:rsidP="00353846">
      <w:pPr>
        <w:spacing w:after="200" w:line="240" w:lineRule="auto"/>
        <w:ind w:left="567" w:firstLine="709"/>
        <w:jc w:val="both"/>
        <w:divId w:val="86775812"/>
        <w:rPr>
          <w:rFonts w:ascii="Lato" w:hAnsi="Lato" w:cs="Arial"/>
          <w:sz w:val="20"/>
          <w:szCs w:val="20"/>
        </w:rPr>
      </w:pPr>
      <w:r w:rsidRPr="00EB63BB">
        <w:rPr>
          <w:rFonts w:ascii="Lato" w:hAnsi="Lato" w:cs="Arial"/>
          <w:sz w:val="20"/>
          <w:szCs w:val="20"/>
        </w:rPr>
        <w:t>Se ha realizadó una aportación al capital a la Operadora Energética y Maritima de Yucatán, S.A. de C.V. por la cantidad de $255,000.00</w:t>
      </w:r>
    </w:p>
    <w:p w:rsidR="00353846" w:rsidRPr="00EB63BB" w:rsidRDefault="00353846" w:rsidP="00353846">
      <w:pPr>
        <w:spacing w:after="200" w:line="240" w:lineRule="auto"/>
        <w:ind w:left="567" w:firstLine="709"/>
        <w:jc w:val="both"/>
        <w:divId w:val="86775812"/>
        <w:rPr>
          <w:rFonts w:ascii="Lato" w:hAnsi="Lato" w:cs="Arial"/>
          <w:sz w:val="20"/>
          <w:szCs w:val="20"/>
        </w:rPr>
      </w:pPr>
      <w:r w:rsidRPr="00EB63BB">
        <w:rPr>
          <w:rFonts w:ascii="Lato" w:hAnsi="Lato" w:cs="Arial"/>
          <w:sz w:val="20"/>
          <w:szCs w:val="20"/>
        </w:rPr>
        <w:tab/>
        <w:t xml:space="preserve">Por su parte en el rubro de Fideicomisos, desde el ejercicio de 2014 la Secretaría de Administración y Finanzas refleja en la contabilidad del Poder Ejecutivo los importes de los Fideicomisos sin estructura orgánica como una medida de control respecto a la transparencia y rendición de cuentas; con independencia del tipo de ente público que lo controla, ya sean Dependencias Centralizadas, Organismos Autónomos o Paraestatales. </w:t>
      </w:r>
    </w:p>
    <w:p w:rsidR="00353846" w:rsidRPr="00EB63BB" w:rsidRDefault="00353846" w:rsidP="00353846">
      <w:pPr>
        <w:spacing w:after="200" w:line="240" w:lineRule="auto"/>
        <w:ind w:left="567" w:firstLine="709"/>
        <w:jc w:val="both"/>
        <w:divId w:val="86775812"/>
        <w:rPr>
          <w:rFonts w:ascii="Lato" w:hAnsi="Lato" w:cs="Arial"/>
          <w:sz w:val="20"/>
          <w:szCs w:val="20"/>
        </w:rPr>
      </w:pPr>
      <w:r w:rsidRPr="00EB63BB">
        <w:rPr>
          <w:rFonts w:ascii="Lato" w:hAnsi="Lato" w:cs="Arial"/>
          <w:sz w:val="20"/>
          <w:szCs w:val="20"/>
        </w:rPr>
        <w:t xml:space="preserve">Sin embargo, durante el ejercicio 2023 se realizó una revisión integral de forma interna, ubicando que una de las principales áreas de oportunidad radica en que ahora se tiene que realizar la distinción del ente público que lo controla. </w:t>
      </w:r>
    </w:p>
    <w:p w:rsidR="00353846" w:rsidRPr="00EB63BB" w:rsidRDefault="00353846" w:rsidP="00353846">
      <w:pPr>
        <w:spacing w:after="200" w:line="240" w:lineRule="auto"/>
        <w:ind w:left="567" w:firstLine="709"/>
        <w:jc w:val="both"/>
        <w:divId w:val="86775812"/>
        <w:rPr>
          <w:rFonts w:ascii="Lato" w:hAnsi="Lato" w:cs="Arial"/>
          <w:sz w:val="20"/>
          <w:szCs w:val="20"/>
        </w:rPr>
      </w:pPr>
      <w:r w:rsidRPr="00EB63BB">
        <w:rPr>
          <w:rFonts w:ascii="Lato" w:hAnsi="Lato" w:cs="Arial"/>
          <w:sz w:val="20"/>
          <w:szCs w:val="20"/>
        </w:rPr>
        <w:t xml:space="preserve">Con base en lo anterior, se tiene conocimiento de 3 modalidades de fideicomisos conforme a la clasificación del ente público que lo controla, que son los siguientes: </w:t>
      </w:r>
    </w:p>
    <w:p w:rsidR="00353846" w:rsidRPr="00EB63BB" w:rsidRDefault="00353846" w:rsidP="00353846">
      <w:pPr>
        <w:spacing w:after="200" w:line="240" w:lineRule="auto"/>
        <w:ind w:left="567" w:firstLine="709"/>
        <w:jc w:val="both"/>
        <w:divId w:val="86775812"/>
        <w:rPr>
          <w:rFonts w:ascii="Lato" w:hAnsi="Lato" w:cs="Arial"/>
          <w:sz w:val="20"/>
          <w:szCs w:val="20"/>
        </w:rPr>
      </w:pPr>
      <w:r w:rsidRPr="00EB63BB">
        <w:rPr>
          <w:rFonts w:ascii="Lato" w:hAnsi="Lato" w:cs="Arial"/>
          <w:sz w:val="20"/>
          <w:szCs w:val="20"/>
        </w:rPr>
        <w:t xml:space="preserve">a) Tratándose de los fideicomisos que corresponden a la Secretaría de Administración y Finanzas, estos tienen cierto impacto tanto en los ingresos como en los egresos; por lo que, se elaboró un procedimiento con la finalidad de estandarizar los registros y delimitar las acciones entre las áreas de Deuda Pública y la Dirección de Consolidación de la Información Financiera. </w:t>
      </w:r>
    </w:p>
    <w:p w:rsidR="00353846" w:rsidRPr="00EB63BB" w:rsidRDefault="00353846" w:rsidP="00353846">
      <w:pPr>
        <w:spacing w:line="240" w:lineRule="auto"/>
        <w:ind w:left="567" w:firstLine="709"/>
        <w:jc w:val="both"/>
        <w:divId w:val="86775812"/>
        <w:rPr>
          <w:rFonts w:ascii="Lato" w:hAnsi="Lato" w:cs="Arial"/>
          <w:sz w:val="20"/>
          <w:szCs w:val="20"/>
        </w:rPr>
      </w:pPr>
      <w:r w:rsidRPr="00EB63BB">
        <w:rPr>
          <w:rFonts w:ascii="Lato" w:hAnsi="Lato" w:cs="Arial"/>
          <w:sz w:val="20"/>
          <w:szCs w:val="20"/>
        </w:rPr>
        <w:t xml:space="preserve">b) En el caso de los fideicomisos de las Dependencias Centralizadas, con base en un comunicado oficial realizado por los directores administrativos, se realizan registros que derivan en un efecto neto, pero faltando el registro especifico de los ingresos que reciban por vías distintas de la Secretaría de Administración y Finanzas, así como gastos y productos financieros que se hubieran generado. </w:t>
      </w:r>
    </w:p>
    <w:p w:rsidR="00353846" w:rsidRPr="00EB63BB" w:rsidRDefault="00353846" w:rsidP="00353846">
      <w:pPr>
        <w:spacing w:line="240" w:lineRule="auto"/>
        <w:ind w:left="567" w:firstLine="709"/>
        <w:jc w:val="both"/>
        <w:divId w:val="86775812"/>
        <w:rPr>
          <w:rFonts w:ascii="Lato" w:hAnsi="Lato" w:cs="Arial"/>
          <w:sz w:val="20"/>
          <w:szCs w:val="20"/>
        </w:rPr>
      </w:pPr>
      <w:r w:rsidRPr="00EB63BB">
        <w:rPr>
          <w:rFonts w:ascii="Lato" w:hAnsi="Lato" w:cs="Arial"/>
          <w:sz w:val="20"/>
          <w:szCs w:val="20"/>
        </w:rPr>
        <w:t>c) En el caso de los fideicomisos que corresponden a Organismos Autónomos y Paraestatales, estos no deberían presentarse en la contabilidad del Ejecutivo, lo anterior de conformidad con lo establecido en los lineamientos emitidos por el CONAC; en el ejercicio 2025 se realizaron los ajustes, para que estos fideicomisos no formen parte de los Estados Financieros del sector centralizado del Poder Ejecutivo.</w:t>
      </w:r>
    </w:p>
    <w:p w:rsidR="00353846" w:rsidRPr="00EB63BB" w:rsidRDefault="00353846" w:rsidP="00353846">
      <w:pPr>
        <w:spacing w:after="200" w:line="240" w:lineRule="auto"/>
        <w:ind w:left="567" w:firstLine="709"/>
        <w:jc w:val="both"/>
        <w:divId w:val="86775812"/>
        <w:rPr>
          <w:rFonts w:ascii="Lato" w:hAnsi="Lato" w:cs="Arial"/>
          <w:sz w:val="20"/>
          <w:szCs w:val="20"/>
        </w:rPr>
      </w:pPr>
      <w:r w:rsidRPr="00EB63BB">
        <w:rPr>
          <w:rFonts w:ascii="Lato" w:hAnsi="Lato" w:cs="Arial"/>
          <w:sz w:val="20"/>
          <w:szCs w:val="20"/>
        </w:rPr>
        <w:tab/>
        <w:t xml:space="preserve">En caso específico del Fideicomiso para el desarrollo regional del Sur Sureste FIDESUR, formamos parte del Fideicomiso, en el que participan diversos estados de la región, en el ejercicio 2025 se conlcuyó su extinción. </w:t>
      </w:r>
    </w:p>
    <w:p w:rsidR="00353846" w:rsidRPr="00EB63BB" w:rsidRDefault="00353846" w:rsidP="00353846">
      <w:pPr>
        <w:spacing w:after="200" w:line="240" w:lineRule="auto"/>
        <w:ind w:left="567" w:firstLine="709"/>
        <w:jc w:val="both"/>
        <w:divId w:val="86775812"/>
        <w:rPr>
          <w:rFonts w:ascii="Lato" w:hAnsi="Lato" w:cs="Arial"/>
          <w:sz w:val="20"/>
          <w:szCs w:val="20"/>
        </w:rPr>
      </w:pPr>
      <w:r w:rsidRPr="00EB63BB">
        <w:rPr>
          <w:rFonts w:ascii="Lato" w:hAnsi="Lato" w:cs="Arial"/>
          <w:sz w:val="20"/>
          <w:szCs w:val="20"/>
        </w:rPr>
        <w:t>Las cifras del Sector Centralizado del Poder Ejecutivo del Estado de Yucatán, que se presentan en los Estados Financieros y en estas notas que son parte integrante de los mismos, son cifras previas de la Cuenta Pública 2026.</w:t>
      </w:r>
    </w:p>
    <w:p w:rsidR="00353846" w:rsidRPr="00EB63BB" w:rsidRDefault="00353846" w:rsidP="00353846">
      <w:pPr>
        <w:divId w:val="86775812"/>
        <w:rPr>
          <w:rStyle w:val="Textoennegrita"/>
          <w:rFonts w:ascii="Lato" w:eastAsia="Times New Roman" w:hAnsi="Lato"/>
          <w:sz w:val="20"/>
          <w:szCs w:val="20"/>
        </w:rPr>
      </w:pPr>
      <w:r w:rsidRPr="00EB63BB">
        <w:rPr>
          <w:rFonts w:ascii="Lato" w:eastAsiaTheme="minorHAnsi" w:hAnsi="Lato" w:cs="Arial"/>
          <w:sz w:val="20"/>
          <w:szCs w:val="20"/>
          <w:lang w:eastAsia="en-US"/>
        </w:rPr>
        <w:lastRenderedPageBreak/>
        <w:t>En lo que respecta a la plataforma administrativa del Gobierno del Estado, se continúa en la etapa de implementación de nuevos módulos al Sistema integral de Gestión Gubernamental, con el fin de continuar con la transición del sistema.</w:t>
      </w:r>
    </w:p>
    <w:p w:rsidR="00DF0B8D" w:rsidRPr="00EB63BB" w:rsidRDefault="00DF0B8D">
      <w:pPr>
        <w:divId w:val="86775812"/>
        <w:rPr>
          <w:rFonts w:ascii="Lato" w:eastAsia="Times New Roman" w:hAnsi="Lato"/>
          <w:sz w:val="20"/>
          <w:szCs w:val="20"/>
        </w:rPr>
      </w:pPr>
    </w:p>
    <w:p w:rsidR="00B027B5" w:rsidRPr="00EB63BB" w:rsidRDefault="00642EB6">
      <w:pPr>
        <w:divId w:val="360130350"/>
        <w:rPr>
          <w:rFonts w:ascii="Lato" w:eastAsia="Times New Roman" w:hAnsi="Lato"/>
          <w:sz w:val="20"/>
          <w:szCs w:val="20"/>
        </w:rPr>
      </w:pPr>
      <w:r w:rsidRPr="00EB63BB">
        <w:rPr>
          <w:rStyle w:val="Textoennegrita"/>
          <w:rFonts w:ascii="Lato" w:eastAsia="Times New Roman" w:hAnsi="Lato"/>
          <w:sz w:val="20"/>
          <w:szCs w:val="20"/>
        </w:rPr>
        <w:t>13.- Información por Segmentos, No aplica.</w:t>
      </w:r>
    </w:p>
    <w:p w:rsidR="00B027B5" w:rsidRPr="00EB63BB" w:rsidRDefault="00B027B5">
      <w:pPr>
        <w:divId w:val="335158689"/>
        <w:rPr>
          <w:rFonts w:ascii="Lato" w:eastAsia="Times New Roman" w:hAnsi="Lato"/>
          <w:sz w:val="20"/>
          <w:szCs w:val="20"/>
        </w:rPr>
      </w:pPr>
    </w:p>
    <w:p w:rsidR="00B027B5" w:rsidRPr="00EB63BB" w:rsidRDefault="00642EB6">
      <w:pPr>
        <w:divId w:val="869801271"/>
        <w:rPr>
          <w:rFonts w:ascii="Lato" w:eastAsia="Times New Roman" w:hAnsi="Lato"/>
          <w:sz w:val="20"/>
          <w:szCs w:val="20"/>
        </w:rPr>
      </w:pPr>
      <w:r w:rsidRPr="00EB63BB">
        <w:rPr>
          <w:rStyle w:val="Textoennegrita"/>
          <w:rFonts w:ascii="Lato" w:eastAsia="Times New Roman" w:hAnsi="Lato"/>
          <w:sz w:val="20"/>
          <w:szCs w:val="20"/>
        </w:rPr>
        <w:t>14.- Eventos Posteriores. No aplica.</w:t>
      </w:r>
    </w:p>
    <w:p w:rsidR="00B027B5" w:rsidRPr="00EB63BB" w:rsidRDefault="00B027B5">
      <w:pPr>
        <w:divId w:val="1548644184"/>
        <w:rPr>
          <w:rFonts w:ascii="Lato" w:eastAsia="Times New Roman" w:hAnsi="Lato"/>
          <w:sz w:val="20"/>
          <w:szCs w:val="20"/>
        </w:rPr>
      </w:pPr>
    </w:p>
    <w:p w:rsidR="00B027B5" w:rsidRPr="00EB63BB" w:rsidRDefault="00642EB6">
      <w:pPr>
        <w:divId w:val="1005206785"/>
        <w:rPr>
          <w:rFonts w:ascii="Lato" w:eastAsia="Times New Roman" w:hAnsi="Lato"/>
          <w:sz w:val="20"/>
          <w:szCs w:val="20"/>
        </w:rPr>
      </w:pPr>
      <w:r w:rsidRPr="00EB63BB">
        <w:rPr>
          <w:rStyle w:val="Textoennegrita"/>
          <w:rFonts w:ascii="Lato" w:eastAsia="Times New Roman" w:hAnsi="Lato"/>
          <w:sz w:val="20"/>
          <w:szCs w:val="20"/>
        </w:rPr>
        <w:t>15.- Partes Relacionadas, No aplica.</w:t>
      </w:r>
    </w:p>
    <w:p w:rsidR="00B027B5" w:rsidRPr="00EB63BB" w:rsidRDefault="00B027B5">
      <w:pPr>
        <w:divId w:val="1894077129"/>
        <w:rPr>
          <w:rFonts w:ascii="Lato" w:eastAsia="Times New Roman" w:hAnsi="Lato"/>
          <w:sz w:val="20"/>
          <w:szCs w:val="20"/>
        </w:rPr>
      </w:pPr>
    </w:p>
    <w:p w:rsidR="00B027B5" w:rsidRPr="00EB63BB" w:rsidRDefault="00642EB6">
      <w:pPr>
        <w:divId w:val="298460995"/>
        <w:rPr>
          <w:rFonts w:ascii="Lato" w:eastAsia="Times New Roman" w:hAnsi="Lato"/>
          <w:sz w:val="20"/>
          <w:szCs w:val="20"/>
        </w:rPr>
      </w:pPr>
      <w:r w:rsidRPr="00EB63BB">
        <w:rPr>
          <w:rStyle w:val="Textoennegrita"/>
          <w:rFonts w:ascii="Lato" w:eastAsia="Times New Roman" w:hAnsi="Lato"/>
          <w:sz w:val="20"/>
          <w:szCs w:val="20"/>
        </w:rPr>
        <w:t>B) NOTAS DE DESGLOCE</w:t>
      </w:r>
    </w:p>
    <w:p w:rsidR="00B027B5" w:rsidRPr="00EB63BB" w:rsidRDefault="00642EB6">
      <w:pPr>
        <w:divId w:val="1328557285"/>
        <w:rPr>
          <w:rFonts w:ascii="Lato" w:eastAsia="Times New Roman" w:hAnsi="Lato"/>
          <w:sz w:val="20"/>
          <w:szCs w:val="20"/>
        </w:rPr>
      </w:pPr>
      <w:r w:rsidRPr="00EB63BB">
        <w:rPr>
          <w:rStyle w:val="Textoennegrita"/>
          <w:rFonts w:ascii="Lato" w:eastAsia="Times New Roman" w:hAnsi="Lato"/>
          <w:sz w:val="20"/>
          <w:szCs w:val="20"/>
        </w:rPr>
        <w:t>I) NOTAS AL ESTADO DE ACTIVIDADES</w:t>
      </w:r>
    </w:p>
    <w:p w:rsidR="00B027B5" w:rsidRPr="00EB63BB" w:rsidRDefault="00642EB6">
      <w:pPr>
        <w:divId w:val="1822311813"/>
        <w:rPr>
          <w:rFonts w:ascii="Lato" w:eastAsia="Times New Roman" w:hAnsi="Lato"/>
          <w:sz w:val="20"/>
          <w:szCs w:val="20"/>
        </w:rPr>
      </w:pPr>
      <w:r w:rsidRPr="00EB63BB">
        <w:rPr>
          <w:rStyle w:val="Textoennegrita"/>
          <w:rFonts w:ascii="Lato" w:eastAsia="Times New Roman" w:hAnsi="Lato"/>
          <w:sz w:val="20"/>
          <w:szCs w:val="20"/>
        </w:rPr>
        <w:t>Ingresos de Gestión</w:t>
      </w: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Representa el monto de los ingresos recaudados durante el ejercicio fiscal y que se previeron en la Ley de Ingresos del Estado de Yucatán, así como de los recursos que el Poder Ejecutivo recibió del Gobierno Federal, por concepto de Participaciones en Ingresos Federales, Aportaciones y Convenios, como se muestra a continuación:</w:t>
      </w: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1.- Las cuentas que integran los ingresos de la gestión, presentan los siguientes saldos:</w:t>
      </w:r>
    </w:p>
    <w:tbl>
      <w:tblPr>
        <w:tblW w:w="2406" w:type="pct"/>
        <w:tblCellSpacing w:w="15" w:type="dxa"/>
        <w:tblCellMar>
          <w:top w:w="15" w:type="dxa"/>
          <w:left w:w="15" w:type="dxa"/>
          <w:bottom w:w="15" w:type="dxa"/>
          <w:right w:w="15" w:type="dxa"/>
        </w:tblCellMar>
        <w:tblLook w:val="04A0" w:firstRow="1" w:lastRow="0" w:firstColumn="1" w:lastColumn="0" w:noHBand="0" w:noVBand="1"/>
      </w:tblPr>
      <w:tblGrid>
        <w:gridCol w:w="4143"/>
        <w:gridCol w:w="2093"/>
      </w:tblGrid>
      <w:tr w:rsidR="00D914E0" w:rsidRPr="00EB63BB" w:rsidTr="00D914E0">
        <w:trPr>
          <w:divId w:val="35980657"/>
          <w:tblCellSpacing w:w="15" w:type="dxa"/>
        </w:trPr>
        <w:tc>
          <w:tcPr>
            <w:tcW w:w="0" w:type="auto"/>
            <w:vAlign w:val="center"/>
            <w:hideMark/>
          </w:tcPr>
          <w:p w:rsidR="00D914E0" w:rsidRPr="00EB63BB" w:rsidRDefault="00D914E0" w:rsidP="00D914E0">
            <w:pPr>
              <w:rPr>
                <w:rFonts w:ascii="Lato" w:eastAsia="Times New Roman" w:hAnsi="Lato"/>
                <w:sz w:val="20"/>
                <w:szCs w:val="20"/>
              </w:rPr>
            </w:pPr>
            <w:r w:rsidRPr="00EB63BB">
              <w:rPr>
                <w:rStyle w:val="Textoennegrita"/>
                <w:rFonts w:ascii="Lato" w:eastAsia="Times New Roman" w:hAnsi="Lato"/>
                <w:color w:val="000000"/>
                <w:sz w:val="20"/>
                <w:szCs w:val="20"/>
              </w:rPr>
              <w:t>INGRESOS DE GESTIÓN</w:t>
            </w:r>
          </w:p>
        </w:tc>
        <w:tc>
          <w:tcPr>
            <w:tcW w:w="1666" w:type="pct"/>
            <w:vAlign w:val="center"/>
            <w:hideMark/>
          </w:tcPr>
          <w:p w:rsidR="00D914E0" w:rsidRPr="00EB63BB" w:rsidRDefault="00D914E0" w:rsidP="00D914E0">
            <w:pPr>
              <w:rPr>
                <w:rFonts w:ascii="Lato" w:eastAsia="Times New Roman" w:hAnsi="Lato"/>
                <w:sz w:val="20"/>
                <w:szCs w:val="20"/>
              </w:rPr>
            </w:pPr>
          </w:p>
        </w:tc>
      </w:tr>
      <w:tr w:rsidR="00D914E0" w:rsidRPr="00EB63BB" w:rsidTr="00D914E0">
        <w:trPr>
          <w:divId w:val="35980657"/>
          <w:tblCellSpacing w:w="15" w:type="dxa"/>
        </w:trPr>
        <w:tc>
          <w:tcPr>
            <w:tcW w:w="0" w:type="auto"/>
            <w:vAlign w:val="center"/>
            <w:hideMark/>
          </w:tcPr>
          <w:p w:rsidR="00D914E0" w:rsidRPr="00EB63BB" w:rsidRDefault="00D914E0" w:rsidP="00D914E0">
            <w:pPr>
              <w:rPr>
                <w:rFonts w:ascii="Lato" w:eastAsia="Times New Roman" w:hAnsi="Lato"/>
                <w:color w:val="000000"/>
                <w:sz w:val="20"/>
                <w:szCs w:val="20"/>
              </w:rPr>
            </w:pPr>
            <w:r w:rsidRPr="00EB63BB">
              <w:rPr>
                <w:rFonts w:ascii="Lato" w:eastAsia="Times New Roman" w:hAnsi="Lato"/>
                <w:color w:val="000000"/>
                <w:sz w:val="20"/>
                <w:szCs w:val="20"/>
              </w:rPr>
              <w:t>IMPUESTOS</w:t>
            </w:r>
          </w:p>
        </w:tc>
        <w:tc>
          <w:tcPr>
            <w:tcW w:w="1666" w:type="pct"/>
            <w:vAlign w:val="center"/>
            <w:hideMark/>
          </w:tcPr>
          <w:p w:rsidR="00D914E0" w:rsidRPr="00EB63BB" w:rsidRDefault="00D914E0" w:rsidP="00D914E0">
            <w:pPr>
              <w:jc w:val="right"/>
              <w:rPr>
                <w:rFonts w:ascii="Lato" w:eastAsia="Times New Roman" w:hAnsi="Lato"/>
                <w:sz w:val="20"/>
                <w:szCs w:val="20"/>
              </w:rPr>
            </w:pPr>
            <w:r w:rsidRPr="00EB63BB">
              <w:rPr>
                <w:rFonts w:ascii="Lato" w:eastAsia="Times New Roman" w:hAnsi="Lato"/>
                <w:color w:val="000000"/>
                <w:sz w:val="20"/>
                <w:szCs w:val="20"/>
              </w:rPr>
              <w:t>2,646,874,677.00</w:t>
            </w:r>
          </w:p>
        </w:tc>
      </w:tr>
      <w:tr w:rsidR="00D914E0" w:rsidRPr="00EB63BB" w:rsidTr="00D914E0">
        <w:trPr>
          <w:divId w:val="35980657"/>
          <w:tblCellSpacing w:w="15" w:type="dxa"/>
        </w:trPr>
        <w:tc>
          <w:tcPr>
            <w:tcW w:w="0" w:type="auto"/>
            <w:vAlign w:val="center"/>
            <w:hideMark/>
          </w:tcPr>
          <w:p w:rsidR="00D914E0" w:rsidRPr="00EB63BB" w:rsidRDefault="00D914E0" w:rsidP="00D914E0">
            <w:pPr>
              <w:rPr>
                <w:rFonts w:ascii="Lato" w:eastAsia="Times New Roman" w:hAnsi="Lato"/>
                <w:color w:val="000000"/>
                <w:sz w:val="20"/>
                <w:szCs w:val="20"/>
              </w:rPr>
            </w:pPr>
            <w:r w:rsidRPr="00EB63BB">
              <w:rPr>
                <w:rFonts w:ascii="Lato" w:eastAsia="Times New Roman" w:hAnsi="Lato"/>
                <w:color w:val="000000"/>
                <w:sz w:val="20"/>
                <w:szCs w:val="20"/>
              </w:rPr>
              <w:t>DERECHOS</w:t>
            </w:r>
          </w:p>
        </w:tc>
        <w:tc>
          <w:tcPr>
            <w:tcW w:w="1666" w:type="pct"/>
            <w:vAlign w:val="center"/>
            <w:hideMark/>
          </w:tcPr>
          <w:p w:rsidR="00D914E0" w:rsidRPr="00EB63BB" w:rsidRDefault="00D914E0" w:rsidP="00D914E0">
            <w:pPr>
              <w:jc w:val="right"/>
              <w:rPr>
                <w:rFonts w:ascii="Lato" w:eastAsia="Times New Roman" w:hAnsi="Lato"/>
                <w:sz w:val="20"/>
                <w:szCs w:val="20"/>
              </w:rPr>
            </w:pPr>
            <w:r w:rsidRPr="00EB63BB">
              <w:rPr>
                <w:rFonts w:ascii="Lato" w:eastAsia="Times New Roman" w:hAnsi="Lato"/>
                <w:color w:val="000000"/>
                <w:sz w:val="20"/>
                <w:szCs w:val="20"/>
              </w:rPr>
              <w:t>1,302,580,485.09</w:t>
            </w:r>
          </w:p>
        </w:tc>
      </w:tr>
      <w:tr w:rsidR="00D914E0" w:rsidRPr="00EB63BB" w:rsidTr="00D914E0">
        <w:trPr>
          <w:divId w:val="35980657"/>
          <w:tblCellSpacing w:w="15" w:type="dxa"/>
        </w:trPr>
        <w:tc>
          <w:tcPr>
            <w:tcW w:w="0" w:type="auto"/>
            <w:vAlign w:val="center"/>
            <w:hideMark/>
          </w:tcPr>
          <w:p w:rsidR="00D914E0" w:rsidRPr="00EB63BB" w:rsidRDefault="00D914E0" w:rsidP="00D914E0">
            <w:pPr>
              <w:rPr>
                <w:rFonts w:ascii="Lato" w:eastAsia="Times New Roman" w:hAnsi="Lato"/>
                <w:color w:val="000000"/>
                <w:sz w:val="20"/>
                <w:szCs w:val="20"/>
              </w:rPr>
            </w:pPr>
            <w:r w:rsidRPr="00EB63BB">
              <w:rPr>
                <w:rFonts w:ascii="Lato" w:eastAsia="Times New Roman" w:hAnsi="Lato"/>
                <w:color w:val="000000"/>
                <w:sz w:val="20"/>
                <w:szCs w:val="20"/>
              </w:rPr>
              <w:t>PRODUCTOS</w:t>
            </w:r>
          </w:p>
        </w:tc>
        <w:tc>
          <w:tcPr>
            <w:tcW w:w="1666" w:type="pct"/>
            <w:vAlign w:val="center"/>
            <w:hideMark/>
          </w:tcPr>
          <w:p w:rsidR="00D914E0" w:rsidRPr="00EB63BB" w:rsidRDefault="00D914E0" w:rsidP="00D914E0">
            <w:pPr>
              <w:jc w:val="right"/>
              <w:rPr>
                <w:rFonts w:ascii="Lato" w:eastAsia="Times New Roman" w:hAnsi="Lato"/>
                <w:sz w:val="20"/>
                <w:szCs w:val="20"/>
              </w:rPr>
            </w:pPr>
            <w:r w:rsidRPr="00EB63BB">
              <w:rPr>
                <w:rFonts w:ascii="Lato" w:eastAsia="Times New Roman" w:hAnsi="Lato"/>
                <w:color w:val="000000"/>
                <w:sz w:val="20"/>
                <w:szCs w:val="20"/>
              </w:rPr>
              <w:t>89,952,174.28</w:t>
            </w:r>
          </w:p>
        </w:tc>
      </w:tr>
      <w:tr w:rsidR="00D914E0" w:rsidRPr="00EB63BB" w:rsidTr="00D914E0">
        <w:trPr>
          <w:divId w:val="35980657"/>
          <w:tblCellSpacing w:w="15" w:type="dxa"/>
        </w:trPr>
        <w:tc>
          <w:tcPr>
            <w:tcW w:w="0" w:type="auto"/>
            <w:vAlign w:val="center"/>
            <w:hideMark/>
          </w:tcPr>
          <w:p w:rsidR="00D914E0" w:rsidRPr="00EB63BB" w:rsidRDefault="00D914E0" w:rsidP="00D914E0">
            <w:pPr>
              <w:rPr>
                <w:rFonts w:ascii="Lato" w:eastAsia="Times New Roman" w:hAnsi="Lato"/>
                <w:color w:val="000000"/>
                <w:sz w:val="20"/>
                <w:szCs w:val="20"/>
              </w:rPr>
            </w:pPr>
            <w:r w:rsidRPr="00EB63BB">
              <w:rPr>
                <w:rFonts w:ascii="Lato" w:eastAsia="Times New Roman" w:hAnsi="Lato"/>
                <w:color w:val="000000"/>
                <w:sz w:val="20"/>
                <w:szCs w:val="20"/>
              </w:rPr>
              <w:t>APROVECHAMIENTOS</w:t>
            </w:r>
          </w:p>
        </w:tc>
        <w:tc>
          <w:tcPr>
            <w:tcW w:w="1666" w:type="pct"/>
            <w:vAlign w:val="center"/>
            <w:hideMark/>
          </w:tcPr>
          <w:p w:rsidR="00D914E0" w:rsidRPr="00EB63BB" w:rsidRDefault="00D914E0" w:rsidP="00D914E0">
            <w:pPr>
              <w:jc w:val="right"/>
              <w:rPr>
                <w:rFonts w:ascii="Lato" w:eastAsia="Times New Roman" w:hAnsi="Lato"/>
                <w:sz w:val="20"/>
                <w:szCs w:val="20"/>
              </w:rPr>
            </w:pPr>
            <w:r w:rsidRPr="00EB63BB">
              <w:rPr>
                <w:rFonts w:ascii="Lato" w:eastAsia="Times New Roman" w:hAnsi="Lato"/>
                <w:color w:val="000000"/>
                <w:sz w:val="20"/>
                <w:szCs w:val="20"/>
              </w:rPr>
              <w:t>103,206,423.88</w:t>
            </w:r>
          </w:p>
        </w:tc>
      </w:tr>
      <w:tr w:rsidR="00D914E0" w:rsidRPr="00EB63BB" w:rsidTr="00D914E0">
        <w:trPr>
          <w:divId w:val="35980657"/>
          <w:tblCellSpacing w:w="15" w:type="dxa"/>
        </w:trPr>
        <w:tc>
          <w:tcPr>
            <w:tcW w:w="0" w:type="auto"/>
            <w:vAlign w:val="center"/>
            <w:hideMark/>
          </w:tcPr>
          <w:p w:rsidR="00D914E0" w:rsidRPr="00EB63BB" w:rsidRDefault="00D914E0" w:rsidP="00D914E0">
            <w:pPr>
              <w:rPr>
                <w:rFonts w:ascii="Lato" w:eastAsia="Times New Roman" w:hAnsi="Lato"/>
                <w:sz w:val="20"/>
                <w:szCs w:val="20"/>
              </w:rPr>
            </w:pPr>
            <w:r w:rsidRPr="00EB63BB">
              <w:rPr>
                <w:rStyle w:val="Textoennegrita"/>
                <w:rFonts w:ascii="Lato" w:eastAsia="Times New Roman" w:hAnsi="Lato"/>
                <w:color w:val="000000"/>
                <w:sz w:val="20"/>
                <w:szCs w:val="20"/>
              </w:rPr>
              <w:t>TOTAL</w:t>
            </w:r>
          </w:p>
        </w:tc>
        <w:tc>
          <w:tcPr>
            <w:tcW w:w="1666" w:type="pct"/>
            <w:tcBorders>
              <w:top w:val="single" w:sz="12" w:space="0" w:color="000000"/>
              <w:bottom w:val="single" w:sz="12" w:space="0" w:color="000000"/>
            </w:tcBorders>
            <w:vAlign w:val="center"/>
            <w:hideMark/>
          </w:tcPr>
          <w:p w:rsidR="00D914E0" w:rsidRPr="00EB63BB" w:rsidRDefault="00D914E0" w:rsidP="00D914E0">
            <w:pPr>
              <w:jc w:val="right"/>
              <w:rPr>
                <w:rFonts w:ascii="Lato" w:eastAsia="Times New Roman" w:hAnsi="Lato"/>
                <w:sz w:val="20"/>
                <w:szCs w:val="20"/>
              </w:rPr>
            </w:pPr>
            <w:r w:rsidRPr="00EB63BB">
              <w:rPr>
                <w:rStyle w:val="Textoennegrita"/>
                <w:rFonts w:ascii="Lato" w:eastAsia="Times New Roman" w:hAnsi="Lato"/>
                <w:color w:val="000000"/>
                <w:sz w:val="20"/>
                <w:szCs w:val="20"/>
              </w:rPr>
              <w:t>4,142,613,760.25</w:t>
            </w:r>
          </w:p>
        </w:tc>
      </w:tr>
    </w:tbl>
    <w:p w:rsidR="004C1928" w:rsidRPr="00EB63BB" w:rsidRDefault="004C1928">
      <w:pPr>
        <w:jc w:val="both"/>
        <w:divId w:val="35980657"/>
        <w:rPr>
          <w:rFonts w:ascii="Lato" w:eastAsia="Times New Roman" w:hAnsi="Lato"/>
          <w:sz w:val="20"/>
          <w:szCs w:val="20"/>
        </w:rPr>
      </w:pPr>
    </w:p>
    <w:p w:rsidR="008A42E3" w:rsidRPr="00EB63BB" w:rsidRDefault="008A42E3">
      <w:pPr>
        <w:jc w:val="both"/>
        <w:divId w:val="35980657"/>
        <w:rPr>
          <w:rFonts w:ascii="Lato" w:eastAsia="Times New Roman" w:hAnsi="Lato"/>
          <w:sz w:val="20"/>
          <w:szCs w:val="20"/>
        </w:rPr>
      </w:pP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2.- Las cuentas que integran los ingresos por participaciones, aportaciones, convenios, incentivos derivados de la colaboración fiscal, fondos distintos de aportaciones, transferencias, asignaciones, subsidios y otras ayudas presentan los siguientes saldos:</w:t>
      </w:r>
    </w:p>
    <w:tbl>
      <w:tblPr>
        <w:tblW w:w="4000" w:type="pct"/>
        <w:tblCellSpacing w:w="15" w:type="dxa"/>
        <w:tblCellMar>
          <w:top w:w="15" w:type="dxa"/>
          <w:left w:w="15" w:type="dxa"/>
          <w:bottom w:w="15" w:type="dxa"/>
          <w:right w:w="15" w:type="dxa"/>
        </w:tblCellMar>
        <w:tblLook w:val="04A0" w:firstRow="1" w:lastRow="0" w:firstColumn="1" w:lastColumn="0" w:noHBand="0" w:noVBand="1"/>
      </w:tblPr>
      <w:tblGrid>
        <w:gridCol w:w="8597"/>
        <w:gridCol w:w="1771"/>
      </w:tblGrid>
      <w:tr w:rsidR="00D914E0" w:rsidRPr="00EB63BB" w:rsidTr="00D914E0">
        <w:trPr>
          <w:divId w:val="35980657"/>
          <w:tblCellSpacing w:w="15" w:type="dxa"/>
        </w:trPr>
        <w:tc>
          <w:tcPr>
            <w:tcW w:w="0" w:type="auto"/>
            <w:vAlign w:val="center"/>
            <w:hideMark/>
          </w:tcPr>
          <w:p w:rsidR="00D914E0" w:rsidRPr="00EB63BB" w:rsidRDefault="00D914E0" w:rsidP="00D914E0">
            <w:pPr>
              <w:rPr>
                <w:rFonts w:ascii="Lato" w:eastAsia="Times New Roman" w:hAnsi="Lato"/>
                <w:sz w:val="20"/>
                <w:szCs w:val="20"/>
              </w:rPr>
            </w:pPr>
            <w:r w:rsidRPr="00EB63BB">
              <w:rPr>
                <w:rStyle w:val="Textoennegrita"/>
                <w:rFonts w:ascii="Lato" w:eastAsia="Times New Roman" w:hAnsi="Lato"/>
                <w:color w:val="000000"/>
                <w:sz w:val="20"/>
                <w:szCs w:val="20"/>
              </w:rPr>
              <w:t>PARTICIPACIONES, APORTACIONES, CONVENIOS, INCENTIVOS DERIVADOS DE LA COLABORACIÓN FISCAL, FONDOS DISTINTOS DE APORTACIONES, TRANSFERENCIAS, ASIGNACIONES, SUBCIDIOS Y SUBVENCIONES, Y PENSIONES Y JUBILACIONES</w:t>
            </w:r>
          </w:p>
        </w:tc>
        <w:tc>
          <w:tcPr>
            <w:tcW w:w="0" w:type="auto"/>
            <w:vAlign w:val="center"/>
            <w:hideMark/>
          </w:tcPr>
          <w:p w:rsidR="00D914E0" w:rsidRPr="00EB63BB" w:rsidRDefault="00D914E0" w:rsidP="00D914E0">
            <w:pPr>
              <w:rPr>
                <w:rFonts w:ascii="Lato" w:eastAsia="Times New Roman" w:hAnsi="Lato"/>
                <w:sz w:val="20"/>
                <w:szCs w:val="20"/>
              </w:rPr>
            </w:pPr>
          </w:p>
        </w:tc>
      </w:tr>
      <w:tr w:rsidR="00D914E0" w:rsidRPr="00EB63BB" w:rsidTr="00D914E0">
        <w:trPr>
          <w:divId w:val="35980657"/>
          <w:tblCellSpacing w:w="15" w:type="dxa"/>
        </w:trPr>
        <w:tc>
          <w:tcPr>
            <w:tcW w:w="0" w:type="auto"/>
            <w:vAlign w:val="center"/>
            <w:hideMark/>
          </w:tcPr>
          <w:p w:rsidR="00D914E0" w:rsidRPr="00EB63BB" w:rsidRDefault="00D914E0" w:rsidP="00D914E0">
            <w:pPr>
              <w:rPr>
                <w:rFonts w:ascii="Lato" w:eastAsia="Times New Roman" w:hAnsi="Lato"/>
                <w:color w:val="000000"/>
                <w:sz w:val="20"/>
                <w:szCs w:val="20"/>
              </w:rPr>
            </w:pPr>
            <w:r w:rsidRPr="00EB63BB">
              <w:rPr>
                <w:rFonts w:ascii="Lato" w:eastAsia="Times New Roman" w:hAnsi="Lato"/>
                <w:color w:val="000000"/>
                <w:sz w:val="20"/>
                <w:szCs w:val="20"/>
              </w:rPr>
              <w:t>PARTICIPACIONES, APORTACIONES, CONVENIOS, INCENTIVOS DERIVADOS DE LA COLABORACIÓN FISCAL, FONDOS DISTINTOS DE APORTACIONES</w:t>
            </w:r>
          </w:p>
        </w:tc>
        <w:tc>
          <w:tcPr>
            <w:tcW w:w="0" w:type="auto"/>
            <w:vAlign w:val="center"/>
            <w:hideMark/>
          </w:tcPr>
          <w:p w:rsidR="00D914E0" w:rsidRPr="00EB63BB" w:rsidRDefault="00D914E0" w:rsidP="00D914E0">
            <w:pPr>
              <w:jc w:val="right"/>
              <w:rPr>
                <w:rFonts w:ascii="Lato" w:eastAsia="Times New Roman" w:hAnsi="Lato"/>
                <w:sz w:val="20"/>
                <w:szCs w:val="20"/>
              </w:rPr>
            </w:pPr>
            <w:r w:rsidRPr="00EB63BB">
              <w:rPr>
                <w:rFonts w:ascii="Lato" w:eastAsia="Times New Roman" w:hAnsi="Lato"/>
                <w:color w:val="000000"/>
                <w:sz w:val="20"/>
                <w:szCs w:val="20"/>
              </w:rPr>
              <w:t>24,704,581,647.48</w:t>
            </w:r>
          </w:p>
        </w:tc>
      </w:tr>
      <w:tr w:rsidR="00D914E0" w:rsidRPr="00EB63BB" w:rsidTr="00D914E0">
        <w:trPr>
          <w:divId w:val="35980657"/>
          <w:tblCellSpacing w:w="15" w:type="dxa"/>
        </w:trPr>
        <w:tc>
          <w:tcPr>
            <w:tcW w:w="0" w:type="auto"/>
            <w:vAlign w:val="center"/>
            <w:hideMark/>
          </w:tcPr>
          <w:p w:rsidR="00D914E0" w:rsidRPr="00EB63BB" w:rsidRDefault="00D914E0" w:rsidP="00D914E0">
            <w:pPr>
              <w:rPr>
                <w:rFonts w:ascii="Lato" w:eastAsia="Times New Roman" w:hAnsi="Lato"/>
                <w:color w:val="000000"/>
                <w:sz w:val="20"/>
                <w:szCs w:val="20"/>
              </w:rPr>
            </w:pPr>
            <w:r w:rsidRPr="00EB63BB">
              <w:rPr>
                <w:rFonts w:ascii="Lato" w:eastAsia="Times New Roman" w:hAnsi="Lato"/>
                <w:color w:val="000000"/>
                <w:sz w:val="20"/>
                <w:szCs w:val="20"/>
              </w:rPr>
              <w:t>TRANSFERENCIAS, ASIGNACIONES, SUBSIDIOS Y SUBVENCIONES, Y PENSIONES Y JUBILACIONES</w:t>
            </w:r>
          </w:p>
        </w:tc>
        <w:tc>
          <w:tcPr>
            <w:tcW w:w="0" w:type="auto"/>
            <w:vAlign w:val="center"/>
            <w:hideMark/>
          </w:tcPr>
          <w:p w:rsidR="00D914E0" w:rsidRPr="00EB63BB" w:rsidRDefault="00D914E0" w:rsidP="00D914E0">
            <w:pPr>
              <w:jc w:val="right"/>
              <w:rPr>
                <w:rFonts w:ascii="Lato" w:eastAsia="Times New Roman" w:hAnsi="Lato"/>
                <w:sz w:val="20"/>
                <w:szCs w:val="20"/>
              </w:rPr>
            </w:pPr>
            <w:r w:rsidRPr="00EB63BB">
              <w:rPr>
                <w:rFonts w:ascii="Lato" w:eastAsia="Times New Roman" w:hAnsi="Lato"/>
                <w:color w:val="000000"/>
                <w:sz w:val="20"/>
                <w:szCs w:val="20"/>
              </w:rPr>
              <w:t>1,674,707,000.00</w:t>
            </w:r>
          </w:p>
        </w:tc>
      </w:tr>
      <w:tr w:rsidR="00D914E0" w:rsidRPr="00EB63BB" w:rsidTr="00D914E0">
        <w:trPr>
          <w:divId w:val="35980657"/>
          <w:tblCellSpacing w:w="15" w:type="dxa"/>
        </w:trPr>
        <w:tc>
          <w:tcPr>
            <w:tcW w:w="0" w:type="auto"/>
            <w:vAlign w:val="center"/>
            <w:hideMark/>
          </w:tcPr>
          <w:p w:rsidR="00D914E0" w:rsidRPr="00EB63BB" w:rsidRDefault="00D914E0" w:rsidP="00D914E0">
            <w:pPr>
              <w:rPr>
                <w:rFonts w:ascii="Lato" w:eastAsia="Times New Roman" w:hAnsi="Lato"/>
                <w:sz w:val="20"/>
                <w:szCs w:val="20"/>
              </w:rPr>
            </w:pPr>
            <w:r w:rsidRPr="00EB63BB">
              <w:rPr>
                <w:rStyle w:val="Textoennegrita"/>
                <w:rFonts w:ascii="Lato" w:eastAsia="Times New Roman" w:hAnsi="Lato"/>
                <w:color w:val="000000"/>
                <w:sz w:val="20"/>
                <w:szCs w:val="20"/>
              </w:rPr>
              <w:t>TOTAL</w:t>
            </w:r>
          </w:p>
        </w:tc>
        <w:tc>
          <w:tcPr>
            <w:tcW w:w="0" w:type="auto"/>
            <w:tcBorders>
              <w:top w:val="single" w:sz="12" w:space="0" w:color="000000"/>
              <w:bottom w:val="single" w:sz="12" w:space="0" w:color="000000"/>
            </w:tcBorders>
            <w:vAlign w:val="center"/>
            <w:hideMark/>
          </w:tcPr>
          <w:p w:rsidR="00D914E0" w:rsidRPr="00EB63BB" w:rsidRDefault="00D914E0" w:rsidP="00D914E0">
            <w:pPr>
              <w:jc w:val="right"/>
              <w:rPr>
                <w:rFonts w:ascii="Lato" w:eastAsia="Times New Roman" w:hAnsi="Lato"/>
                <w:sz w:val="20"/>
                <w:szCs w:val="20"/>
              </w:rPr>
            </w:pPr>
            <w:r w:rsidRPr="00EB63BB">
              <w:rPr>
                <w:rStyle w:val="Textoennegrita"/>
                <w:rFonts w:ascii="Lato" w:eastAsia="Times New Roman" w:hAnsi="Lato"/>
                <w:color w:val="000000"/>
                <w:sz w:val="20"/>
                <w:szCs w:val="20"/>
              </w:rPr>
              <w:t>26,379,288,647.48</w:t>
            </w:r>
          </w:p>
        </w:tc>
      </w:tr>
    </w:tbl>
    <w:p w:rsidR="00CD2C56" w:rsidRPr="00EB63BB" w:rsidRDefault="00CD2C56" w:rsidP="00CD2C56">
      <w:pPr>
        <w:divId w:val="35980657"/>
        <w:rPr>
          <w:rFonts w:ascii="Lato" w:eastAsia="Times New Roman" w:hAnsi="Lato"/>
          <w:sz w:val="20"/>
          <w:szCs w:val="20"/>
        </w:rPr>
      </w:pPr>
      <w:r w:rsidRPr="00EB63BB">
        <w:rPr>
          <w:rStyle w:val="Textoennegrita"/>
          <w:rFonts w:ascii="Lato" w:eastAsia="Times New Roman" w:hAnsi="Lato"/>
          <w:sz w:val="20"/>
          <w:szCs w:val="20"/>
        </w:rPr>
        <w:t>Gastos y Otras Pérdidas</w:t>
      </w:r>
    </w:p>
    <w:p w:rsidR="00CD2C56" w:rsidRPr="00EB63BB" w:rsidRDefault="00CD2C56" w:rsidP="00CD2C56">
      <w:pPr>
        <w:divId w:val="35980657"/>
        <w:rPr>
          <w:rFonts w:ascii="Lato" w:eastAsia="Times New Roman" w:hAnsi="Lato"/>
          <w:sz w:val="20"/>
          <w:szCs w:val="20"/>
        </w:rPr>
      </w:pPr>
      <w:r w:rsidRPr="00EB63BB">
        <w:rPr>
          <w:rFonts w:ascii="Lato" w:eastAsia="Times New Roman" w:hAnsi="Lato"/>
          <w:sz w:val="20"/>
          <w:szCs w:val="20"/>
        </w:rPr>
        <w:t>1.- Los gastos más relevantes en relación al total del gasto se integran a continuación:</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4948"/>
        <w:gridCol w:w="2828"/>
      </w:tblGrid>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sz w:val="20"/>
                <w:szCs w:val="20"/>
              </w:rPr>
            </w:pPr>
            <w:r w:rsidRPr="00EB63BB">
              <w:rPr>
                <w:rStyle w:val="Textoennegrita"/>
                <w:rFonts w:ascii="Lato" w:eastAsia="Times New Roman" w:hAnsi="Lato"/>
                <w:color w:val="000000"/>
                <w:sz w:val="20"/>
                <w:szCs w:val="20"/>
              </w:rPr>
              <w:t>GASTOS DE FUNCIONAMIENTO</w:t>
            </w:r>
          </w:p>
        </w:tc>
        <w:tc>
          <w:tcPr>
            <w:tcW w:w="0" w:type="auto"/>
            <w:vAlign w:val="center"/>
            <w:hideMark/>
          </w:tcPr>
          <w:p w:rsidR="00A77D17" w:rsidRPr="00EB63BB" w:rsidRDefault="00A77D17" w:rsidP="006D14EC">
            <w:pPr>
              <w:rPr>
                <w:rFonts w:ascii="Lato" w:eastAsia="Times New Roman" w:hAnsi="Lato"/>
                <w:sz w:val="20"/>
                <w:szCs w:val="20"/>
              </w:rPr>
            </w:pP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SERVICIOS PERSONALES</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8,727,193,658.27</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MATERIALES Y SUMINISTROS</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545,411,694.39</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SERVICIOS GENERALES</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2,019,311,597.15</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sz w:val="20"/>
                <w:szCs w:val="20"/>
              </w:rPr>
            </w:pPr>
            <w:r w:rsidRPr="00EB63BB">
              <w:rPr>
                <w:rStyle w:val="Textoennegrita"/>
                <w:rFonts w:ascii="Lato" w:eastAsia="Times New Roman" w:hAnsi="Lato"/>
                <w:color w:val="000000"/>
                <w:sz w:val="20"/>
                <w:szCs w:val="20"/>
              </w:rPr>
              <w:t>TOTAL</w:t>
            </w:r>
          </w:p>
        </w:tc>
        <w:tc>
          <w:tcPr>
            <w:tcW w:w="0" w:type="auto"/>
            <w:tcBorders>
              <w:top w:val="single" w:sz="12" w:space="0" w:color="000000"/>
              <w:bottom w:val="single" w:sz="12" w:space="0" w:color="000000"/>
            </w:tcBorders>
            <w:vAlign w:val="center"/>
            <w:hideMark/>
          </w:tcPr>
          <w:p w:rsidR="00A77D17" w:rsidRPr="00EB63BB" w:rsidRDefault="00A77D17" w:rsidP="006D14EC">
            <w:pPr>
              <w:jc w:val="right"/>
              <w:rPr>
                <w:rFonts w:ascii="Lato" w:eastAsia="Times New Roman" w:hAnsi="Lato"/>
                <w:sz w:val="20"/>
                <w:szCs w:val="20"/>
              </w:rPr>
            </w:pPr>
            <w:r w:rsidRPr="00EB63BB">
              <w:rPr>
                <w:rStyle w:val="Textoennegrita"/>
                <w:rFonts w:ascii="Lato" w:eastAsia="Times New Roman" w:hAnsi="Lato"/>
                <w:color w:val="000000"/>
                <w:sz w:val="20"/>
                <w:szCs w:val="20"/>
              </w:rPr>
              <w:t>11,291,916,949.81</w:t>
            </w:r>
          </w:p>
        </w:tc>
      </w:tr>
    </w:tbl>
    <w:p w:rsidR="00A77D17" w:rsidRPr="00EB63BB" w:rsidRDefault="00A77D17" w:rsidP="00A77D17">
      <w:pPr>
        <w:divId w:val="35980657"/>
        <w:rPr>
          <w:rFonts w:ascii="Lato" w:eastAsia="Times New Roman" w:hAnsi="Lato"/>
          <w:sz w:val="20"/>
          <w:szCs w:val="20"/>
        </w:rPr>
      </w:pPr>
    </w:p>
    <w:p w:rsidR="00A77D17" w:rsidRPr="00EB63BB" w:rsidRDefault="00A77D17" w:rsidP="00A77D17">
      <w:pPr>
        <w:divId w:val="35980657"/>
        <w:rPr>
          <w:rFonts w:ascii="Lato" w:eastAsia="Times New Roman" w:hAnsi="Lato"/>
          <w:sz w:val="20"/>
          <w:szCs w:val="20"/>
        </w:rPr>
      </w:pP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6005"/>
        <w:gridCol w:w="1771"/>
      </w:tblGrid>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sz w:val="20"/>
                <w:szCs w:val="20"/>
              </w:rPr>
            </w:pPr>
            <w:r w:rsidRPr="00EB63BB">
              <w:rPr>
                <w:rStyle w:val="Textoennegrita"/>
                <w:rFonts w:ascii="Lato" w:eastAsia="Times New Roman" w:hAnsi="Lato"/>
                <w:color w:val="000000"/>
                <w:sz w:val="20"/>
                <w:szCs w:val="20"/>
              </w:rPr>
              <w:lastRenderedPageBreak/>
              <w:t>TRANSFERENCIAS, ASIGNACIONES, SUBSIDIOS Y OTRAS AYUDAS</w:t>
            </w:r>
          </w:p>
        </w:tc>
        <w:tc>
          <w:tcPr>
            <w:tcW w:w="0" w:type="auto"/>
            <w:vAlign w:val="center"/>
            <w:hideMark/>
          </w:tcPr>
          <w:p w:rsidR="00A77D17" w:rsidRPr="00EB63BB" w:rsidRDefault="00A77D17" w:rsidP="006D14EC">
            <w:pPr>
              <w:rPr>
                <w:rFonts w:ascii="Lato" w:eastAsia="Times New Roman" w:hAnsi="Lato"/>
                <w:sz w:val="20"/>
                <w:szCs w:val="20"/>
              </w:rPr>
            </w:pP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TRANSFERENCIAS INTERNAS Y ASIGNACIONES AL SECTOR PÚBLICO</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10,254,093,273.75</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SUBSIDIOS Y SUBVENCIONES</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128,034,662.47</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AYUDAS SOCIALES</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432,869,929.95</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PENSIONES Y JUBILACIONES</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791,462,073.35</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TRANSFERENCIAS A FIDEICOMISOS, MANDATOS Y OTROS ANÁLOGOS</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137,431,447.01</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DONATIVOS</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11,540,000.00</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sz w:val="20"/>
                <w:szCs w:val="20"/>
              </w:rPr>
            </w:pPr>
            <w:r w:rsidRPr="00EB63BB">
              <w:rPr>
                <w:rStyle w:val="Textoennegrita"/>
                <w:rFonts w:ascii="Lato" w:eastAsia="Times New Roman" w:hAnsi="Lato"/>
                <w:color w:val="000000"/>
                <w:sz w:val="20"/>
                <w:szCs w:val="20"/>
              </w:rPr>
              <w:t>TOTAL</w:t>
            </w:r>
          </w:p>
        </w:tc>
        <w:tc>
          <w:tcPr>
            <w:tcW w:w="0" w:type="auto"/>
            <w:tcBorders>
              <w:top w:val="single" w:sz="12" w:space="0" w:color="000000"/>
              <w:bottom w:val="single" w:sz="12" w:space="0" w:color="000000"/>
            </w:tcBorders>
            <w:vAlign w:val="center"/>
            <w:hideMark/>
          </w:tcPr>
          <w:p w:rsidR="00A77D17" w:rsidRPr="00EB63BB" w:rsidRDefault="00A77D17" w:rsidP="006D14EC">
            <w:pPr>
              <w:jc w:val="right"/>
              <w:rPr>
                <w:rFonts w:ascii="Lato" w:eastAsia="Times New Roman" w:hAnsi="Lato"/>
                <w:sz w:val="20"/>
                <w:szCs w:val="20"/>
              </w:rPr>
            </w:pPr>
            <w:r w:rsidRPr="00EB63BB">
              <w:rPr>
                <w:rStyle w:val="Textoennegrita"/>
                <w:rFonts w:ascii="Lato" w:eastAsia="Times New Roman" w:hAnsi="Lato"/>
                <w:color w:val="000000"/>
                <w:sz w:val="20"/>
                <w:szCs w:val="20"/>
              </w:rPr>
              <w:t>11,755,431,386.53</w:t>
            </w:r>
          </w:p>
        </w:tc>
      </w:tr>
    </w:tbl>
    <w:p w:rsidR="00A77D17" w:rsidRPr="00EB63BB" w:rsidRDefault="00A77D17" w:rsidP="00A77D17">
      <w:pPr>
        <w:divId w:val="35980657"/>
        <w:rPr>
          <w:rFonts w:ascii="Lato" w:eastAsia="Times New Roman" w:hAnsi="Lato"/>
          <w:sz w:val="20"/>
          <w:szCs w:val="20"/>
        </w:rPr>
      </w:pP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5337"/>
        <w:gridCol w:w="2439"/>
      </w:tblGrid>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sz w:val="20"/>
                <w:szCs w:val="20"/>
              </w:rPr>
            </w:pPr>
            <w:r w:rsidRPr="00EB63BB">
              <w:rPr>
                <w:rStyle w:val="Textoennegrita"/>
                <w:rFonts w:ascii="Lato" w:eastAsia="Times New Roman" w:hAnsi="Lato"/>
                <w:color w:val="000000"/>
                <w:sz w:val="20"/>
                <w:szCs w:val="20"/>
              </w:rPr>
              <w:t>PARTICIPACIONES Y APORTACIONES</w:t>
            </w:r>
          </w:p>
        </w:tc>
        <w:tc>
          <w:tcPr>
            <w:tcW w:w="0" w:type="auto"/>
            <w:vAlign w:val="center"/>
            <w:hideMark/>
          </w:tcPr>
          <w:p w:rsidR="00A77D17" w:rsidRPr="00EB63BB" w:rsidRDefault="00A77D17" w:rsidP="006D14EC">
            <w:pPr>
              <w:rPr>
                <w:rFonts w:ascii="Lato" w:eastAsia="Times New Roman" w:hAnsi="Lato"/>
                <w:sz w:val="20"/>
                <w:szCs w:val="20"/>
              </w:rPr>
            </w:pP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PARTICIPACIONES</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2,862,889,280.93</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APORTACIONES</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2,051,407,665.00</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sz w:val="20"/>
                <w:szCs w:val="20"/>
              </w:rPr>
            </w:pPr>
            <w:r w:rsidRPr="00EB63BB">
              <w:rPr>
                <w:rStyle w:val="Textoennegrita"/>
                <w:rFonts w:ascii="Lato" w:eastAsia="Times New Roman" w:hAnsi="Lato"/>
                <w:color w:val="000000"/>
                <w:sz w:val="20"/>
                <w:szCs w:val="20"/>
              </w:rPr>
              <w:t>TOTAL</w:t>
            </w:r>
          </w:p>
        </w:tc>
        <w:tc>
          <w:tcPr>
            <w:tcW w:w="0" w:type="auto"/>
            <w:tcBorders>
              <w:top w:val="single" w:sz="12" w:space="0" w:color="000000"/>
              <w:bottom w:val="single" w:sz="12" w:space="0" w:color="000000"/>
            </w:tcBorders>
            <w:vAlign w:val="center"/>
            <w:hideMark/>
          </w:tcPr>
          <w:p w:rsidR="00A77D17" w:rsidRPr="00EB63BB" w:rsidRDefault="00A77D17" w:rsidP="006D14EC">
            <w:pPr>
              <w:jc w:val="right"/>
              <w:rPr>
                <w:rFonts w:ascii="Lato" w:eastAsia="Times New Roman" w:hAnsi="Lato"/>
                <w:sz w:val="20"/>
                <w:szCs w:val="20"/>
              </w:rPr>
            </w:pPr>
            <w:r w:rsidRPr="00EB63BB">
              <w:rPr>
                <w:rStyle w:val="Textoennegrita"/>
                <w:rFonts w:ascii="Lato" w:eastAsia="Times New Roman" w:hAnsi="Lato"/>
                <w:color w:val="000000"/>
                <w:sz w:val="20"/>
                <w:szCs w:val="20"/>
              </w:rPr>
              <w:t>4,914,296,945.93</w:t>
            </w:r>
          </w:p>
        </w:tc>
      </w:tr>
    </w:tbl>
    <w:p w:rsidR="00A77D17" w:rsidRDefault="00A77D17" w:rsidP="00A77D17">
      <w:pPr>
        <w:divId w:val="35980657"/>
        <w:rPr>
          <w:rFonts w:ascii="Lato" w:eastAsia="Times New Roman" w:hAnsi="Lato"/>
          <w:sz w:val="20"/>
          <w:szCs w:val="20"/>
        </w:rPr>
      </w:pPr>
    </w:p>
    <w:p w:rsidR="00EB63BB" w:rsidRDefault="00EB63BB" w:rsidP="00A77D17">
      <w:pPr>
        <w:divId w:val="35980657"/>
        <w:rPr>
          <w:rFonts w:ascii="Lato" w:eastAsia="Times New Roman" w:hAnsi="Lato"/>
          <w:sz w:val="20"/>
          <w:szCs w:val="20"/>
        </w:rPr>
      </w:pPr>
    </w:p>
    <w:p w:rsidR="00EB63BB" w:rsidRDefault="00EB63BB" w:rsidP="00A77D17">
      <w:pPr>
        <w:divId w:val="35980657"/>
        <w:rPr>
          <w:rFonts w:ascii="Lato" w:eastAsia="Times New Roman" w:hAnsi="Lato"/>
          <w:sz w:val="20"/>
          <w:szCs w:val="20"/>
        </w:rPr>
      </w:pPr>
    </w:p>
    <w:p w:rsidR="00EB63BB" w:rsidRDefault="00EB63BB" w:rsidP="00A77D17">
      <w:pPr>
        <w:divId w:val="35980657"/>
        <w:rPr>
          <w:rFonts w:ascii="Lato" w:eastAsia="Times New Roman" w:hAnsi="Lato"/>
          <w:sz w:val="20"/>
          <w:szCs w:val="20"/>
        </w:rPr>
      </w:pP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6283"/>
        <w:gridCol w:w="1493"/>
      </w:tblGrid>
      <w:tr w:rsidR="00A77D17" w:rsidRPr="00EB63BB" w:rsidTr="00A77D17">
        <w:trPr>
          <w:divId w:val="35980657"/>
          <w:tblCellSpacing w:w="15" w:type="dxa"/>
        </w:trPr>
        <w:tc>
          <w:tcPr>
            <w:tcW w:w="0" w:type="auto"/>
            <w:vAlign w:val="center"/>
            <w:hideMark/>
          </w:tcPr>
          <w:p w:rsidR="00A77D17" w:rsidRPr="00EB63BB" w:rsidRDefault="00EB63BB" w:rsidP="006D14EC">
            <w:pPr>
              <w:rPr>
                <w:rFonts w:ascii="Lato" w:eastAsia="Times New Roman" w:hAnsi="Lato"/>
                <w:sz w:val="20"/>
                <w:szCs w:val="20"/>
              </w:rPr>
            </w:pPr>
            <w:r>
              <w:rPr>
                <w:rStyle w:val="Textoennegrita"/>
                <w:rFonts w:ascii="Lato" w:eastAsia="Times New Roman" w:hAnsi="Lato"/>
                <w:color w:val="000000"/>
                <w:sz w:val="20"/>
                <w:szCs w:val="20"/>
              </w:rPr>
              <w:lastRenderedPageBreak/>
              <w:t>I</w:t>
            </w:r>
            <w:r w:rsidR="00A77D17" w:rsidRPr="00EB63BB">
              <w:rPr>
                <w:rStyle w:val="Textoennegrita"/>
                <w:rFonts w:ascii="Lato" w:eastAsia="Times New Roman" w:hAnsi="Lato"/>
                <w:color w:val="000000"/>
                <w:sz w:val="20"/>
                <w:szCs w:val="20"/>
              </w:rPr>
              <w:t>NTERESES, COMISIONES Y OTROS GASTOS DE LA DEUDA PUBLICA</w:t>
            </w:r>
          </w:p>
        </w:tc>
        <w:tc>
          <w:tcPr>
            <w:tcW w:w="0" w:type="auto"/>
            <w:vAlign w:val="center"/>
            <w:hideMark/>
          </w:tcPr>
          <w:p w:rsidR="00A77D17" w:rsidRPr="00EB63BB" w:rsidRDefault="00A77D17" w:rsidP="006D14EC">
            <w:pPr>
              <w:rPr>
                <w:rFonts w:ascii="Lato" w:eastAsia="Times New Roman" w:hAnsi="Lato"/>
                <w:sz w:val="20"/>
                <w:szCs w:val="20"/>
              </w:rPr>
            </w:pP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INTERESES DE LA DEUDA PÚBLICA</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350,400,589.78</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COSTO POR COBERTURAS</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23,916,956.04</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sz w:val="20"/>
                <w:szCs w:val="20"/>
              </w:rPr>
            </w:pPr>
            <w:r w:rsidRPr="00EB63BB">
              <w:rPr>
                <w:rStyle w:val="Textoennegrita"/>
                <w:rFonts w:ascii="Lato" w:eastAsia="Times New Roman" w:hAnsi="Lato"/>
                <w:color w:val="000000"/>
                <w:sz w:val="20"/>
                <w:szCs w:val="20"/>
              </w:rPr>
              <w:t>TOTAL</w:t>
            </w:r>
          </w:p>
        </w:tc>
        <w:tc>
          <w:tcPr>
            <w:tcW w:w="0" w:type="auto"/>
            <w:tcBorders>
              <w:top w:val="single" w:sz="12" w:space="0" w:color="000000"/>
              <w:bottom w:val="single" w:sz="12" w:space="0" w:color="000000"/>
            </w:tcBorders>
            <w:vAlign w:val="center"/>
            <w:hideMark/>
          </w:tcPr>
          <w:p w:rsidR="00A77D17" w:rsidRPr="00EB63BB" w:rsidRDefault="00A77D17" w:rsidP="006D14EC">
            <w:pPr>
              <w:jc w:val="right"/>
              <w:rPr>
                <w:rFonts w:ascii="Lato" w:eastAsia="Times New Roman" w:hAnsi="Lato"/>
                <w:sz w:val="20"/>
                <w:szCs w:val="20"/>
              </w:rPr>
            </w:pPr>
            <w:r w:rsidRPr="00EB63BB">
              <w:rPr>
                <w:rStyle w:val="Textoennegrita"/>
                <w:rFonts w:ascii="Lato" w:eastAsia="Times New Roman" w:hAnsi="Lato"/>
                <w:color w:val="000000"/>
                <w:sz w:val="20"/>
                <w:szCs w:val="20"/>
              </w:rPr>
              <w:t>374,317,545.82</w:t>
            </w:r>
          </w:p>
        </w:tc>
      </w:tr>
    </w:tbl>
    <w:p w:rsidR="00A77D17" w:rsidRPr="00EB63BB" w:rsidRDefault="00A77D17" w:rsidP="00A77D17">
      <w:pPr>
        <w:divId w:val="35980657"/>
        <w:rPr>
          <w:rFonts w:ascii="Lato" w:eastAsia="Times New Roman" w:hAnsi="Lato"/>
          <w:sz w:val="20"/>
          <w:szCs w:val="20"/>
        </w:rPr>
      </w:pPr>
    </w:p>
    <w:tbl>
      <w:tblPr>
        <w:tblW w:w="4000" w:type="pct"/>
        <w:tblCellSpacing w:w="15" w:type="dxa"/>
        <w:tblCellMar>
          <w:top w:w="15" w:type="dxa"/>
          <w:left w:w="15" w:type="dxa"/>
          <w:bottom w:w="15" w:type="dxa"/>
          <w:right w:w="15" w:type="dxa"/>
        </w:tblCellMar>
        <w:tblLook w:val="04A0" w:firstRow="1" w:lastRow="0" w:firstColumn="1" w:lastColumn="0" w:noHBand="0" w:noVBand="1"/>
      </w:tblPr>
      <w:tblGrid>
        <w:gridCol w:w="8794"/>
        <w:gridCol w:w="1574"/>
      </w:tblGrid>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sz w:val="20"/>
                <w:szCs w:val="20"/>
              </w:rPr>
            </w:pPr>
            <w:r w:rsidRPr="00EB63BB">
              <w:rPr>
                <w:rStyle w:val="Textoennegrita"/>
                <w:rFonts w:ascii="Lato" w:eastAsia="Times New Roman" w:hAnsi="Lato"/>
                <w:color w:val="000000"/>
                <w:sz w:val="20"/>
                <w:szCs w:val="20"/>
              </w:rPr>
              <w:t>OTROS GASTOS Y PERDIDAS EXTRAORDINARIAS</w:t>
            </w:r>
          </w:p>
        </w:tc>
        <w:tc>
          <w:tcPr>
            <w:tcW w:w="0" w:type="auto"/>
            <w:vAlign w:val="center"/>
            <w:hideMark/>
          </w:tcPr>
          <w:p w:rsidR="00A77D17" w:rsidRPr="00EB63BB" w:rsidRDefault="00A77D17" w:rsidP="006D14EC">
            <w:pPr>
              <w:rPr>
                <w:rFonts w:ascii="Lato" w:eastAsia="Times New Roman" w:hAnsi="Lato"/>
                <w:sz w:val="20"/>
                <w:szCs w:val="20"/>
              </w:rPr>
            </w:pP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ESTIMACIONES, DEPRECIACIONES, DETERIOROS, OBSOLESCENCIA Y AMORTIZACIONES</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170,379,511.00</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color w:val="000000"/>
                <w:sz w:val="20"/>
                <w:szCs w:val="20"/>
              </w:rPr>
            </w:pPr>
            <w:r w:rsidRPr="00EB63BB">
              <w:rPr>
                <w:rFonts w:ascii="Lato" w:eastAsia="Times New Roman" w:hAnsi="Lato"/>
                <w:color w:val="000000"/>
                <w:sz w:val="20"/>
                <w:szCs w:val="20"/>
              </w:rPr>
              <w:t>OTROS GASTOS</w:t>
            </w:r>
          </w:p>
        </w:tc>
        <w:tc>
          <w:tcPr>
            <w:tcW w:w="0" w:type="auto"/>
            <w:vAlign w:val="center"/>
            <w:hideMark/>
          </w:tcPr>
          <w:p w:rsidR="00A77D17" w:rsidRPr="00EB63BB" w:rsidRDefault="00A77D17" w:rsidP="006D14EC">
            <w:pPr>
              <w:jc w:val="right"/>
              <w:rPr>
                <w:rFonts w:ascii="Lato" w:eastAsia="Times New Roman" w:hAnsi="Lato"/>
                <w:sz w:val="20"/>
                <w:szCs w:val="20"/>
              </w:rPr>
            </w:pPr>
            <w:r w:rsidRPr="00EB63BB">
              <w:rPr>
                <w:rFonts w:ascii="Lato" w:eastAsia="Times New Roman" w:hAnsi="Lato"/>
                <w:color w:val="000000"/>
                <w:sz w:val="20"/>
                <w:szCs w:val="20"/>
              </w:rPr>
              <w:t>3,868,706.06</w:t>
            </w:r>
          </w:p>
        </w:tc>
      </w:tr>
      <w:tr w:rsidR="00A77D17" w:rsidRPr="00EB63BB" w:rsidTr="00A77D17">
        <w:trPr>
          <w:divId w:val="35980657"/>
          <w:tblCellSpacing w:w="15" w:type="dxa"/>
        </w:trPr>
        <w:tc>
          <w:tcPr>
            <w:tcW w:w="0" w:type="auto"/>
            <w:vAlign w:val="center"/>
            <w:hideMark/>
          </w:tcPr>
          <w:p w:rsidR="00A77D17" w:rsidRPr="00EB63BB" w:rsidRDefault="00A77D17" w:rsidP="006D14EC">
            <w:pPr>
              <w:rPr>
                <w:rFonts w:ascii="Lato" w:eastAsia="Times New Roman" w:hAnsi="Lato"/>
                <w:sz w:val="20"/>
                <w:szCs w:val="20"/>
              </w:rPr>
            </w:pPr>
            <w:r w:rsidRPr="00EB63BB">
              <w:rPr>
                <w:rStyle w:val="Textoennegrita"/>
                <w:rFonts w:ascii="Lato" w:eastAsia="Times New Roman" w:hAnsi="Lato"/>
                <w:color w:val="000000"/>
                <w:sz w:val="20"/>
                <w:szCs w:val="20"/>
              </w:rPr>
              <w:t>TOTAL</w:t>
            </w:r>
          </w:p>
        </w:tc>
        <w:tc>
          <w:tcPr>
            <w:tcW w:w="0" w:type="auto"/>
            <w:tcBorders>
              <w:top w:val="single" w:sz="12" w:space="0" w:color="000000"/>
              <w:bottom w:val="single" w:sz="12" w:space="0" w:color="000000"/>
            </w:tcBorders>
            <w:vAlign w:val="center"/>
            <w:hideMark/>
          </w:tcPr>
          <w:p w:rsidR="00A77D17" w:rsidRPr="00EB63BB" w:rsidRDefault="00A77D17" w:rsidP="006D14EC">
            <w:pPr>
              <w:jc w:val="right"/>
              <w:rPr>
                <w:rFonts w:ascii="Lato" w:eastAsia="Times New Roman" w:hAnsi="Lato"/>
                <w:sz w:val="20"/>
                <w:szCs w:val="20"/>
              </w:rPr>
            </w:pPr>
            <w:r w:rsidRPr="00EB63BB">
              <w:rPr>
                <w:rStyle w:val="Textoennegrita"/>
                <w:rFonts w:ascii="Lato" w:eastAsia="Times New Roman" w:hAnsi="Lato"/>
                <w:color w:val="000000"/>
                <w:sz w:val="20"/>
                <w:szCs w:val="20"/>
              </w:rPr>
              <w:t>174,248,217.06</w:t>
            </w:r>
          </w:p>
        </w:tc>
      </w:tr>
    </w:tbl>
    <w:p w:rsidR="00A77D17" w:rsidRPr="00EB63BB" w:rsidRDefault="00A77D17" w:rsidP="00CD2C56">
      <w:pPr>
        <w:divId w:val="35980657"/>
        <w:rPr>
          <w:rFonts w:ascii="Lato" w:eastAsia="Times New Roman" w:hAnsi="Lato"/>
          <w:sz w:val="20"/>
          <w:szCs w:val="20"/>
        </w:rPr>
      </w:pPr>
    </w:p>
    <w:p w:rsidR="00B027B5" w:rsidRPr="00EB63BB" w:rsidRDefault="00642EB6">
      <w:pPr>
        <w:jc w:val="both"/>
        <w:divId w:val="1963730332"/>
        <w:rPr>
          <w:rFonts w:ascii="Lato" w:eastAsia="Times New Roman" w:hAnsi="Lato"/>
          <w:sz w:val="20"/>
          <w:szCs w:val="20"/>
        </w:rPr>
      </w:pPr>
      <w:r w:rsidRPr="00EB63BB">
        <w:rPr>
          <w:rFonts w:ascii="Lato" w:eastAsia="Times New Roman" w:hAnsi="Lato"/>
          <w:sz w:val="20"/>
          <w:szCs w:val="20"/>
        </w:rPr>
        <w:t>A. La cuenta de “Servicios</w:t>
      </w:r>
      <w:r w:rsidR="000F156E" w:rsidRPr="00EB63BB">
        <w:rPr>
          <w:rFonts w:ascii="Lato" w:eastAsia="Times New Roman" w:hAnsi="Lato"/>
          <w:sz w:val="20"/>
          <w:szCs w:val="20"/>
        </w:rPr>
        <w:t xml:space="preserve"> Personales” repres</w:t>
      </w:r>
      <w:r w:rsidR="00FB348A" w:rsidRPr="00EB63BB">
        <w:rPr>
          <w:rFonts w:ascii="Lato" w:eastAsia="Times New Roman" w:hAnsi="Lato"/>
          <w:sz w:val="20"/>
          <w:szCs w:val="20"/>
        </w:rPr>
        <w:t>enta el 30.61</w:t>
      </w:r>
      <w:r w:rsidRPr="00EB63BB">
        <w:rPr>
          <w:rFonts w:ascii="Lato" w:eastAsia="Times New Roman" w:hAnsi="Lato"/>
          <w:sz w:val="20"/>
          <w:szCs w:val="20"/>
        </w:rPr>
        <w:t>%, el cual corresponde al pago el cap</w:t>
      </w:r>
      <w:r w:rsidR="00350080" w:rsidRPr="00EB63BB">
        <w:rPr>
          <w:rFonts w:ascii="Lato" w:eastAsia="Times New Roman" w:hAnsi="Lato"/>
          <w:sz w:val="20"/>
          <w:szCs w:val="20"/>
        </w:rPr>
        <w:t>ítulo 1000 de 18</w:t>
      </w:r>
      <w:r w:rsidRPr="00EB63BB">
        <w:rPr>
          <w:rFonts w:ascii="Lato" w:eastAsia="Times New Roman" w:hAnsi="Lato"/>
          <w:sz w:val="20"/>
          <w:szCs w:val="20"/>
        </w:rPr>
        <w:t xml:space="preserve"> dependencias centralizadas del Poder Ejecutivo. </w:t>
      </w:r>
    </w:p>
    <w:p w:rsidR="00B027B5" w:rsidRPr="00EB63BB" w:rsidRDefault="00350080" w:rsidP="00FB348A">
      <w:pPr>
        <w:jc w:val="both"/>
        <w:divId w:val="1563448455"/>
        <w:rPr>
          <w:rFonts w:ascii="Lato" w:eastAsia="Times New Roman" w:hAnsi="Lato"/>
          <w:sz w:val="20"/>
          <w:szCs w:val="20"/>
        </w:rPr>
      </w:pPr>
      <w:r w:rsidRPr="00EB63BB">
        <w:rPr>
          <w:rFonts w:ascii="Lato" w:eastAsia="Times New Roman" w:hAnsi="Lato"/>
          <w:sz w:val="20"/>
          <w:szCs w:val="20"/>
        </w:rPr>
        <w:t xml:space="preserve">         </w:t>
      </w:r>
      <w:r w:rsidR="00642EB6" w:rsidRPr="00EB63BB">
        <w:rPr>
          <w:rFonts w:ascii="Lato" w:eastAsia="Times New Roman" w:hAnsi="Lato"/>
          <w:sz w:val="20"/>
          <w:szCs w:val="20"/>
        </w:rPr>
        <w:t>Son los recursos empleados para cubrir las remuneraciones del personal al servicio de las Dependencias y Órganos Desconcentrados, que integran el Poder Ejecutivo, encargados de ofrecer a la ciudadanía servicios de seguridad pública y justicia, salud, educación, entre otros.</w:t>
      </w:r>
    </w:p>
    <w:p w:rsidR="00B027B5" w:rsidRPr="00EB63BB" w:rsidRDefault="00642EB6" w:rsidP="00FB348A">
      <w:pPr>
        <w:jc w:val="both"/>
        <w:divId w:val="1550143729"/>
        <w:rPr>
          <w:rFonts w:ascii="Lato" w:eastAsia="Times New Roman" w:hAnsi="Lato"/>
          <w:sz w:val="20"/>
          <w:szCs w:val="20"/>
        </w:rPr>
      </w:pPr>
      <w:r w:rsidRPr="00EB63BB">
        <w:rPr>
          <w:rFonts w:ascii="Lato" w:eastAsia="Times New Roman" w:hAnsi="Lato"/>
          <w:sz w:val="20"/>
          <w:szCs w:val="20"/>
        </w:rPr>
        <w:t>B. Las cuentas de “Transferencias, Asignaciones, Subsidio</w:t>
      </w:r>
      <w:r w:rsidR="000F156E" w:rsidRPr="00EB63BB">
        <w:rPr>
          <w:rFonts w:ascii="Lato" w:eastAsia="Times New Roman" w:hAnsi="Lato"/>
          <w:sz w:val="20"/>
          <w:szCs w:val="20"/>
        </w:rPr>
        <w:t>s y</w:t>
      </w:r>
      <w:r w:rsidR="00FB348A" w:rsidRPr="00EB63BB">
        <w:rPr>
          <w:rFonts w:ascii="Lato" w:eastAsia="Times New Roman" w:hAnsi="Lato"/>
          <w:sz w:val="20"/>
          <w:szCs w:val="20"/>
        </w:rPr>
        <w:t xml:space="preserve"> Otras</w:t>
      </w:r>
      <w:r w:rsidR="000F156E" w:rsidRPr="00EB63BB">
        <w:rPr>
          <w:rFonts w:ascii="Lato" w:eastAsia="Times New Roman" w:hAnsi="Lato"/>
          <w:sz w:val="20"/>
          <w:szCs w:val="20"/>
        </w:rPr>
        <w:t xml:space="preserve"> Ayuda</w:t>
      </w:r>
      <w:r w:rsidR="00FB348A" w:rsidRPr="00EB63BB">
        <w:rPr>
          <w:rFonts w:ascii="Lato" w:eastAsia="Times New Roman" w:hAnsi="Lato"/>
          <w:sz w:val="20"/>
          <w:szCs w:val="20"/>
        </w:rPr>
        <w:t>s”, representa el 41.23</w:t>
      </w:r>
      <w:r w:rsidRPr="00EB63BB">
        <w:rPr>
          <w:rFonts w:ascii="Lato" w:eastAsia="Times New Roman" w:hAnsi="Lato"/>
          <w:sz w:val="20"/>
          <w:szCs w:val="20"/>
        </w:rPr>
        <w:t>% del total de otros gastos, dicho importe corresponde a los recursos transferidos a las demás entidades del sector público.</w:t>
      </w:r>
    </w:p>
    <w:p w:rsidR="00B027B5" w:rsidRPr="00EB63BB" w:rsidRDefault="00642EB6">
      <w:pPr>
        <w:jc w:val="both"/>
        <w:divId w:val="1210335461"/>
        <w:rPr>
          <w:rFonts w:ascii="Lato" w:eastAsia="Times New Roman" w:hAnsi="Lato"/>
          <w:sz w:val="20"/>
          <w:szCs w:val="20"/>
        </w:rPr>
      </w:pPr>
      <w:r w:rsidRPr="00EB63BB">
        <w:rPr>
          <w:rFonts w:ascii="Lato" w:eastAsia="Times New Roman" w:hAnsi="Lato"/>
          <w:sz w:val="20"/>
          <w:szCs w:val="20"/>
        </w:rPr>
        <w:t>C. Las cuentas de “Participaciones y Ap</w:t>
      </w:r>
      <w:r w:rsidR="006B2792" w:rsidRPr="00EB63BB">
        <w:rPr>
          <w:rFonts w:ascii="Lato" w:eastAsia="Times New Roman" w:hAnsi="Lato"/>
          <w:sz w:val="20"/>
          <w:szCs w:val="20"/>
        </w:rPr>
        <w:t>or</w:t>
      </w:r>
      <w:r w:rsidR="00FB348A" w:rsidRPr="00EB63BB">
        <w:rPr>
          <w:rFonts w:ascii="Lato" w:eastAsia="Times New Roman" w:hAnsi="Lato"/>
          <w:sz w:val="20"/>
          <w:szCs w:val="20"/>
        </w:rPr>
        <w:t>taciones”, representa el 17.23</w:t>
      </w:r>
      <w:r w:rsidRPr="00EB63BB">
        <w:rPr>
          <w:rFonts w:ascii="Lato" w:eastAsia="Times New Roman" w:hAnsi="Lato"/>
          <w:sz w:val="20"/>
          <w:szCs w:val="20"/>
        </w:rPr>
        <w:t>% del total de los recursos transferidos a los municipios.</w:t>
      </w:r>
    </w:p>
    <w:p w:rsidR="008A42E3" w:rsidRDefault="008A42E3">
      <w:pPr>
        <w:jc w:val="both"/>
        <w:divId w:val="1210335461"/>
        <w:rPr>
          <w:rFonts w:ascii="Lato" w:eastAsia="Times New Roman" w:hAnsi="Lato"/>
          <w:sz w:val="20"/>
          <w:szCs w:val="20"/>
        </w:rPr>
      </w:pPr>
    </w:p>
    <w:p w:rsidR="00EB63BB" w:rsidRDefault="00EB63BB">
      <w:pPr>
        <w:jc w:val="both"/>
        <w:divId w:val="1210335461"/>
        <w:rPr>
          <w:rFonts w:ascii="Lato" w:eastAsia="Times New Roman" w:hAnsi="Lato"/>
          <w:sz w:val="20"/>
          <w:szCs w:val="20"/>
        </w:rPr>
      </w:pPr>
    </w:p>
    <w:p w:rsidR="00EB63BB" w:rsidRDefault="00EB63BB">
      <w:pPr>
        <w:jc w:val="both"/>
        <w:divId w:val="1210335461"/>
        <w:rPr>
          <w:rFonts w:ascii="Lato" w:eastAsia="Times New Roman" w:hAnsi="Lato"/>
          <w:sz w:val="20"/>
          <w:szCs w:val="20"/>
        </w:rPr>
      </w:pPr>
    </w:p>
    <w:p w:rsidR="00EB63BB" w:rsidRDefault="00EB63BB">
      <w:pPr>
        <w:jc w:val="both"/>
        <w:divId w:val="1210335461"/>
        <w:rPr>
          <w:rFonts w:ascii="Lato" w:eastAsia="Times New Roman" w:hAnsi="Lato"/>
          <w:sz w:val="20"/>
          <w:szCs w:val="20"/>
        </w:rPr>
      </w:pPr>
    </w:p>
    <w:p w:rsidR="00B027B5" w:rsidRPr="00EB63BB" w:rsidRDefault="00642EB6">
      <w:pPr>
        <w:divId w:val="1769766445"/>
        <w:rPr>
          <w:rFonts w:ascii="Lato" w:eastAsia="Times New Roman" w:hAnsi="Lato"/>
          <w:sz w:val="20"/>
          <w:szCs w:val="20"/>
        </w:rPr>
      </w:pPr>
      <w:r w:rsidRPr="00EB63BB">
        <w:rPr>
          <w:rStyle w:val="Textoennegrita"/>
          <w:rFonts w:ascii="Lato" w:eastAsia="Times New Roman" w:hAnsi="Lato"/>
          <w:sz w:val="20"/>
          <w:szCs w:val="20"/>
        </w:rPr>
        <w:lastRenderedPageBreak/>
        <w:t>II) NOTAS AL ESTADO DE SITUACIÓN FINANCIERA.</w:t>
      </w:r>
    </w:p>
    <w:p w:rsidR="00B027B5" w:rsidRPr="00EB63BB" w:rsidRDefault="00642EB6">
      <w:pPr>
        <w:divId w:val="633095976"/>
        <w:rPr>
          <w:rFonts w:ascii="Lato" w:eastAsia="Times New Roman" w:hAnsi="Lato"/>
          <w:sz w:val="20"/>
          <w:szCs w:val="20"/>
        </w:rPr>
      </w:pPr>
      <w:r w:rsidRPr="00EB63BB">
        <w:rPr>
          <w:rStyle w:val="Textoennegrita"/>
          <w:rFonts w:ascii="Lato" w:eastAsia="Times New Roman" w:hAnsi="Lato"/>
          <w:sz w:val="20"/>
          <w:szCs w:val="20"/>
        </w:rPr>
        <w:t xml:space="preserve">Activo </w:t>
      </w:r>
    </w:p>
    <w:p w:rsidR="00B027B5" w:rsidRPr="00EB63BB" w:rsidRDefault="00642EB6">
      <w:pPr>
        <w:divId w:val="1772701853"/>
        <w:rPr>
          <w:rFonts w:ascii="Lato" w:eastAsia="Times New Roman" w:hAnsi="Lato"/>
          <w:sz w:val="20"/>
          <w:szCs w:val="20"/>
        </w:rPr>
      </w:pPr>
      <w:r w:rsidRPr="00EB63BB">
        <w:rPr>
          <w:rStyle w:val="Textoennegrita"/>
          <w:rFonts w:ascii="Lato" w:eastAsia="Times New Roman" w:hAnsi="Lato"/>
          <w:sz w:val="20"/>
          <w:szCs w:val="20"/>
        </w:rPr>
        <w:t>Efectivo y Equivalentes</w:t>
      </w: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1.- La cuenta de bancos y la de inversiones temporales q</w:t>
      </w:r>
      <w:r w:rsidR="00155E1E" w:rsidRPr="00EB63BB">
        <w:rPr>
          <w:rFonts w:ascii="Lato" w:eastAsia="Times New Roman" w:hAnsi="Lato"/>
          <w:sz w:val="20"/>
          <w:szCs w:val="20"/>
        </w:rPr>
        <w:t>ue integra el 89.95</w:t>
      </w:r>
      <w:r w:rsidRPr="00EB63BB">
        <w:rPr>
          <w:rFonts w:ascii="Lato" w:eastAsia="Times New Roman" w:hAnsi="Lato"/>
          <w:sz w:val="20"/>
          <w:szCs w:val="20"/>
        </w:rPr>
        <w:t xml:space="preserve"> % de la cuenta de efectivo y equivalentes se encuentra integrada por tipo de cuenta bancaria de la siguiente manera:</w:t>
      </w:r>
    </w:p>
    <w:tbl>
      <w:tblPr>
        <w:tblW w:w="2000" w:type="pct"/>
        <w:tblCellSpacing w:w="15" w:type="dxa"/>
        <w:tblCellMar>
          <w:top w:w="15" w:type="dxa"/>
          <w:left w:w="15" w:type="dxa"/>
          <w:bottom w:w="15" w:type="dxa"/>
          <w:right w:w="15" w:type="dxa"/>
        </w:tblCellMar>
        <w:tblLook w:val="04A0" w:firstRow="1" w:lastRow="0" w:firstColumn="1" w:lastColumn="0" w:noHBand="0" w:noVBand="1"/>
      </w:tblPr>
      <w:tblGrid>
        <w:gridCol w:w="1351"/>
        <w:gridCol w:w="1642"/>
        <w:gridCol w:w="2191"/>
      </w:tblGrid>
      <w:tr w:rsidR="00FB348A" w:rsidRPr="00EB63BB" w:rsidTr="00FB348A">
        <w:trPr>
          <w:divId w:val="35980657"/>
          <w:tblCellSpacing w:w="15" w:type="dxa"/>
        </w:trPr>
        <w:tc>
          <w:tcPr>
            <w:tcW w:w="0" w:type="auto"/>
            <w:vAlign w:val="center"/>
            <w:hideMark/>
          </w:tcPr>
          <w:p w:rsidR="00FB348A" w:rsidRPr="00EB63BB" w:rsidRDefault="00FB348A" w:rsidP="00D57601">
            <w:pPr>
              <w:jc w:val="center"/>
              <w:rPr>
                <w:rFonts w:ascii="Lato" w:eastAsia="Times New Roman" w:hAnsi="Lato"/>
                <w:sz w:val="20"/>
                <w:szCs w:val="20"/>
              </w:rPr>
            </w:pPr>
            <w:r w:rsidRPr="00EB63BB">
              <w:rPr>
                <w:rStyle w:val="Textoennegrita"/>
                <w:rFonts w:ascii="Lato" w:eastAsia="Times New Roman" w:hAnsi="Lato"/>
                <w:color w:val="000000"/>
                <w:sz w:val="20"/>
                <w:szCs w:val="20"/>
              </w:rPr>
              <w:t>Tipo de Banco</w:t>
            </w:r>
          </w:p>
        </w:tc>
        <w:tc>
          <w:tcPr>
            <w:tcW w:w="0" w:type="auto"/>
            <w:vAlign w:val="center"/>
            <w:hideMark/>
          </w:tcPr>
          <w:p w:rsidR="00FB348A" w:rsidRPr="00EB63BB" w:rsidRDefault="00FB348A" w:rsidP="00D57601">
            <w:pPr>
              <w:jc w:val="center"/>
              <w:rPr>
                <w:rFonts w:ascii="Lato" w:eastAsia="Times New Roman" w:hAnsi="Lato"/>
                <w:sz w:val="20"/>
                <w:szCs w:val="20"/>
              </w:rPr>
            </w:pPr>
            <w:r w:rsidRPr="00EB63BB">
              <w:rPr>
                <w:rStyle w:val="Textoennegrita"/>
                <w:rFonts w:ascii="Lato" w:eastAsia="Times New Roman" w:hAnsi="Lato"/>
                <w:color w:val="000000"/>
                <w:sz w:val="20"/>
                <w:szCs w:val="20"/>
              </w:rPr>
              <w:t>Bancos</w:t>
            </w:r>
          </w:p>
        </w:tc>
        <w:tc>
          <w:tcPr>
            <w:tcW w:w="0" w:type="auto"/>
            <w:vAlign w:val="center"/>
            <w:hideMark/>
          </w:tcPr>
          <w:p w:rsidR="00FB348A" w:rsidRPr="00EB63BB" w:rsidRDefault="00FB348A" w:rsidP="00D57601">
            <w:pPr>
              <w:jc w:val="center"/>
              <w:rPr>
                <w:rFonts w:ascii="Lato" w:eastAsia="Times New Roman" w:hAnsi="Lato"/>
                <w:sz w:val="20"/>
                <w:szCs w:val="20"/>
              </w:rPr>
            </w:pPr>
            <w:r w:rsidRPr="00EB63BB">
              <w:rPr>
                <w:rStyle w:val="Textoennegrita"/>
                <w:rFonts w:ascii="Lato" w:eastAsia="Times New Roman" w:hAnsi="Lato"/>
                <w:color w:val="000000"/>
                <w:sz w:val="20"/>
                <w:szCs w:val="20"/>
              </w:rPr>
              <w:t>Inversiones Temporales</w:t>
            </w:r>
          </w:p>
        </w:tc>
      </w:tr>
      <w:tr w:rsidR="00FB348A" w:rsidRPr="00EB63BB" w:rsidTr="00FB348A">
        <w:trPr>
          <w:divId w:val="35980657"/>
          <w:tblCellSpacing w:w="15" w:type="dxa"/>
        </w:trPr>
        <w:tc>
          <w:tcPr>
            <w:tcW w:w="0" w:type="auto"/>
            <w:vAlign w:val="center"/>
            <w:hideMark/>
          </w:tcPr>
          <w:p w:rsidR="00FB348A" w:rsidRPr="00EB63BB" w:rsidRDefault="00FB348A" w:rsidP="00D57601">
            <w:pPr>
              <w:rPr>
                <w:rFonts w:ascii="Lato" w:eastAsia="Times New Roman" w:hAnsi="Lato"/>
                <w:sz w:val="20"/>
                <w:szCs w:val="20"/>
              </w:rPr>
            </w:pPr>
            <w:r w:rsidRPr="00EB63BB">
              <w:rPr>
                <w:rStyle w:val="Textoennegrita"/>
                <w:rFonts w:ascii="Lato" w:eastAsia="Times New Roman" w:hAnsi="Lato"/>
                <w:color w:val="000000"/>
                <w:sz w:val="20"/>
                <w:szCs w:val="20"/>
              </w:rPr>
              <w:t>TOTAL</w:t>
            </w:r>
          </w:p>
        </w:tc>
        <w:tc>
          <w:tcPr>
            <w:tcW w:w="0" w:type="auto"/>
            <w:tcBorders>
              <w:top w:val="single" w:sz="12" w:space="0" w:color="000000"/>
              <w:bottom w:val="single" w:sz="12" w:space="0" w:color="000000"/>
            </w:tcBorders>
            <w:vAlign w:val="center"/>
            <w:hideMark/>
          </w:tcPr>
          <w:p w:rsidR="00FB348A" w:rsidRPr="00EB63BB" w:rsidRDefault="00FB348A" w:rsidP="00D57601">
            <w:pPr>
              <w:jc w:val="right"/>
              <w:rPr>
                <w:rFonts w:ascii="Lato" w:eastAsia="Times New Roman" w:hAnsi="Lato"/>
                <w:sz w:val="20"/>
                <w:szCs w:val="20"/>
              </w:rPr>
            </w:pPr>
            <w:r w:rsidRPr="00EB63BB">
              <w:rPr>
                <w:rStyle w:val="Textoennegrita"/>
                <w:rFonts w:ascii="Lato" w:eastAsia="Times New Roman" w:hAnsi="Lato"/>
                <w:color w:val="000000"/>
                <w:sz w:val="20"/>
                <w:szCs w:val="20"/>
              </w:rPr>
              <w:t>2,015,619,035.58</w:t>
            </w:r>
          </w:p>
        </w:tc>
        <w:tc>
          <w:tcPr>
            <w:tcW w:w="0" w:type="auto"/>
            <w:tcBorders>
              <w:top w:val="single" w:sz="12" w:space="0" w:color="000000"/>
              <w:bottom w:val="single" w:sz="12" w:space="0" w:color="000000"/>
            </w:tcBorders>
            <w:vAlign w:val="center"/>
            <w:hideMark/>
          </w:tcPr>
          <w:p w:rsidR="00FB348A" w:rsidRPr="00EB63BB" w:rsidRDefault="00FB348A" w:rsidP="00D57601">
            <w:pPr>
              <w:jc w:val="right"/>
              <w:rPr>
                <w:rFonts w:ascii="Lato" w:eastAsia="Times New Roman" w:hAnsi="Lato"/>
                <w:sz w:val="20"/>
                <w:szCs w:val="20"/>
              </w:rPr>
            </w:pPr>
            <w:r w:rsidRPr="00EB63BB">
              <w:rPr>
                <w:rStyle w:val="Textoennegrita"/>
                <w:rFonts w:ascii="Lato" w:eastAsia="Times New Roman" w:hAnsi="Lato"/>
                <w:color w:val="000000"/>
                <w:sz w:val="20"/>
                <w:szCs w:val="20"/>
              </w:rPr>
              <w:t>1,910,932,481.53</w:t>
            </w:r>
          </w:p>
        </w:tc>
      </w:tr>
    </w:tbl>
    <w:p w:rsidR="00FB348A" w:rsidRPr="00EB63BB" w:rsidRDefault="00FB348A">
      <w:pPr>
        <w:jc w:val="both"/>
        <w:divId w:val="35980657"/>
        <w:rPr>
          <w:rFonts w:ascii="Lato" w:eastAsia="Times New Roman" w:hAnsi="Lato"/>
          <w:sz w:val="20"/>
          <w:szCs w:val="20"/>
        </w:rPr>
      </w:pP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Esta información resulta de las operaciones sobre los recursos disponibles en cuentas bancarias, del ente público y que están asociadas a los recursos financieros que el Poder Ejecutivo, concentra, custodia y administra principalmente en la Secretaría de Administración y Finanzas y en menor medida, aquellos que están en poder de las Unidades Ejecutoras del Gasto del Sector Central.</w:t>
      </w:r>
    </w:p>
    <w:p w:rsidR="00DA283B" w:rsidRPr="00EB63BB" w:rsidRDefault="00DA283B">
      <w:pPr>
        <w:jc w:val="both"/>
        <w:divId w:val="35980657"/>
        <w:rPr>
          <w:rFonts w:ascii="Lato" w:eastAsia="Times New Roman" w:hAnsi="Lato"/>
          <w:sz w:val="20"/>
          <w:szCs w:val="20"/>
        </w:rPr>
      </w:pPr>
    </w:p>
    <w:p w:rsidR="00B027B5" w:rsidRPr="00EB63BB" w:rsidRDefault="00642EB6">
      <w:pPr>
        <w:divId w:val="285507153"/>
        <w:rPr>
          <w:rFonts w:ascii="Lato" w:eastAsia="Times New Roman" w:hAnsi="Lato"/>
          <w:sz w:val="20"/>
          <w:szCs w:val="20"/>
        </w:rPr>
      </w:pPr>
      <w:r w:rsidRPr="00EB63BB">
        <w:rPr>
          <w:rStyle w:val="Textoennegrita"/>
          <w:rFonts w:ascii="Lato" w:eastAsia="Times New Roman" w:hAnsi="Lato"/>
          <w:sz w:val="20"/>
          <w:szCs w:val="20"/>
        </w:rPr>
        <w:t>Derechos a Recibir Efectivo y Equivalentes y Bienes y Servicios a Recibir</w:t>
      </w:r>
    </w:p>
    <w:p w:rsidR="00B027B5" w:rsidRPr="00EB63BB" w:rsidRDefault="00642EB6">
      <w:pPr>
        <w:divId w:val="490562146"/>
        <w:rPr>
          <w:rFonts w:ascii="Lato" w:eastAsia="Times New Roman" w:hAnsi="Lato"/>
          <w:sz w:val="20"/>
          <w:szCs w:val="20"/>
        </w:rPr>
      </w:pPr>
      <w:r w:rsidRPr="00EB63BB">
        <w:rPr>
          <w:rFonts w:ascii="Lato" w:eastAsia="Times New Roman" w:hAnsi="Lato"/>
          <w:sz w:val="20"/>
          <w:szCs w:val="20"/>
        </w:rPr>
        <w:t>2.- El saldo final de la cuenta 1.1.2.4.1 Carteras Agencia de Administración Fiscal, es de $ 0.00.</w:t>
      </w:r>
    </w:p>
    <w:p w:rsidR="00B027B5" w:rsidRPr="00EB63BB" w:rsidRDefault="00642EB6">
      <w:pPr>
        <w:divId w:val="2075615973"/>
        <w:rPr>
          <w:rFonts w:ascii="Lato" w:eastAsia="Times New Roman" w:hAnsi="Lato"/>
          <w:sz w:val="20"/>
          <w:szCs w:val="20"/>
        </w:rPr>
      </w:pPr>
      <w:r w:rsidRPr="00EB63BB">
        <w:rPr>
          <w:rFonts w:ascii="Lato" w:eastAsia="Times New Roman" w:hAnsi="Lato"/>
          <w:sz w:val="20"/>
          <w:szCs w:val="20"/>
        </w:rPr>
        <w:t>3.- La cuenta derechos a recibir efectivo o equivalentes, presenta cuentas por cobrar las cuales, se encuentran integradas de la siguiente manera:</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6283"/>
        <w:gridCol w:w="1493"/>
      </w:tblGrid>
      <w:tr w:rsidR="00155E1E" w:rsidRPr="00EB63BB" w:rsidTr="00155E1E">
        <w:trPr>
          <w:divId w:val="2075615973"/>
          <w:tblCellSpacing w:w="15" w:type="dxa"/>
        </w:trPr>
        <w:tc>
          <w:tcPr>
            <w:tcW w:w="0" w:type="auto"/>
            <w:vAlign w:val="center"/>
            <w:hideMark/>
          </w:tcPr>
          <w:p w:rsidR="00155E1E" w:rsidRPr="00EB63BB" w:rsidRDefault="00155E1E" w:rsidP="00D57601">
            <w:pPr>
              <w:rPr>
                <w:rFonts w:ascii="Lato" w:eastAsia="Times New Roman" w:hAnsi="Lato"/>
                <w:sz w:val="20"/>
                <w:szCs w:val="20"/>
              </w:rPr>
            </w:pPr>
            <w:r w:rsidRPr="00EB63BB">
              <w:rPr>
                <w:rStyle w:val="Textoennegrita"/>
                <w:rFonts w:ascii="Lato" w:eastAsia="Times New Roman" w:hAnsi="Lato"/>
                <w:color w:val="000000"/>
                <w:sz w:val="20"/>
                <w:szCs w:val="20"/>
              </w:rPr>
              <w:t>DERECHOS A RECIBIR EFECTIVO O EQUIVALENTES</w:t>
            </w:r>
          </w:p>
        </w:tc>
        <w:tc>
          <w:tcPr>
            <w:tcW w:w="0" w:type="auto"/>
            <w:vAlign w:val="center"/>
            <w:hideMark/>
          </w:tcPr>
          <w:p w:rsidR="00155E1E" w:rsidRPr="00EB63BB" w:rsidRDefault="00155E1E" w:rsidP="00D57601">
            <w:pPr>
              <w:rPr>
                <w:rFonts w:ascii="Lato" w:eastAsia="Times New Roman" w:hAnsi="Lato"/>
                <w:sz w:val="20"/>
                <w:szCs w:val="20"/>
              </w:rPr>
            </w:pPr>
          </w:p>
        </w:tc>
      </w:tr>
      <w:tr w:rsidR="00155E1E" w:rsidRPr="00EB63BB" w:rsidTr="00155E1E">
        <w:trPr>
          <w:divId w:val="2075615973"/>
          <w:tblCellSpacing w:w="15" w:type="dxa"/>
        </w:trPr>
        <w:tc>
          <w:tcPr>
            <w:tcW w:w="0" w:type="auto"/>
            <w:vAlign w:val="center"/>
            <w:hideMark/>
          </w:tcPr>
          <w:p w:rsidR="00155E1E" w:rsidRPr="00EB63BB" w:rsidRDefault="00155E1E" w:rsidP="00D57601">
            <w:pPr>
              <w:rPr>
                <w:rFonts w:ascii="Lato" w:eastAsia="Times New Roman" w:hAnsi="Lato"/>
                <w:sz w:val="20"/>
                <w:szCs w:val="20"/>
              </w:rPr>
            </w:pPr>
            <w:r w:rsidRPr="00EB63BB">
              <w:rPr>
                <w:rStyle w:val="Textoennegrita"/>
                <w:rFonts w:ascii="Lato" w:eastAsia="Times New Roman" w:hAnsi="Lato"/>
                <w:color w:val="000000"/>
                <w:sz w:val="20"/>
                <w:szCs w:val="20"/>
              </w:rPr>
              <w:t>CUENTAS POR COBRAR A CORTO PLAZO</w:t>
            </w:r>
          </w:p>
        </w:tc>
        <w:tc>
          <w:tcPr>
            <w:tcW w:w="0" w:type="auto"/>
            <w:vAlign w:val="center"/>
            <w:hideMark/>
          </w:tcPr>
          <w:p w:rsidR="00155E1E" w:rsidRPr="00EB63BB" w:rsidRDefault="00155E1E" w:rsidP="00D57601">
            <w:pPr>
              <w:rPr>
                <w:rFonts w:ascii="Lato" w:eastAsia="Times New Roman" w:hAnsi="Lato"/>
                <w:sz w:val="20"/>
                <w:szCs w:val="20"/>
              </w:rPr>
            </w:pPr>
          </w:p>
        </w:tc>
      </w:tr>
      <w:tr w:rsidR="00155E1E" w:rsidRPr="00EB63BB" w:rsidTr="00155E1E">
        <w:trPr>
          <w:divId w:val="2075615973"/>
          <w:tblCellSpacing w:w="15" w:type="dxa"/>
        </w:trPr>
        <w:tc>
          <w:tcPr>
            <w:tcW w:w="0" w:type="auto"/>
            <w:vAlign w:val="center"/>
            <w:hideMark/>
          </w:tcPr>
          <w:p w:rsidR="00155E1E" w:rsidRPr="00EB63BB" w:rsidRDefault="00155E1E" w:rsidP="00D57601">
            <w:pPr>
              <w:rPr>
                <w:rFonts w:ascii="Lato" w:eastAsia="Times New Roman" w:hAnsi="Lato"/>
                <w:color w:val="000000"/>
                <w:sz w:val="20"/>
                <w:szCs w:val="20"/>
              </w:rPr>
            </w:pPr>
            <w:r w:rsidRPr="00EB63BB">
              <w:rPr>
                <w:rFonts w:ascii="Lato" w:eastAsia="Times New Roman" w:hAnsi="Lato"/>
                <w:color w:val="000000"/>
                <w:sz w:val="20"/>
                <w:szCs w:val="20"/>
              </w:rPr>
              <w:t>CUENTAS POR COBRAR A MUNICIPIOS</w:t>
            </w:r>
          </w:p>
        </w:tc>
        <w:tc>
          <w:tcPr>
            <w:tcW w:w="0" w:type="auto"/>
            <w:vAlign w:val="center"/>
            <w:hideMark/>
          </w:tcPr>
          <w:p w:rsidR="00155E1E" w:rsidRPr="00EB63BB" w:rsidRDefault="00155E1E" w:rsidP="00D57601">
            <w:pPr>
              <w:jc w:val="right"/>
              <w:rPr>
                <w:rFonts w:ascii="Lato" w:eastAsia="Times New Roman" w:hAnsi="Lato"/>
                <w:sz w:val="20"/>
                <w:szCs w:val="20"/>
              </w:rPr>
            </w:pPr>
            <w:r w:rsidRPr="00EB63BB">
              <w:rPr>
                <w:rFonts w:ascii="Lato" w:eastAsia="Times New Roman" w:hAnsi="Lato"/>
                <w:color w:val="000000"/>
                <w:sz w:val="20"/>
                <w:szCs w:val="20"/>
              </w:rPr>
              <w:t>2,151,109.00</w:t>
            </w:r>
          </w:p>
        </w:tc>
      </w:tr>
      <w:tr w:rsidR="00155E1E" w:rsidRPr="00EB63BB" w:rsidTr="00155E1E">
        <w:trPr>
          <w:divId w:val="2075615973"/>
          <w:tblCellSpacing w:w="15" w:type="dxa"/>
        </w:trPr>
        <w:tc>
          <w:tcPr>
            <w:tcW w:w="0" w:type="auto"/>
            <w:vAlign w:val="center"/>
            <w:hideMark/>
          </w:tcPr>
          <w:p w:rsidR="00155E1E" w:rsidRPr="00EB63BB" w:rsidRDefault="00155E1E" w:rsidP="00D57601">
            <w:pPr>
              <w:rPr>
                <w:rFonts w:ascii="Lato" w:eastAsia="Times New Roman" w:hAnsi="Lato"/>
                <w:sz w:val="20"/>
                <w:szCs w:val="20"/>
              </w:rPr>
            </w:pPr>
            <w:r w:rsidRPr="00EB63BB">
              <w:rPr>
                <w:rStyle w:val="Textoennegrita"/>
                <w:rFonts w:ascii="Lato" w:eastAsia="Times New Roman" w:hAnsi="Lato"/>
                <w:color w:val="000000"/>
                <w:sz w:val="20"/>
                <w:szCs w:val="20"/>
              </w:rPr>
              <w:t>DEUDORES DIVERSOS POR COBRAR A CORTO PLAZO</w:t>
            </w:r>
          </w:p>
        </w:tc>
        <w:tc>
          <w:tcPr>
            <w:tcW w:w="0" w:type="auto"/>
            <w:vAlign w:val="center"/>
            <w:hideMark/>
          </w:tcPr>
          <w:p w:rsidR="00155E1E" w:rsidRPr="00EB63BB" w:rsidRDefault="00155E1E" w:rsidP="00D57601">
            <w:pPr>
              <w:rPr>
                <w:rFonts w:ascii="Lato" w:eastAsia="Times New Roman" w:hAnsi="Lato"/>
                <w:sz w:val="20"/>
                <w:szCs w:val="20"/>
              </w:rPr>
            </w:pPr>
          </w:p>
        </w:tc>
      </w:tr>
      <w:tr w:rsidR="00155E1E" w:rsidRPr="00EB63BB" w:rsidTr="00155E1E">
        <w:trPr>
          <w:divId w:val="2075615973"/>
          <w:tblCellSpacing w:w="15" w:type="dxa"/>
        </w:trPr>
        <w:tc>
          <w:tcPr>
            <w:tcW w:w="0" w:type="auto"/>
            <w:vAlign w:val="center"/>
            <w:hideMark/>
          </w:tcPr>
          <w:p w:rsidR="00155E1E" w:rsidRPr="00EB63BB" w:rsidRDefault="00155E1E" w:rsidP="00D57601">
            <w:pPr>
              <w:rPr>
                <w:rFonts w:ascii="Lato" w:eastAsia="Times New Roman" w:hAnsi="Lato"/>
                <w:color w:val="000000"/>
                <w:sz w:val="20"/>
                <w:szCs w:val="20"/>
              </w:rPr>
            </w:pPr>
            <w:r w:rsidRPr="00EB63BB">
              <w:rPr>
                <w:rFonts w:ascii="Lato" w:eastAsia="Times New Roman" w:hAnsi="Lato"/>
                <w:color w:val="000000"/>
                <w:sz w:val="20"/>
                <w:szCs w:val="20"/>
              </w:rPr>
              <w:t>CREDITOS PUENTE</w:t>
            </w:r>
          </w:p>
        </w:tc>
        <w:tc>
          <w:tcPr>
            <w:tcW w:w="0" w:type="auto"/>
            <w:vAlign w:val="center"/>
            <w:hideMark/>
          </w:tcPr>
          <w:p w:rsidR="00155E1E" w:rsidRPr="00EB63BB" w:rsidRDefault="00155E1E" w:rsidP="00D57601">
            <w:pPr>
              <w:jc w:val="right"/>
              <w:rPr>
                <w:rFonts w:ascii="Lato" w:eastAsia="Times New Roman" w:hAnsi="Lato"/>
                <w:sz w:val="20"/>
                <w:szCs w:val="20"/>
              </w:rPr>
            </w:pPr>
            <w:r w:rsidRPr="00EB63BB">
              <w:rPr>
                <w:rFonts w:ascii="Lato" w:eastAsia="Times New Roman" w:hAnsi="Lato"/>
                <w:color w:val="000000"/>
                <w:sz w:val="20"/>
                <w:szCs w:val="20"/>
              </w:rPr>
              <w:t>22,750,000.00</w:t>
            </w:r>
          </w:p>
        </w:tc>
      </w:tr>
      <w:tr w:rsidR="00155E1E" w:rsidRPr="00EB63BB" w:rsidTr="00155E1E">
        <w:trPr>
          <w:divId w:val="2075615973"/>
          <w:tblCellSpacing w:w="15" w:type="dxa"/>
        </w:trPr>
        <w:tc>
          <w:tcPr>
            <w:tcW w:w="0" w:type="auto"/>
            <w:vAlign w:val="center"/>
            <w:hideMark/>
          </w:tcPr>
          <w:p w:rsidR="00155E1E" w:rsidRPr="00EB63BB" w:rsidRDefault="00155E1E" w:rsidP="00D57601">
            <w:pPr>
              <w:rPr>
                <w:rFonts w:ascii="Lato" w:eastAsia="Times New Roman" w:hAnsi="Lato"/>
                <w:color w:val="000000"/>
                <w:sz w:val="20"/>
                <w:szCs w:val="20"/>
              </w:rPr>
            </w:pPr>
            <w:r w:rsidRPr="00EB63BB">
              <w:rPr>
                <w:rFonts w:ascii="Lato" w:eastAsia="Times New Roman" w:hAnsi="Lato"/>
                <w:color w:val="000000"/>
                <w:sz w:val="20"/>
                <w:szCs w:val="20"/>
              </w:rPr>
              <w:t>SUBSIDIO AL EMPLEO</w:t>
            </w:r>
          </w:p>
        </w:tc>
        <w:tc>
          <w:tcPr>
            <w:tcW w:w="0" w:type="auto"/>
            <w:vAlign w:val="center"/>
            <w:hideMark/>
          </w:tcPr>
          <w:p w:rsidR="00155E1E" w:rsidRPr="00EB63BB" w:rsidRDefault="00155E1E" w:rsidP="00D57601">
            <w:pPr>
              <w:jc w:val="right"/>
              <w:rPr>
                <w:rFonts w:ascii="Lato" w:eastAsia="Times New Roman" w:hAnsi="Lato"/>
                <w:sz w:val="20"/>
                <w:szCs w:val="20"/>
              </w:rPr>
            </w:pPr>
            <w:r w:rsidRPr="00EB63BB">
              <w:rPr>
                <w:rFonts w:ascii="Lato" w:eastAsia="Times New Roman" w:hAnsi="Lato"/>
                <w:color w:val="000000"/>
                <w:sz w:val="20"/>
                <w:szCs w:val="20"/>
              </w:rPr>
              <w:t>3,146,300.21</w:t>
            </w:r>
          </w:p>
        </w:tc>
      </w:tr>
      <w:tr w:rsidR="00155E1E" w:rsidRPr="00EB63BB" w:rsidTr="00155E1E">
        <w:trPr>
          <w:divId w:val="2075615973"/>
          <w:tblCellSpacing w:w="15" w:type="dxa"/>
        </w:trPr>
        <w:tc>
          <w:tcPr>
            <w:tcW w:w="0" w:type="auto"/>
            <w:vAlign w:val="center"/>
            <w:hideMark/>
          </w:tcPr>
          <w:p w:rsidR="00155E1E" w:rsidRPr="00EB63BB" w:rsidRDefault="00155E1E" w:rsidP="00D57601">
            <w:pPr>
              <w:rPr>
                <w:rFonts w:ascii="Lato" w:eastAsia="Times New Roman" w:hAnsi="Lato"/>
                <w:color w:val="000000"/>
                <w:sz w:val="20"/>
                <w:szCs w:val="20"/>
              </w:rPr>
            </w:pPr>
            <w:r w:rsidRPr="00EB63BB">
              <w:rPr>
                <w:rFonts w:ascii="Lato" w:eastAsia="Times New Roman" w:hAnsi="Lato"/>
                <w:color w:val="000000"/>
                <w:sz w:val="20"/>
                <w:szCs w:val="20"/>
              </w:rPr>
              <w:lastRenderedPageBreak/>
              <w:t>DEUDORES DIVERSOS</w:t>
            </w:r>
          </w:p>
        </w:tc>
        <w:tc>
          <w:tcPr>
            <w:tcW w:w="0" w:type="auto"/>
            <w:vAlign w:val="center"/>
            <w:hideMark/>
          </w:tcPr>
          <w:p w:rsidR="00155E1E" w:rsidRPr="00EB63BB" w:rsidRDefault="00155E1E" w:rsidP="00D57601">
            <w:pPr>
              <w:jc w:val="right"/>
              <w:rPr>
                <w:rFonts w:ascii="Lato" w:eastAsia="Times New Roman" w:hAnsi="Lato"/>
                <w:sz w:val="20"/>
                <w:szCs w:val="20"/>
              </w:rPr>
            </w:pPr>
            <w:r w:rsidRPr="00EB63BB">
              <w:rPr>
                <w:rFonts w:ascii="Lato" w:eastAsia="Times New Roman" w:hAnsi="Lato"/>
                <w:color w:val="000000"/>
                <w:sz w:val="20"/>
                <w:szCs w:val="20"/>
              </w:rPr>
              <w:t>27,454,001.14</w:t>
            </w:r>
          </w:p>
        </w:tc>
      </w:tr>
      <w:tr w:rsidR="00155E1E" w:rsidRPr="00EB63BB" w:rsidTr="00155E1E">
        <w:trPr>
          <w:divId w:val="2075615973"/>
          <w:tblCellSpacing w:w="15" w:type="dxa"/>
        </w:trPr>
        <w:tc>
          <w:tcPr>
            <w:tcW w:w="0" w:type="auto"/>
            <w:vAlign w:val="center"/>
            <w:hideMark/>
          </w:tcPr>
          <w:p w:rsidR="00155E1E" w:rsidRPr="00EB63BB" w:rsidRDefault="00155E1E" w:rsidP="00D57601">
            <w:pPr>
              <w:rPr>
                <w:rFonts w:ascii="Lato" w:eastAsia="Times New Roman" w:hAnsi="Lato"/>
                <w:color w:val="000000"/>
                <w:sz w:val="20"/>
                <w:szCs w:val="20"/>
              </w:rPr>
            </w:pPr>
            <w:r w:rsidRPr="00EB63BB">
              <w:rPr>
                <w:rFonts w:ascii="Lato" w:eastAsia="Times New Roman" w:hAnsi="Lato"/>
                <w:color w:val="000000"/>
                <w:sz w:val="20"/>
                <w:szCs w:val="20"/>
              </w:rPr>
              <w:t>OTROS</w:t>
            </w:r>
          </w:p>
        </w:tc>
        <w:tc>
          <w:tcPr>
            <w:tcW w:w="0" w:type="auto"/>
            <w:vAlign w:val="center"/>
            <w:hideMark/>
          </w:tcPr>
          <w:p w:rsidR="00155E1E" w:rsidRPr="00EB63BB" w:rsidRDefault="00155E1E" w:rsidP="00D57601">
            <w:pPr>
              <w:jc w:val="right"/>
              <w:rPr>
                <w:rFonts w:ascii="Lato" w:eastAsia="Times New Roman" w:hAnsi="Lato"/>
                <w:sz w:val="20"/>
                <w:szCs w:val="20"/>
              </w:rPr>
            </w:pPr>
            <w:r w:rsidRPr="00EB63BB">
              <w:rPr>
                <w:rFonts w:ascii="Lato" w:eastAsia="Times New Roman" w:hAnsi="Lato"/>
                <w:color w:val="000000"/>
                <w:sz w:val="20"/>
                <w:szCs w:val="20"/>
              </w:rPr>
              <w:t>12,904,027.77</w:t>
            </w:r>
          </w:p>
        </w:tc>
      </w:tr>
      <w:tr w:rsidR="00155E1E" w:rsidRPr="00EB63BB" w:rsidTr="00155E1E">
        <w:trPr>
          <w:divId w:val="2075615973"/>
          <w:tblCellSpacing w:w="15" w:type="dxa"/>
        </w:trPr>
        <w:tc>
          <w:tcPr>
            <w:tcW w:w="0" w:type="auto"/>
            <w:vAlign w:val="center"/>
            <w:hideMark/>
          </w:tcPr>
          <w:p w:rsidR="00155E1E" w:rsidRPr="00EB63BB" w:rsidRDefault="00155E1E" w:rsidP="00D57601">
            <w:pPr>
              <w:rPr>
                <w:rFonts w:ascii="Lato" w:eastAsia="Times New Roman" w:hAnsi="Lato"/>
                <w:sz w:val="20"/>
                <w:szCs w:val="20"/>
              </w:rPr>
            </w:pPr>
            <w:r w:rsidRPr="00EB63BB">
              <w:rPr>
                <w:rStyle w:val="Textoennegrita"/>
                <w:rFonts w:ascii="Lato" w:eastAsia="Times New Roman" w:hAnsi="Lato"/>
                <w:color w:val="000000"/>
                <w:sz w:val="20"/>
                <w:szCs w:val="20"/>
              </w:rPr>
              <w:t>PRÉSTAMOS OTORGADOS A CORTO PLAZO</w:t>
            </w:r>
          </w:p>
        </w:tc>
        <w:tc>
          <w:tcPr>
            <w:tcW w:w="0" w:type="auto"/>
            <w:vAlign w:val="center"/>
            <w:hideMark/>
          </w:tcPr>
          <w:p w:rsidR="00155E1E" w:rsidRPr="00EB63BB" w:rsidRDefault="00155E1E" w:rsidP="00D57601">
            <w:pPr>
              <w:rPr>
                <w:rFonts w:ascii="Lato" w:eastAsia="Times New Roman" w:hAnsi="Lato"/>
                <w:sz w:val="20"/>
                <w:szCs w:val="20"/>
              </w:rPr>
            </w:pPr>
          </w:p>
        </w:tc>
      </w:tr>
      <w:tr w:rsidR="00155E1E" w:rsidRPr="00EB63BB" w:rsidTr="00155E1E">
        <w:trPr>
          <w:divId w:val="2075615973"/>
          <w:tblCellSpacing w:w="15" w:type="dxa"/>
        </w:trPr>
        <w:tc>
          <w:tcPr>
            <w:tcW w:w="0" w:type="auto"/>
            <w:vAlign w:val="center"/>
            <w:hideMark/>
          </w:tcPr>
          <w:p w:rsidR="00155E1E" w:rsidRPr="00EB63BB" w:rsidRDefault="00155E1E" w:rsidP="00D57601">
            <w:pPr>
              <w:rPr>
                <w:rFonts w:ascii="Lato" w:eastAsia="Times New Roman" w:hAnsi="Lato"/>
                <w:color w:val="000000"/>
                <w:sz w:val="20"/>
                <w:szCs w:val="20"/>
              </w:rPr>
            </w:pPr>
            <w:r w:rsidRPr="00EB63BB">
              <w:rPr>
                <w:rFonts w:ascii="Lato" w:eastAsia="Times New Roman" w:hAnsi="Lato"/>
                <w:color w:val="000000"/>
                <w:sz w:val="20"/>
                <w:szCs w:val="20"/>
              </w:rPr>
              <w:t>CRÉDITOS OTORGADOS POR ENTIDADES FEDERATIVAS Y MUNICIPIOS AL SECTOR SOCIAL Y PRIVADO PARA EL FOMENTO DE ACTIVIDADES PRODUCTIVAS.</w:t>
            </w:r>
          </w:p>
        </w:tc>
        <w:tc>
          <w:tcPr>
            <w:tcW w:w="0" w:type="auto"/>
            <w:vAlign w:val="center"/>
            <w:hideMark/>
          </w:tcPr>
          <w:p w:rsidR="00155E1E" w:rsidRPr="00EB63BB" w:rsidRDefault="00155E1E" w:rsidP="00D57601">
            <w:pPr>
              <w:jc w:val="right"/>
              <w:rPr>
                <w:rFonts w:ascii="Lato" w:eastAsia="Times New Roman" w:hAnsi="Lato"/>
                <w:sz w:val="20"/>
                <w:szCs w:val="20"/>
              </w:rPr>
            </w:pPr>
            <w:r w:rsidRPr="00EB63BB">
              <w:rPr>
                <w:rFonts w:ascii="Lato" w:eastAsia="Times New Roman" w:hAnsi="Lato"/>
                <w:color w:val="000000"/>
                <w:sz w:val="20"/>
                <w:szCs w:val="20"/>
              </w:rPr>
              <w:t>44,578,505.00</w:t>
            </w:r>
          </w:p>
        </w:tc>
      </w:tr>
      <w:tr w:rsidR="00155E1E" w:rsidRPr="00EB63BB" w:rsidTr="00155E1E">
        <w:trPr>
          <w:divId w:val="2075615973"/>
          <w:tblCellSpacing w:w="15" w:type="dxa"/>
        </w:trPr>
        <w:tc>
          <w:tcPr>
            <w:tcW w:w="0" w:type="auto"/>
            <w:vAlign w:val="center"/>
            <w:hideMark/>
          </w:tcPr>
          <w:p w:rsidR="00155E1E" w:rsidRPr="00EB63BB" w:rsidRDefault="00155E1E" w:rsidP="00D57601">
            <w:pPr>
              <w:rPr>
                <w:rFonts w:ascii="Lato" w:eastAsia="Times New Roman" w:hAnsi="Lato"/>
                <w:sz w:val="20"/>
                <w:szCs w:val="20"/>
              </w:rPr>
            </w:pPr>
            <w:r w:rsidRPr="00EB63BB">
              <w:rPr>
                <w:rStyle w:val="Textoennegrita"/>
                <w:rFonts w:ascii="Lato" w:eastAsia="Times New Roman" w:hAnsi="Lato"/>
                <w:color w:val="000000"/>
                <w:sz w:val="20"/>
                <w:szCs w:val="20"/>
              </w:rPr>
              <w:t>TOTAL</w:t>
            </w:r>
          </w:p>
        </w:tc>
        <w:tc>
          <w:tcPr>
            <w:tcW w:w="0" w:type="auto"/>
            <w:tcBorders>
              <w:top w:val="single" w:sz="12" w:space="0" w:color="000000"/>
              <w:bottom w:val="single" w:sz="12" w:space="0" w:color="000000"/>
            </w:tcBorders>
            <w:vAlign w:val="center"/>
            <w:hideMark/>
          </w:tcPr>
          <w:p w:rsidR="00155E1E" w:rsidRPr="00EB63BB" w:rsidRDefault="00155E1E" w:rsidP="00D57601">
            <w:pPr>
              <w:jc w:val="right"/>
              <w:rPr>
                <w:rFonts w:ascii="Lato" w:eastAsia="Times New Roman" w:hAnsi="Lato"/>
                <w:sz w:val="20"/>
                <w:szCs w:val="20"/>
              </w:rPr>
            </w:pPr>
            <w:r w:rsidRPr="00EB63BB">
              <w:rPr>
                <w:rStyle w:val="Textoennegrita"/>
                <w:rFonts w:ascii="Lato" w:eastAsia="Times New Roman" w:hAnsi="Lato"/>
                <w:color w:val="000000"/>
                <w:sz w:val="20"/>
                <w:szCs w:val="20"/>
              </w:rPr>
              <w:t>112,983,943.12</w:t>
            </w:r>
          </w:p>
        </w:tc>
      </w:tr>
    </w:tbl>
    <w:p w:rsidR="00155E1E" w:rsidRPr="00EB63BB" w:rsidRDefault="00155E1E">
      <w:pPr>
        <w:divId w:val="2075615973"/>
        <w:rPr>
          <w:rFonts w:ascii="Lato" w:eastAsia="Times New Roman" w:hAnsi="Lato"/>
          <w:sz w:val="20"/>
          <w:szCs w:val="20"/>
        </w:rPr>
      </w:pPr>
    </w:p>
    <w:p w:rsidR="002D4BB7" w:rsidRPr="00EB63BB" w:rsidRDefault="002D4BB7" w:rsidP="002D4BB7">
      <w:pPr>
        <w:divId w:val="2075615973"/>
        <w:rPr>
          <w:rFonts w:ascii="Lato" w:eastAsia="Times New Roman" w:hAnsi="Lato"/>
          <w:sz w:val="20"/>
          <w:szCs w:val="20"/>
        </w:rPr>
      </w:pPr>
      <w:r w:rsidRPr="00EB63BB">
        <w:rPr>
          <w:rStyle w:val="Textoennegrita"/>
          <w:rFonts w:ascii="Lato" w:eastAsia="Times New Roman" w:hAnsi="Lato"/>
          <w:sz w:val="20"/>
          <w:szCs w:val="20"/>
        </w:rPr>
        <w:t>Bienes Disponibles para su Transformación o Consumo (Inventarios)</w:t>
      </w:r>
    </w:p>
    <w:p w:rsidR="002D4BB7" w:rsidRPr="00EB63BB" w:rsidRDefault="002D4BB7" w:rsidP="002D4BB7">
      <w:pPr>
        <w:divId w:val="2075615973"/>
        <w:rPr>
          <w:rFonts w:ascii="Lato" w:eastAsia="Times New Roman" w:hAnsi="Lato"/>
          <w:sz w:val="20"/>
          <w:szCs w:val="20"/>
        </w:rPr>
      </w:pPr>
      <w:r w:rsidRPr="00EB63BB">
        <w:rPr>
          <w:rFonts w:ascii="Lato" w:eastAsia="Times New Roman" w:hAnsi="Lato"/>
          <w:sz w:val="20"/>
          <w:szCs w:val="20"/>
        </w:rPr>
        <w:t>4.- El Poder Ejecutivo no realiza ningún proceso de transformación y/o elaboración de bienes.</w:t>
      </w:r>
    </w:p>
    <w:p w:rsidR="002D4BB7" w:rsidRPr="00EB63BB" w:rsidRDefault="002D4BB7" w:rsidP="002D4BB7">
      <w:pPr>
        <w:divId w:val="2075615973"/>
        <w:rPr>
          <w:rFonts w:ascii="Lato" w:eastAsia="Times New Roman" w:hAnsi="Lato"/>
          <w:sz w:val="20"/>
          <w:szCs w:val="20"/>
        </w:rPr>
      </w:pPr>
      <w:r w:rsidRPr="00EB63BB">
        <w:rPr>
          <w:rFonts w:ascii="Lato" w:eastAsia="Times New Roman" w:hAnsi="Lato"/>
          <w:sz w:val="20"/>
          <w:szCs w:val="20"/>
        </w:rPr>
        <w:t>5.- El Poder Ejecutivo a partir del 19 de junio de 2024, realiza mediante el sistema integr</w:t>
      </w:r>
      <w:r w:rsidR="005865E4" w:rsidRPr="00EB63BB">
        <w:rPr>
          <w:rFonts w:ascii="Lato" w:eastAsia="Times New Roman" w:hAnsi="Lato"/>
          <w:sz w:val="20"/>
          <w:szCs w:val="20"/>
        </w:rPr>
        <w:t>al, el registro a la cuenta de A</w:t>
      </w:r>
      <w:r w:rsidRPr="00EB63BB">
        <w:rPr>
          <w:rFonts w:ascii="Lato" w:eastAsia="Times New Roman" w:hAnsi="Lato"/>
          <w:sz w:val="20"/>
          <w:szCs w:val="20"/>
        </w:rPr>
        <w:t xml:space="preserve">lmacenes </w:t>
      </w:r>
      <w:r w:rsidRPr="00EB63BB">
        <w:rPr>
          <w:rFonts w:ascii="Lato" w:hAnsi="Lato"/>
          <w:sz w:val="20"/>
          <w:szCs w:val="20"/>
        </w:rPr>
        <w:t>de Materiales y Suministros de Consumo</w:t>
      </w:r>
      <w:r w:rsidRPr="00EB63BB">
        <w:rPr>
          <w:rFonts w:ascii="Lato" w:eastAsia="Times New Roman" w:hAnsi="Lato"/>
          <w:sz w:val="20"/>
          <w:szCs w:val="20"/>
        </w:rPr>
        <w:t>.</w:t>
      </w:r>
    </w:p>
    <w:p w:rsidR="002D4BB7" w:rsidRPr="00EB63BB" w:rsidRDefault="002D4BB7" w:rsidP="002D4BB7">
      <w:pPr>
        <w:divId w:val="2075615973"/>
        <w:rPr>
          <w:rFonts w:ascii="Lato" w:eastAsia="Times New Roman" w:hAnsi="Lato"/>
          <w:sz w:val="20"/>
          <w:szCs w:val="20"/>
        </w:rPr>
      </w:pPr>
      <w:r w:rsidRPr="00EB63BB">
        <w:rPr>
          <w:rFonts w:ascii="Lato" w:eastAsia="Times New Roman" w:hAnsi="Lato"/>
          <w:sz w:val="20"/>
          <w:szCs w:val="20"/>
        </w:rPr>
        <w:t>6.- El saldo del rubro de Inversiones Financieras, se integra como sigue:</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6121"/>
        <w:gridCol w:w="1655"/>
      </w:tblGrid>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sz w:val="20"/>
                <w:szCs w:val="20"/>
              </w:rPr>
            </w:pPr>
            <w:r w:rsidRPr="00EB63BB">
              <w:rPr>
                <w:rStyle w:val="Textoennegrita"/>
                <w:rFonts w:ascii="Lato" w:eastAsia="Times New Roman" w:hAnsi="Lato"/>
                <w:color w:val="000000"/>
                <w:sz w:val="20"/>
                <w:szCs w:val="20"/>
              </w:rPr>
              <w:t>INVERSIONES FINANCIERAS A LARGO PLAZO</w:t>
            </w:r>
          </w:p>
        </w:tc>
        <w:tc>
          <w:tcPr>
            <w:tcW w:w="0" w:type="auto"/>
            <w:vAlign w:val="center"/>
            <w:hideMark/>
          </w:tcPr>
          <w:p w:rsidR="005865E4" w:rsidRPr="00EB63BB" w:rsidRDefault="005865E4" w:rsidP="00D57601">
            <w:pPr>
              <w:rPr>
                <w:rFonts w:ascii="Lato" w:eastAsia="Times New Roman" w:hAnsi="Lato"/>
                <w:sz w:val="20"/>
                <w:szCs w:val="20"/>
              </w:rPr>
            </w:pP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sz w:val="20"/>
                <w:szCs w:val="20"/>
              </w:rPr>
            </w:pPr>
            <w:r w:rsidRPr="00EB63BB">
              <w:rPr>
                <w:rStyle w:val="Textoennegrita"/>
                <w:rFonts w:ascii="Lato" w:eastAsia="Times New Roman" w:hAnsi="Lato"/>
                <w:color w:val="000000"/>
                <w:sz w:val="20"/>
                <w:szCs w:val="20"/>
              </w:rPr>
              <w:t>INVERSIONES A LARGO PLAZO</w:t>
            </w:r>
          </w:p>
        </w:tc>
        <w:tc>
          <w:tcPr>
            <w:tcW w:w="0" w:type="auto"/>
            <w:vAlign w:val="center"/>
            <w:hideMark/>
          </w:tcPr>
          <w:p w:rsidR="005865E4" w:rsidRPr="00EB63BB" w:rsidRDefault="005865E4" w:rsidP="00D57601">
            <w:pPr>
              <w:rPr>
                <w:rFonts w:ascii="Lato" w:eastAsia="Times New Roman" w:hAnsi="Lato"/>
                <w:sz w:val="20"/>
                <w:szCs w:val="20"/>
              </w:rPr>
            </w:pP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sz w:val="20"/>
                <w:szCs w:val="20"/>
              </w:rPr>
            </w:pPr>
            <w:r w:rsidRPr="00EB63BB">
              <w:rPr>
                <w:rStyle w:val="Textoennegrita"/>
                <w:rFonts w:ascii="Lato" w:eastAsia="Times New Roman" w:hAnsi="Lato"/>
                <w:color w:val="000000"/>
                <w:sz w:val="20"/>
                <w:szCs w:val="20"/>
              </w:rPr>
              <w:t>INVERSIONES EN ACCIONES</w:t>
            </w:r>
          </w:p>
        </w:tc>
        <w:tc>
          <w:tcPr>
            <w:tcW w:w="0" w:type="auto"/>
            <w:vAlign w:val="center"/>
            <w:hideMark/>
          </w:tcPr>
          <w:p w:rsidR="005865E4" w:rsidRPr="00EB63BB" w:rsidRDefault="005865E4" w:rsidP="00D57601">
            <w:pPr>
              <w:rPr>
                <w:rFonts w:ascii="Lato" w:eastAsia="Times New Roman" w:hAnsi="Lato"/>
                <w:sz w:val="20"/>
                <w:szCs w:val="20"/>
              </w:rPr>
            </w:pP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color w:val="000000"/>
                <w:sz w:val="20"/>
                <w:szCs w:val="20"/>
              </w:rPr>
            </w:pPr>
            <w:r w:rsidRPr="00EB63BB">
              <w:rPr>
                <w:rFonts w:ascii="Lato" w:eastAsia="Times New Roman" w:hAnsi="Lato"/>
                <w:color w:val="000000"/>
                <w:sz w:val="20"/>
                <w:szCs w:val="20"/>
              </w:rPr>
              <w:t>SOCIEDAD COOPERATIVA DE PROD. LECHERA S.C.L.</w:t>
            </w:r>
          </w:p>
        </w:tc>
        <w:tc>
          <w:tcPr>
            <w:tcW w:w="0" w:type="auto"/>
            <w:vAlign w:val="center"/>
            <w:hideMark/>
          </w:tcPr>
          <w:p w:rsidR="005865E4" w:rsidRPr="00EB63BB" w:rsidRDefault="005865E4" w:rsidP="00D57601">
            <w:pPr>
              <w:jc w:val="right"/>
              <w:rPr>
                <w:rFonts w:ascii="Lato" w:eastAsia="Times New Roman" w:hAnsi="Lato"/>
                <w:sz w:val="20"/>
                <w:szCs w:val="20"/>
              </w:rPr>
            </w:pPr>
            <w:r w:rsidRPr="00EB63BB">
              <w:rPr>
                <w:rFonts w:ascii="Lato" w:eastAsia="Times New Roman" w:hAnsi="Lato"/>
                <w:color w:val="000000"/>
                <w:sz w:val="20"/>
                <w:szCs w:val="20"/>
              </w:rPr>
              <w:t>453,748.92</w:t>
            </w: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color w:val="000000"/>
                <w:sz w:val="20"/>
                <w:szCs w:val="20"/>
              </w:rPr>
            </w:pPr>
            <w:r w:rsidRPr="00EB63BB">
              <w:rPr>
                <w:rFonts w:ascii="Lato" w:eastAsia="Times New Roman" w:hAnsi="Lato"/>
                <w:color w:val="000000"/>
                <w:sz w:val="20"/>
                <w:szCs w:val="20"/>
              </w:rPr>
              <w:t>PROCESADORA DE BEBIDAS DE YUCATAN, SA DE CV.</w:t>
            </w:r>
          </w:p>
        </w:tc>
        <w:tc>
          <w:tcPr>
            <w:tcW w:w="0" w:type="auto"/>
            <w:vAlign w:val="center"/>
            <w:hideMark/>
          </w:tcPr>
          <w:p w:rsidR="005865E4" w:rsidRPr="00EB63BB" w:rsidRDefault="005865E4" w:rsidP="00D57601">
            <w:pPr>
              <w:jc w:val="right"/>
              <w:rPr>
                <w:rFonts w:ascii="Lato" w:eastAsia="Times New Roman" w:hAnsi="Lato"/>
                <w:sz w:val="20"/>
                <w:szCs w:val="20"/>
              </w:rPr>
            </w:pPr>
            <w:r w:rsidRPr="00EB63BB">
              <w:rPr>
                <w:rFonts w:ascii="Lato" w:eastAsia="Times New Roman" w:hAnsi="Lato"/>
                <w:color w:val="000000"/>
                <w:sz w:val="20"/>
                <w:szCs w:val="20"/>
              </w:rPr>
              <w:t>3,000,000.00</w:t>
            </w: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sz w:val="20"/>
                <w:szCs w:val="20"/>
              </w:rPr>
            </w:pPr>
            <w:r w:rsidRPr="00EB63BB">
              <w:rPr>
                <w:rStyle w:val="Textoennegrita"/>
                <w:rFonts w:ascii="Lato" w:eastAsia="Times New Roman" w:hAnsi="Lato"/>
                <w:color w:val="000000"/>
                <w:sz w:val="20"/>
                <w:szCs w:val="20"/>
              </w:rPr>
              <w:t>INVERSIONES EN FIDEICOMISOS Y FONDOS</w:t>
            </w:r>
          </w:p>
        </w:tc>
        <w:tc>
          <w:tcPr>
            <w:tcW w:w="0" w:type="auto"/>
            <w:vAlign w:val="center"/>
            <w:hideMark/>
          </w:tcPr>
          <w:p w:rsidR="005865E4" w:rsidRPr="00EB63BB" w:rsidRDefault="005865E4" w:rsidP="00D57601">
            <w:pPr>
              <w:rPr>
                <w:rFonts w:ascii="Lato" w:eastAsia="Times New Roman" w:hAnsi="Lato"/>
                <w:sz w:val="20"/>
                <w:szCs w:val="20"/>
              </w:rPr>
            </w:pP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color w:val="000000"/>
                <w:sz w:val="20"/>
                <w:szCs w:val="20"/>
              </w:rPr>
            </w:pPr>
            <w:r w:rsidRPr="00EB63BB">
              <w:rPr>
                <w:rFonts w:ascii="Lato" w:eastAsia="Times New Roman" w:hAnsi="Lato"/>
                <w:color w:val="000000"/>
                <w:sz w:val="20"/>
                <w:szCs w:val="20"/>
              </w:rPr>
              <w:t>FIDEICOMISO CONST-AUTOP.KANTUNIL-CANCUN</w:t>
            </w:r>
          </w:p>
        </w:tc>
        <w:tc>
          <w:tcPr>
            <w:tcW w:w="0" w:type="auto"/>
            <w:vAlign w:val="center"/>
            <w:hideMark/>
          </w:tcPr>
          <w:p w:rsidR="005865E4" w:rsidRPr="00EB63BB" w:rsidRDefault="005865E4" w:rsidP="00D57601">
            <w:pPr>
              <w:jc w:val="right"/>
              <w:rPr>
                <w:rFonts w:ascii="Lato" w:eastAsia="Times New Roman" w:hAnsi="Lato"/>
                <w:sz w:val="20"/>
                <w:szCs w:val="20"/>
              </w:rPr>
            </w:pPr>
            <w:r w:rsidRPr="00EB63BB">
              <w:rPr>
                <w:rFonts w:ascii="Lato" w:eastAsia="Times New Roman" w:hAnsi="Lato"/>
                <w:color w:val="000000"/>
                <w:sz w:val="20"/>
                <w:szCs w:val="20"/>
              </w:rPr>
              <w:t>87,531,686.00</w:t>
            </w: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color w:val="000000"/>
                <w:sz w:val="20"/>
                <w:szCs w:val="20"/>
              </w:rPr>
            </w:pPr>
            <w:r w:rsidRPr="00EB63BB">
              <w:rPr>
                <w:rFonts w:ascii="Lato" w:eastAsia="Times New Roman" w:hAnsi="Lato"/>
                <w:color w:val="000000"/>
                <w:sz w:val="20"/>
                <w:szCs w:val="20"/>
              </w:rPr>
              <w:t>FONDO ESTATAL PARA EL FOMENTO DEL EMPLEO</w:t>
            </w:r>
          </w:p>
        </w:tc>
        <w:tc>
          <w:tcPr>
            <w:tcW w:w="0" w:type="auto"/>
            <w:vAlign w:val="center"/>
            <w:hideMark/>
          </w:tcPr>
          <w:p w:rsidR="005865E4" w:rsidRPr="00EB63BB" w:rsidRDefault="005865E4" w:rsidP="00D57601">
            <w:pPr>
              <w:jc w:val="right"/>
              <w:rPr>
                <w:rFonts w:ascii="Lato" w:eastAsia="Times New Roman" w:hAnsi="Lato"/>
                <w:sz w:val="20"/>
                <w:szCs w:val="20"/>
              </w:rPr>
            </w:pPr>
            <w:r w:rsidRPr="00EB63BB">
              <w:rPr>
                <w:rFonts w:ascii="Lato" w:eastAsia="Times New Roman" w:hAnsi="Lato"/>
                <w:color w:val="000000"/>
                <w:sz w:val="20"/>
                <w:szCs w:val="20"/>
              </w:rPr>
              <w:t>14,802,000.00</w:t>
            </w: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color w:val="000000"/>
                <w:sz w:val="20"/>
                <w:szCs w:val="20"/>
              </w:rPr>
            </w:pPr>
            <w:r w:rsidRPr="00EB63BB">
              <w:rPr>
                <w:rFonts w:ascii="Lato" w:eastAsia="Times New Roman" w:hAnsi="Lato"/>
                <w:color w:val="000000"/>
                <w:sz w:val="20"/>
                <w:szCs w:val="20"/>
              </w:rPr>
              <w:lastRenderedPageBreak/>
              <w:t>FONDO DE APOYO PRODUCTIVIDAD AGROP. DEL ESTADO DE YUCATAN</w:t>
            </w:r>
          </w:p>
        </w:tc>
        <w:tc>
          <w:tcPr>
            <w:tcW w:w="0" w:type="auto"/>
            <w:vAlign w:val="center"/>
            <w:hideMark/>
          </w:tcPr>
          <w:p w:rsidR="005865E4" w:rsidRPr="00EB63BB" w:rsidRDefault="005865E4" w:rsidP="00D57601">
            <w:pPr>
              <w:jc w:val="right"/>
              <w:rPr>
                <w:rFonts w:ascii="Lato" w:eastAsia="Times New Roman" w:hAnsi="Lato"/>
                <w:sz w:val="20"/>
                <w:szCs w:val="20"/>
              </w:rPr>
            </w:pPr>
            <w:r w:rsidRPr="00EB63BB">
              <w:rPr>
                <w:rFonts w:ascii="Lato" w:eastAsia="Times New Roman" w:hAnsi="Lato"/>
                <w:color w:val="000000"/>
                <w:sz w:val="20"/>
                <w:szCs w:val="20"/>
              </w:rPr>
              <w:t>11,695,336.26</w:t>
            </w: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sz w:val="20"/>
                <w:szCs w:val="20"/>
              </w:rPr>
            </w:pPr>
            <w:r w:rsidRPr="00EB63BB">
              <w:rPr>
                <w:rStyle w:val="Textoennegrita"/>
                <w:rFonts w:ascii="Lato" w:eastAsia="Times New Roman" w:hAnsi="Lato"/>
                <w:color w:val="000000"/>
                <w:sz w:val="20"/>
                <w:szCs w:val="20"/>
              </w:rPr>
              <w:t>FIDEICOMISOS, MANDATOS Y CONTRATOS ANÁLOGOS</w:t>
            </w:r>
          </w:p>
        </w:tc>
        <w:tc>
          <w:tcPr>
            <w:tcW w:w="0" w:type="auto"/>
            <w:vAlign w:val="center"/>
            <w:hideMark/>
          </w:tcPr>
          <w:p w:rsidR="005865E4" w:rsidRPr="00EB63BB" w:rsidRDefault="005865E4" w:rsidP="00D57601">
            <w:pPr>
              <w:rPr>
                <w:rFonts w:ascii="Lato" w:eastAsia="Times New Roman" w:hAnsi="Lato"/>
                <w:sz w:val="20"/>
                <w:szCs w:val="20"/>
              </w:rPr>
            </w:pP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sz w:val="20"/>
                <w:szCs w:val="20"/>
              </w:rPr>
            </w:pPr>
            <w:r w:rsidRPr="00EB63BB">
              <w:rPr>
                <w:rStyle w:val="Textoennegrita"/>
                <w:rFonts w:ascii="Lato" w:eastAsia="Times New Roman" w:hAnsi="Lato"/>
                <w:color w:val="000000"/>
                <w:sz w:val="20"/>
                <w:szCs w:val="20"/>
              </w:rPr>
              <w:t>FIDEICOMISOS, MANDATOS Y CONTRATIOS ÁNALOGOS DEL PODER EJECUTIVO</w:t>
            </w:r>
          </w:p>
        </w:tc>
        <w:tc>
          <w:tcPr>
            <w:tcW w:w="0" w:type="auto"/>
            <w:vAlign w:val="center"/>
            <w:hideMark/>
          </w:tcPr>
          <w:p w:rsidR="005865E4" w:rsidRPr="00EB63BB" w:rsidRDefault="005865E4" w:rsidP="00D57601">
            <w:pPr>
              <w:rPr>
                <w:rFonts w:ascii="Lato" w:eastAsia="Times New Roman" w:hAnsi="Lato"/>
                <w:sz w:val="20"/>
                <w:szCs w:val="20"/>
              </w:rPr>
            </w:pP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color w:val="000000"/>
                <w:sz w:val="20"/>
                <w:szCs w:val="20"/>
              </w:rPr>
            </w:pPr>
            <w:r w:rsidRPr="00EB63BB">
              <w:rPr>
                <w:rFonts w:ascii="Lato" w:eastAsia="Times New Roman" w:hAnsi="Lato"/>
                <w:color w:val="000000"/>
                <w:sz w:val="20"/>
                <w:szCs w:val="20"/>
              </w:rPr>
              <w:t>SECRETARIA DE DESARROLLO RURAL</w:t>
            </w:r>
          </w:p>
        </w:tc>
        <w:tc>
          <w:tcPr>
            <w:tcW w:w="0" w:type="auto"/>
            <w:vAlign w:val="center"/>
            <w:hideMark/>
          </w:tcPr>
          <w:p w:rsidR="005865E4" w:rsidRPr="00EB63BB" w:rsidRDefault="005865E4" w:rsidP="00D57601">
            <w:pPr>
              <w:jc w:val="right"/>
              <w:rPr>
                <w:rFonts w:ascii="Lato" w:eastAsia="Times New Roman" w:hAnsi="Lato"/>
                <w:sz w:val="20"/>
                <w:szCs w:val="20"/>
              </w:rPr>
            </w:pPr>
            <w:r w:rsidRPr="00EB63BB">
              <w:rPr>
                <w:rFonts w:ascii="Lato" w:eastAsia="Times New Roman" w:hAnsi="Lato"/>
                <w:color w:val="000000"/>
                <w:sz w:val="20"/>
                <w:szCs w:val="20"/>
              </w:rPr>
              <w:t>7,416,239.47</w:t>
            </w: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color w:val="000000"/>
                <w:sz w:val="20"/>
                <w:szCs w:val="20"/>
              </w:rPr>
            </w:pPr>
            <w:r w:rsidRPr="00EB63BB">
              <w:rPr>
                <w:rFonts w:ascii="Lato" w:eastAsia="Times New Roman" w:hAnsi="Lato"/>
                <w:color w:val="000000"/>
                <w:sz w:val="20"/>
                <w:szCs w:val="20"/>
              </w:rPr>
              <w:t>SECRETARIA DE ECONOMIA Y TRABAJO</w:t>
            </w:r>
          </w:p>
        </w:tc>
        <w:tc>
          <w:tcPr>
            <w:tcW w:w="0" w:type="auto"/>
            <w:vAlign w:val="center"/>
            <w:hideMark/>
          </w:tcPr>
          <w:p w:rsidR="005865E4" w:rsidRPr="00EB63BB" w:rsidRDefault="005865E4" w:rsidP="00D57601">
            <w:pPr>
              <w:jc w:val="right"/>
              <w:rPr>
                <w:rFonts w:ascii="Lato" w:eastAsia="Times New Roman" w:hAnsi="Lato"/>
                <w:sz w:val="20"/>
                <w:szCs w:val="20"/>
              </w:rPr>
            </w:pPr>
            <w:r w:rsidRPr="00EB63BB">
              <w:rPr>
                <w:rFonts w:ascii="Lato" w:eastAsia="Times New Roman" w:hAnsi="Lato"/>
                <w:color w:val="000000"/>
                <w:sz w:val="20"/>
                <w:szCs w:val="20"/>
              </w:rPr>
              <w:t>81,820,849.10</w:t>
            </w: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color w:val="000000"/>
                <w:sz w:val="20"/>
                <w:szCs w:val="20"/>
              </w:rPr>
            </w:pPr>
            <w:r w:rsidRPr="00EB63BB">
              <w:rPr>
                <w:rFonts w:ascii="Lato" w:eastAsia="Times New Roman" w:hAnsi="Lato"/>
                <w:color w:val="000000"/>
                <w:sz w:val="20"/>
                <w:szCs w:val="20"/>
              </w:rPr>
              <w:t>SECRETARIA DE FOMENTO TURISTICO</w:t>
            </w:r>
          </w:p>
        </w:tc>
        <w:tc>
          <w:tcPr>
            <w:tcW w:w="0" w:type="auto"/>
            <w:vAlign w:val="center"/>
            <w:hideMark/>
          </w:tcPr>
          <w:p w:rsidR="005865E4" w:rsidRPr="00EB63BB" w:rsidRDefault="005865E4" w:rsidP="00D57601">
            <w:pPr>
              <w:jc w:val="right"/>
              <w:rPr>
                <w:rFonts w:ascii="Lato" w:eastAsia="Times New Roman" w:hAnsi="Lato"/>
                <w:sz w:val="20"/>
                <w:szCs w:val="20"/>
              </w:rPr>
            </w:pPr>
            <w:r w:rsidRPr="00EB63BB">
              <w:rPr>
                <w:rFonts w:ascii="Lato" w:eastAsia="Times New Roman" w:hAnsi="Lato"/>
                <w:color w:val="000000"/>
                <w:sz w:val="20"/>
                <w:szCs w:val="20"/>
              </w:rPr>
              <w:t>30,463,283.62</w:t>
            </w: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color w:val="000000"/>
                <w:sz w:val="20"/>
                <w:szCs w:val="20"/>
              </w:rPr>
            </w:pPr>
            <w:r w:rsidRPr="00EB63BB">
              <w:rPr>
                <w:rFonts w:ascii="Lato" w:eastAsia="Times New Roman" w:hAnsi="Lato"/>
                <w:color w:val="000000"/>
                <w:sz w:val="20"/>
                <w:szCs w:val="20"/>
              </w:rPr>
              <w:t>SECRETARIA GENERAL DE GOBIERNO</w:t>
            </w:r>
          </w:p>
        </w:tc>
        <w:tc>
          <w:tcPr>
            <w:tcW w:w="0" w:type="auto"/>
            <w:vAlign w:val="center"/>
            <w:hideMark/>
          </w:tcPr>
          <w:p w:rsidR="005865E4" w:rsidRPr="00EB63BB" w:rsidRDefault="005865E4" w:rsidP="00D57601">
            <w:pPr>
              <w:jc w:val="right"/>
              <w:rPr>
                <w:rFonts w:ascii="Lato" w:eastAsia="Times New Roman" w:hAnsi="Lato"/>
                <w:sz w:val="20"/>
                <w:szCs w:val="20"/>
              </w:rPr>
            </w:pPr>
            <w:r w:rsidRPr="00EB63BB">
              <w:rPr>
                <w:rFonts w:ascii="Lato" w:eastAsia="Times New Roman" w:hAnsi="Lato"/>
                <w:color w:val="000000"/>
                <w:sz w:val="20"/>
                <w:szCs w:val="20"/>
              </w:rPr>
              <w:t>12,799,629.36</w:t>
            </w: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color w:val="000000"/>
                <w:sz w:val="20"/>
                <w:szCs w:val="20"/>
              </w:rPr>
            </w:pPr>
            <w:r w:rsidRPr="00EB63BB">
              <w:rPr>
                <w:rFonts w:ascii="Lato" w:eastAsia="Times New Roman" w:hAnsi="Lato"/>
                <w:color w:val="000000"/>
                <w:sz w:val="20"/>
                <w:szCs w:val="20"/>
              </w:rPr>
              <w:t>SECRETARIA DE ADMINISTRACIÓN Y FINANZAS</w:t>
            </w:r>
          </w:p>
        </w:tc>
        <w:tc>
          <w:tcPr>
            <w:tcW w:w="0" w:type="auto"/>
            <w:vAlign w:val="center"/>
            <w:hideMark/>
          </w:tcPr>
          <w:p w:rsidR="005865E4" w:rsidRPr="00EB63BB" w:rsidRDefault="005865E4" w:rsidP="00D57601">
            <w:pPr>
              <w:jc w:val="right"/>
              <w:rPr>
                <w:rFonts w:ascii="Lato" w:eastAsia="Times New Roman" w:hAnsi="Lato"/>
                <w:sz w:val="20"/>
                <w:szCs w:val="20"/>
              </w:rPr>
            </w:pPr>
            <w:r w:rsidRPr="00EB63BB">
              <w:rPr>
                <w:rFonts w:ascii="Lato" w:eastAsia="Times New Roman" w:hAnsi="Lato"/>
                <w:color w:val="000000"/>
                <w:sz w:val="20"/>
                <w:szCs w:val="20"/>
              </w:rPr>
              <w:t>866,454,476.95</w:t>
            </w: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color w:val="000000"/>
                <w:sz w:val="20"/>
                <w:szCs w:val="20"/>
              </w:rPr>
            </w:pPr>
            <w:r w:rsidRPr="00EB63BB">
              <w:rPr>
                <w:rFonts w:ascii="Lato" w:eastAsia="Times New Roman" w:hAnsi="Lato"/>
                <w:color w:val="000000"/>
                <w:sz w:val="20"/>
                <w:szCs w:val="20"/>
              </w:rPr>
              <w:t>SECRETARÍA DE CIENCIAS, HUMANIDADES, TECNOLOGÍAS E INNOVACIÓN</w:t>
            </w:r>
          </w:p>
        </w:tc>
        <w:tc>
          <w:tcPr>
            <w:tcW w:w="0" w:type="auto"/>
            <w:vAlign w:val="center"/>
            <w:hideMark/>
          </w:tcPr>
          <w:p w:rsidR="005865E4" w:rsidRPr="00EB63BB" w:rsidRDefault="005865E4" w:rsidP="00D57601">
            <w:pPr>
              <w:jc w:val="right"/>
              <w:rPr>
                <w:rFonts w:ascii="Lato" w:eastAsia="Times New Roman" w:hAnsi="Lato"/>
                <w:sz w:val="20"/>
                <w:szCs w:val="20"/>
              </w:rPr>
            </w:pPr>
            <w:r w:rsidRPr="00EB63BB">
              <w:rPr>
                <w:rFonts w:ascii="Lato" w:eastAsia="Times New Roman" w:hAnsi="Lato"/>
                <w:color w:val="000000"/>
                <w:sz w:val="20"/>
                <w:szCs w:val="20"/>
              </w:rPr>
              <w:t>18,562,306.94</w:t>
            </w: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color w:val="000000"/>
                <w:sz w:val="20"/>
                <w:szCs w:val="20"/>
              </w:rPr>
            </w:pPr>
            <w:r w:rsidRPr="00EB63BB">
              <w:rPr>
                <w:rFonts w:ascii="Lato" w:eastAsia="Times New Roman" w:hAnsi="Lato"/>
                <w:color w:val="000000"/>
                <w:sz w:val="20"/>
                <w:szCs w:val="20"/>
              </w:rPr>
              <w:t>SECRETARÍA DE INFRAESTRUCTURA PARA EL BIENESTAR</w:t>
            </w:r>
          </w:p>
        </w:tc>
        <w:tc>
          <w:tcPr>
            <w:tcW w:w="0" w:type="auto"/>
            <w:vAlign w:val="center"/>
            <w:hideMark/>
          </w:tcPr>
          <w:p w:rsidR="005865E4" w:rsidRPr="00EB63BB" w:rsidRDefault="005865E4" w:rsidP="00D57601">
            <w:pPr>
              <w:jc w:val="right"/>
              <w:rPr>
                <w:rFonts w:ascii="Lato" w:eastAsia="Times New Roman" w:hAnsi="Lato"/>
                <w:sz w:val="20"/>
                <w:szCs w:val="20"/>
              </w:rPr>
            </w:pPr>
            <w:r w:rsidRPr="00EB63BB">
              <w:rPr>
                <w:rFonts w:ascii="Lato" w:eastAsia="Times New Roman" w:hAnsi="Lato"/>
                <w:color w:val="000000"/>
                <w:sz w:val="20"/>
                <w:szCs w:val="20"/>
              </w:rPr>
              <w:t>53,583,820.01</w:t>
            </w: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sz w:val="20"/>
                <w:szCs w:val="20"/>
              </w:rPr>
            </w:pPr>
            <w:r w:rsidRPr="00EB63BB">
              <w:rPr>
                <w:rStyle w:val="Textoennegrita"/>
                <w:rFonts w:ascii="Lato" w:eastAsia="Times New Roman" w:hAnsi="Lato"/>
                <w:color w:val="000000"/>
                <w:sz w:val="20"/>
                <w:szCs w:val="20"/>
              </w:rPr>
              <w:t>FIDEICOMISOS, MANDATOS Y CONTRATOS ANALOGOS PÚBLICOS NO EMPRESARIALES Y NO FINANCIEROS</w:t>
            </w:r>
          </w:p>
        </w:tc>
        <w:tc>
          <w:tcPr>
            <w:tcW w:w="0" w:type="auto"/>
            <w:vAlign w:val="center"/>
            <w:hideMark/>
          </w:tcPr>
          <w:p w:rsidR="005865E4" w:rsidRPr="00EB63BB" w:rsidRDefault="005865E4" w:rsidP="00D57601">
            <w:pPr>
              <w:rPr>
                <w:rFonts w:ascii="Lato" w:eastAsia="Times New Roman" w:hAnsi="Lato"/>
                <w:sz w:val="20"/>
                <w:szCs w:val="20"/>
              </w:rPr>
            </w:pPr>
          </w:p>
        </w:tc>
      </w:tr>
      <w:tr w:rsidR="005865E4" w:rsidRPr="00EB63BB" w:rsidTr="005865E4">
        <w:trPr>
          <w:divId w:val="2075615973"/>
          <w:tblCellSpacing w:w="15" w:type="dxa"/>
        </w:trPr>
        <w:tc>
          <w:tcPr>
            <w:tcW w:w="0" w:type="auto"/>
            <w:vAlign w:val="center"/>
            <w:hideMark/>
          </w:tcPr>
          <w:p w:rsidR="005865E4" w:rsidRPr="00EB63BB" w:rsidRDefault="005865E4" w:rsidP="00D57601">
            <w:pPr>
              <w:rPr>
                <w:rFonts w:ascii="Lato" w:eastAsia="Times New Roman" w:hAnsi="Lato"/>
                <w:sz w:val="20"/>
                <w:szCs w:val="20"/>
              </w:rPr>
            </w:pPr>
            <w:r w:rsidRPr="00EB63BB">
              <w:rPr>
                <w:rStyle w:val="Textoennegrita"/>
                <w:rFonts w:ascii="Lato" w:eastAsia="Times New Roman" w:hAnsi="Lato"/>
                <w:color w:val="000000"/>
                <w:sz w:val="20"/>
                <w:szCs w:val="20"/>
              </w:rPr>
              <w:t>TOTAL</w:t>
            </w:r>
          </w:p>
        </w:tc>
        <w:tc>
          <w:tcPr>
            <w:tcW w:w="0" w:type="auto"/>
            <w:tcBorders>
              <w:top w:val="single" w:sz="12" w:space="0" w:color="000000"/>
              <w:bottom w:val="single" w:sz="12" w:space="0" w:color="000000"/>
            </w:tcBorders>
            <w:vAlign w:val="center"/>
            <w:hideMark/>
          </w:tcPr>
          <w:p w:rsidR="005865E4" w:rsidRPr="00EB63BB" w:rsidRDefault="005865E4" w:rsidP="00D57601">
            <w:pPr>
              <w:jc w:val="right"/>
              <w:rPr>
                <w:rFonts w:ascii="Lato" w:eastAsia="Times New Roman" w:hAnsi="Lato"/>
                <w:sz w:val="20"/>
                <w:szCs w:val="20"/>
              </w:rPr>
            </w:pPr>
            <w:r w:rsidRPr="00EB63BB">
              <w:rPr>
                <w:rStyle w:val="Textoennegrita"/>
                <w:rFonts w:ascii="Lato" w:eastAsia="Times New Roman" w:hAnsi="Lato"/>
                <w:color w:val="000000"/>
                <w:sz w:val="20"/>
                <w:szCs w:val="20"/>
              </w:rPr>
              <w:t>1,188,583,376.63</w:t>
            </w:r>
          </w:p>
        </w:tc>
      </w:tr>
    </w:tbl>
    <w:p w:rsidR="005865E4" w:rsidRPr="00EB63BB" w:rsidRDefault="005865E4" w:rsidP="005865E4">
      <w:pPr>
        <w:divId w:val="2075615973"/>
        <w:rPr>
          <w:rFonts w:ascii="Lato" w:eastAsia="Times New Roman" w:hAnsi="Lato"/>
          <w:sz w:val="20"/>
          <w:szCs w:val="20"/>
        </w:rPr>
      </w:pPr>
    </w:p>
    <w:p w:rsidR="005865E4" w:rsidRPr="00EB63BB" w:rsidRDefault="005865E4" w:rsidP="005865E4">
      <w:pPr>
        <w:divId w:val="2075615973"/>
        <w:rPr>
          <w:rFonts w:ascii="Lato" w:eastAsia="Times New Roman" w:hAnsi="Lato"/>
          <w:sz w:val="20"/>
          <w:szCs w:val="20"/>
        </w:rPr>
      </w:pPr>
      <w:r w:rsidRPr="00EB63BB">
        <w:rPr>
          <w:rFonts w:ascii="Lato" w:eastAsia="Times New Roman" w:hAnsi="Lato"/>
          <w:sz w:val="20"/>
          <w:szCs w:val="20"/>
        </w:rPr>
        <w:t>7.- El saldo del rubro de Participaciones y aportaciones de capital:</w:t>
      </w:r>
    </w:p>
    <w:tbl>
      <w:tblPr>
        <w:tblW w:w="9300" w:type="dxa"/>
        <w:tblCellMar>
          <w:left w:w="70" w:type="dxa"/>
          <w:right w:w="70" w:type="dxa"/>
        </w:tblCellMar>
        <w:tblLook w:val="04A0" w:firstRow="1" w:lastRow="0" w:firstColumn="1" w:lastColumn="0" w:noHBand="0" w:noVBand="1"/>
      </w:tblPr>
      <w:tblGrid>
        <w:gridCol w:w="7460"/>
        <w:gridCol w:w="1840"/>
      </w:tblGrid>
      <w:tr w:rsidR="00706DFA" w:rsidRPr="00EB63BB" w:rsidTr="00706DFA">
        <w:trPr>
          <w:divId w:val="2075615973"/>
          <w:trHeight w:val="300"/>
        </w:trPr>
        <w:tc>
          <w:tcPr>
            <w:tcW w:w="7460" w:type="dxa"/>
            <w:tcBorders>
              <w:top w:val="nil"/>
              <w:left w:val="nil"/>
              <w:bottom w:val="nil"/>
              <w:right w:val="nil"/>
            </w:tcBorders>
            <w:shd w:val="clear" w:color="auto" w:fill="auto"/>
            <w:vAlign w:val="center"/>
            <w:hideMark/>
          </w:tcPr>
          <w:p w:rsidR="00706DFA" w:rsidRPr="00EB63BB" w:rsidRDefault="00706DFA" w:rsidP="00706DFA">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PARTICIPACIONES Y APORTACIONES DE CAPITAL</w:t>
            </w:r>
          </w:p>
        </w:tc>
        <w:tc>
          <w:tcPr>
            <w:tcW w:w="1840" w:type="dxa"/>
            <w:tcBorders>
              <w:top w:val="nil"/>
              <w:left w:val="nil"/>
              <w:bottom w:val="nil"/>
              <w:right w:val="nil"/>
            </w:tcBorders>
            <w:shd w:val="clear" w:color="auto" w:fill="auto"/>
            <w:vAlign w:val="center"/>
            <w:hideMark/>
          </w:tcPr>
          <w:p w:rsidR="00706DFA" w:rsidRPr="00EB63BB" w:rsidRDefault="00706DFA" w:rsidP="00706DFA">
            <w:pPr>
              <w:spacing w:after="0" w:line="240" w:lineRule="auto"/>
              <w:rPr>
                <w:rFonts w:ascii="Lato" w:eastAsia="Times New Roman" w:hAnsi="Lato" w:cs="Calibri"/>
                <w:b/>
                <w:bCs/>
                <w:color w:val="000000"/>
                <w:sz w:val="20"/>
                <w:szCs w:val="20"/>
              </w:rPr>
            </w:pPr>
          </w:p>
        </w:tc>
      </w:tr>
      <w:tr w:rsidR="00706DFA" w:rsidRPr="00EB63BB" w:rsidTr="00706DFA">
        <w:trPr>
          <w:divId w:val="2075615973"/>
          <w:trHeight w:val="315"/>
        </w:trPr>
        <w:tc>
          <w:tcPr>
            <w:tcW w:w="7460" w:type="dxa"/>
            <w:tcBorders>
              <w:top w:val="nil"/>
              <w:left w:val="nil"/>
              <w:bottom w:val="nil"/>
              <w:right w:val="nil"/>
            </w:tcBorders>
            <w:shd w:val="clear" w:color="auto" w:fill="auto"/>
            <w:vAlign w:val="center"/>
            <w:hideMark/>
          </w:tcPr>
          <w:p w:rsidR="00706DFA" w:rsidRPr="00EB63BB" w:rsidRDefault="00706DFA" w:rsidP="00706DFA">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PARTICIPACIONES Y APORTACIONES DE CAPITAL A LP EN EL SECTOR PÚBLICO</w:t>
            </w:r>
          </w:p>
        </w:tc>
        <w:tc>
          <w:tcPr>
            <w:tcW w:w="1840" w:type="dxa"/>
            <w:tcBorders>
              <w:top w:val="nil"/>
              <w:left w:val="nil"/>
              <w:bottom w:val="nil"/>
              <w:right w:val="nil"/>
            </w:tcBorders>
            <w:shd w:val="clear" w:color="auto" w:fill="auto"/>
            <w:vAlign w:val="center"/>
            <w:hideMark/>
          </w:tcPr>
          <w:p w:rsidR="00706DFA" w:rsidRPr="00EB63BB" w:rsidRDefault="00706DFA" w:rsidP="00706DFA">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430,082,132.00</w:t>
            </w:r>
          </w:p>
        </w:tc>
      </w:tr>
      <w:tr w:rsidR="00706DFA" w:rsidRPr="00EB63BB" w:rsidTr="00706DFA">
        <w:trPr>
          <w:divId w:val="2075615973"/>
          <w:trHeight w:val="330"/>
        </w:trPr>
        <w:tc>
          <w:tcPr>
            <w:tcW w:w="7460" w:type="dxa"/>
            <w:tcBorders>
              <w:top w:val="nil"/>
              <w:left w:val="nil"/>
              <w:bottom w:val="nil"/>
              <w:right w:val="nil"/>
            </w:tcBorders>
            <w:shd w:val="clear" w:color="auto" w:fill="auto"/>
            <w:vAlign w:val="center"/>
            <w:hideMark/>
          </w:tcPr>
          <w:p w:rsidR="00706DFA" w:rsidRPr="00EB63BB" w:rsidRDefault="00706DFA" w:rsidP="00706DFA">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1840" w:type="dxa"/>
            <w:tcBorders>
              <w:top w:val="single" w:sz="12" w:space="0" w:color="000000"/>
              <w:left w:val="nil"/>
              <w:bottom w:val="single" w:sz="12" w:space="0" w:color="000000"/>
              <w:right w:val="nil"/>
            </w:tcBorders>
            <w:shd w:val="clear" w:color="auto" w:fill="auto"/>
            <w:vAlign w:val="center"/>
            <w:hideMark/>
          </w:tcPr>
          <w:p w:rsidR="00706DFA" w:rsidRPr="00EB63BB" w:rsidRDefault="00706DFA" w:rsidP="00706DFA">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430,082,132.00</w:t>
            </w:r>
          </w:p>
        </w:tc>
      </w:tr>
    </w:tbl>
    <w:p w:rsidR="005865E4" w:rsidRPr="00EB63BB" w:rsidRDefault="005865E4" w:rsidP="002D4BB7">
      <w:pPr>
        <w:divId w:val="2075615973"/>
        <w:rPr>
          <w:rFonts w:ascii="Lato" w:eastAsia="Times New Roman" w:hAnsi="Lato"/>
          <w:sz w:val="20"/>
          <w:szCs w:val="20"/>
        </w:rPr>
      </w:pPr>
    </w:p>
    <w:p w:rsidR="00E937AC" w:rsidRPr="00EB63BB" w:rsidRDefault="00E937AC" w:rsidP="002D4BB7">
      <w:pPr>
        <w:divId w:val="2075615973"/>
        <w:rPr>
          <w:rFonts w:ascii="Lato" w:eastAsia="Times New Roman" w:hAnsi="Lato"/>
          <w:sz w:val="20"/>
          <w:szCs w:val="20"/>
        </w:rPr>
      </w:pPr>
    </w:p>
    <w:p w:rsidR="00E937AC" w:rsidRPr="00EB63BB" w:rsidRDefault="00E937AC" w:rsidP="002D4BB7">
      <w:pPr>
        <w:divId w:val="2075615973"/>
        <w:rPr>
          <w:rFonts w:ascii="Lato" w:eastAsia="Times New Roman" w:hAnsi="Lato"/>
          <w:sz w:val="20"/>
          <w:szCs w:val="20"/>
        </w:rPr>
      </w:pPr>
    </w:p>
    <w:p w:rsidR="008A42E3" w:rsidRPr="00EB63BB" w:rsidRDefault="008A42E3" w:rsidP="002D4BB7">
      <w:pPr>
        <w:divId w:val="2075615973"/>
        <w:rPr>
          <w:rFonts w:ascii="Lato" w:eastAsia="Times New Roman" w:hAnsi="Lato"/>
          <w:sz w:val="20"/>
          <w:szCs w:val="20"/>
        </w:rPr>
      </w:pP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8.- El saldo del rubro Bienes muebles e inmuebles que figura en el Estado de situación financiera, se integra como sigue:</w:t>
      </w:r>
    </w:p>
    <w:tbl>
      <w:tblPr>
        <w:tblW w:w="11047" w:type="dxa"/>
        <w:tblCellMar>
          <w:left w:w="70" w:type="dxa"/>
          <w:right w:w="70" w:type="dxa"/>
        </w:tblCellMar>
        <w:tblLook w:val="04A0" w:firstRow="1" w:lastRow="0" w:firstColumn="1" w:lastColumn="0" w:noHBand="0" w:noVBand="1"/>
      </w:tblPr>
      <w:tblGrid>
        <w:gridCol w:w="4395"/>
        <w:gridCol w:w="2268"/>
        <w:gridCol w:w="1984"/>
        <w:gridCol w:w="2400"/>
      </w:tblGrid>
      <w:tr w:rsidR="00F71C67" w:rsidRPr="00EB63BB" w:rsidTr="00F71C67">
        <w:trPr>
          <w:divId w:val="35980657"/>
          <w:trHeight w:val="48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BIENES MUEBLES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IMPORTE</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DEPRECIACIÓN DEL EJERCICIO</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DEPRECIACIÓN ACUMULADA</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MOBILIARIO Y EQUIPO DE ADMINISTRACIÓN</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Times New Roman"/>
                <w:sz w:val="20"/>
                <w:szCs w:val="20"/>
              </w:rPr>
            </w:pP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Times New Roman"/>
                <w:sz w:val="20"/>
                <w:szCs w:val="20"/>
              </w:rPr>
            </w:pP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MUEBLES DE OFICINA Y ESTANTERÍA</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587,965,364.69</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4,423,922.03</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149,733,528.22</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MUEBLES, EXCEPTO DE OFICINA Y ESTANTERÍA</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11,980,562.27</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446,760.55</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7,215,477.27</w:t>
            </w:r>
          </w:p>
        </w:tc>
      </w:tr>
      <w:tr w:rsidR="00F71C67" w:rsidRPr="00EB63BB" w:rsidTr="00F71C67">
        <w:trPr>
          <w:divId w:val="35980657"/>
          <w:trHeight w:val="48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EQUIPO DE CÓMPUTO Y DE TECNOLOGÍAS DE LA INFORMACIÓN</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983,271,879.54</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27,246,712.52</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1,189,913,296.36</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OTROS MOBILIARIOS Y EQUIPOS DE ADMINISTRACIÓN</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115,397,502.79</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1,308,676.93</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85,901,077.65</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MOBILIARIO Y EQUIPO EDUCACIONAL Y RECREATIVO</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Times New Roman"/>
                <w:sz w:val="20"/>
                <w:szCs w:val="20"/>
              </w:rPr>
            </w:pP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Times New Roman"/>
                <w:sz w:val="20"/>
                <w:szCs w:val="20"/>
              </w:rPr>
            </w:pP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EQUIPOS Y APARATOS AUDIOVISUALES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438,726,250.28</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3,440,043.40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415,392,479.84</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APARATOS DEPORTIVOS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1,458,850.29</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7,208.22</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1,273,223.18</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CÁMARAS FOTOGRÁFICAS Y DE VIDEO</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36,468,615.22</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1,185,805.03</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33,568,868.16</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OTRO MOBILIARIO Y EQUIPO EDUCACIONAL Y RECREATIVO</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143,068,106.44</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3,232,399.47</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47,368,842.91</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EQUIPO E INSTRUMENTAL MÉDICO Y DE LABORATORIO</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Times New Roman"/>
                <w:sz w:val="20"/>
                <w:szCs w:val="20"/>
              </w:rPr>
            </w:pP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Times New Roman"/>
                <w:sz w:val="20"/>
                <w:szCs w:val="20"/>
              </w:rPr>
            </w:pP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EQUIPO MÉDICO Y DE LABORATORIO</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35,998,229.30</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736,294.09</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29,460,578.63</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INSTRUMENTAL MÉDICO Y DE LABORATORIO</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8,400,428.77</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77,778.24</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6,951,283.49</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VEHÍCULOS Y EQUIPO DE TRANSPORTE</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Times New Roman"/>
                <w:sz w:val="20"/>
                <w:szCs w:val="20"/>
              </w:rPr>
            </w:pP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Times New Roman"/>
                <w:sz w:val="20"/>
                <w:szCs w:val="20"/>
              </w:rPr>
            </w:pP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VEHÍCULOS Y EQUIPO DE TERRESTRE</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512,117,307.83</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14,364,328.91</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486,941,738.49</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CARROCERÍAS Y REMOLQUES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32,572,101.51</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1,264,491.17</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24,688,437.30</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EQUIPO AEROESPACIAL</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17,767,074.16</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17,226.00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17,683,815.12</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EQUIPO FERROVIARIO</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lastRenderedPageBreak/>
              <w:t>EMBARCACIONES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86,081,445.94</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3,890,045.97</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54,964,293.88</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OTROS EQUIPOS DE TRANSPORTE</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84,290,077.31</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5,905,783.56</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62,308,768.99</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EQUIPO DE DEFENSA Y SEGURIDAD</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133,147,123.67</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4,576,705.64</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53,833,274.62</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MAQUINARIA, OTROS EQUIPOS Y HERRAMIENTAS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Times New Roman"/>
                <w:sz w:val="20"/>
                <w:szCs w:val="20"/>
              </w:rPr>
            </w:pP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Times New Roman"/>
                <w:sz w:val="20"/>
                <w:szCs w:val="20"/>
              </w:rPr>
            </w:pP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MAQUINARIA Y EQUIPO AGROPECUARIO</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16,474,313.73</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717,702.20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4,157,704.82</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MAQUINARIA Y EQUIPO INDUSTRIAL</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22,865,444.70</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628,335.41</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16,273,939.90</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MAQUINARIA Y EQUIPO DE CONSTRUCCIÓN</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2,597,926.02</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1,030.02</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2,779,545.11</w:t>
            </w:r>
          </w:p>
        </w:tc>
      </w:tr>
      <w:tr w:rsidR="00F71C67" w:rsidRPr="00EB63BB" w:rsidTr="00F71C67">
        <w:trPr>
          <w:divId w:val="35980657"/>
          <w:trHeight w:val="48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SISTEMAS DE AIRE ACONDICIONADO, CALEFACCIÓN Y DE REFRIGERACIÓN INDUSTRIAL Y COMERCIAL</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88,556,633.56</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2,056,913.25</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51,854,854.75</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EQUIPO DE COMUNICACIÓN Y TELECOMUNICACIÓN</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125,319,488.46</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3,418,173.53</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88,557,415.94</w:t>
            </w:r>
          </w:p>
        </w:tc>
      </w:tr>
      <w:tr w:rsidR="00F71C67" w:rsidRPr="00EB63BB" w:rsidTr="00F71C67">
        <w:trPr>
          <w:divId w:val="35980657"/>
          <w:trHeight w:val="45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EQUIPOS DE GENERACIÓN ELÉCTRICA, APARATOS Y ACCESORIOS ELÉCTRICOS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69,649,354.77</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2,887,469.40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36,270,368.72</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HERRAMIENTAS Y MÁQUINAS-HERRAMIENTA</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34,831,454.61</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932,268.70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15,608,140.62</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OTROS EQUIPOS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30,793,744.09</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1,365,064.27</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16,956,557.09</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COLECCIONES, OBRAS DE ARTE Y OBJETOS VALIOSOS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Times New Roman"/>
                <w:sz w:val="20"/>
                <w:szCs w:val="20"/>
              </w:rPr>
            </w:pP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Times New Roman"/>
                <w:sz w:val="20"/>
                <w:szCs w:val="20"/>
              </w:rPr>
            </w:pP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BIENES ARTÍSTICOS, CULTURALES Y CIENTÍFICOS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25,220,480.80</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190,845.18</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801,586.87</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OBJETOS DE VALOR</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7,102,220.95</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111,572.10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422,447.89</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ACTIVOS BIOLÓGICOS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Times New Roman"/>
                <w:sz w:val="20"/>
                <w:szCs w:val="20"/>
              </w:rPr>
            </w:pP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Times New Roman"/>
                <w:sz w:val="20"/>
                <w:szCs w:val="20"/>
              </w:rPr>
            </w:pP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OVINOS Y CAPRINOS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PECES Y ACUICULTURA</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9,960.00</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9,960.00</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ESPECIES MENORES Y DE ZOOLÓGICO</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1,140,280.00</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1,139,719.32</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3,653,272,221.70</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84,433,555.79</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2,902,031,225.14</w:t>
            </w:r>
          </w:p>
        </w:tc>
      </w:tr>
      <w:tr w:rsidR="00F71C67" w:rsidRPr="00EB63BB" w:rsidTr="00F71C67">
        <w:trPr>
          <w:divId w:val="35980657"/>
          <w:trHeight w:val="48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BIENES INMUEBLES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IMPORTE</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DEPRECIACIÓN DEL EJERCICIO</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DEPRECICIACIÓN ACUMULADA</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TERRENOS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3,786,641,801.65</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VIVIENDAS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7,377,529.82</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EDIFICIOS NO HABITACIONALES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1,925,180,148.80</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51,118,006.10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1,413,502,982.07</w:t>
            </w:r>
          </w:p>
        </w:tc>
      </w:tr>
      <w:tr w:rsidR="00F71C67" w:rsidRPr="00EB63BB" w:rsidTr="00F71C67">
        <w:trPr>
          <w:divId w:val="35980657"/>
          <w:trHeight w:val="30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INFRAESTRUCTURA</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66,320,694.92</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F71C67" w:rsidRPr="00EB63BB" w:rsidTr="00F71C67">
        <w:trPr>
          <w:divId w:val="35980657"/>
          <w:trHeight w:val="48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lastRenderedPageBreak/>
              <w:t>CONSTRUCCIONES EN PROCESO EN BIENES DE DOMINIO PÚBLICO</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34,455,624.71</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F71C67" w:rsidRPr="00EB63BB" w:rsidTr="00F71C67">
        <w:trPr>
          <w:divId w:val="35980657"/>
          <w:trHeight w:val="315"/>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CONSTRUCCIONES EN PROCESO EN BIENES PROPIOS</w:t>
            </w:r>
          </w:p>
        </w:tc>
        <w:tc>
          <w:tcPr>
            <w:tcW w:w="2268"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36,088,261.23</w:t>
            </w:r>
          </w:p>
        </w:tc>
        <w:tc>
          <w:tcPr>
            <w:tcW w:w="1984"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c>
          <w:tcPr>
            <w:tcW w:w="2400" w:type="dxa"/>
            <w:tcBorders>
              <w:top w:val="nil"/>
              <w:left w:val="nil"/>
              <w:bottom w:val="nil"/>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F71C67" w:rsidRPr="00EB63BB" w:rsidTr="00F71C67">
        <w:trPr>
          <w:divId w:val="35980657"/>
          <w:trHeight w:val="330"/>
        </w:trPr>
        <w:tc>
          <w:tcPr>
            <w:tcW w:w="4395" w:type="dxa"/>
            <w:tcBorders>
              <w:top w:val="nil"/>
              <w:left w:val="nil"/>
              <w:bottom w:val="nil"/>
              <w:right w:val="nil"/>
            </w:tcBorders>
            <w:shd w:val="clear" w:color="auto" w:fill="auto"/>
            <w:vAlign w:val="center"/>
            <w:hideMark/>
          </w:tcPr>
          <w:p w:rsidR="00F71C67" w:rsidRPr="00EB63BB" w:rsidRDefault="00F71C67" w:rsidP="00F71C67">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2268" w:type="dxa"/>
            <w:tcBorders>
              <w:top w:val="single" w:sz="12" w:space="0" w:color="000000"/>
              <w:left w:val="nil"/>
              <w:bottom w:val="single" w:sz="12" w:space="0" w:color="000000"/>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5,856,064,061.13</w:t>
            </w:r>
          </w:p>
        </w:tc>
        <w:tc>
          <w:tcPr>
            <w:tcW w:w="1984" w:type="dxa"/>
            <w:tcBorders>
              <w:top w:val="single" w:sz="12" w:space="0" w:color="000000"/>
              <w:left w:val="nil"/>
              <w:bottom w:val="single" w:sz="12" w:space="0" w:color="000000"/>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51,118,006.10</w:t>
            </w:r>
          </w:p>
        </w:tc>
        <w:tc>
          <w:tcPr>
            <w:tcW w:w="2400" w:type="dxa"/>
            <w:tcBorders>
              <w:top w:val="single" w:sz="12" w:space="0" w:color="000000"/>
              <w:left w:val="nil"/>
              <w:bottom w:val="single" w:sz="12" w:space="0" w:color="000000"/>
              <w:right w:val="nil"/>
            </w:tcBorders>
            <w:shd w:val="clear" w:color="auto" w:fill="auto"/>
            <w:vAlign w:val="center"/>
            <w:hideMark/>
          </w:tcPr>
          <w:p w:rsidR="00F71C67" w:rsidRPr="00EB63BB" w:rsidRDefault="00F71C67" w:rsidP="00F71C67">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1,413,502,982.07</w:t>
            </w:r>
          </w:p>
        </w:tc>
      </w:tr>
    </w:tbl>
    <w:p w:rsidR="00F71C67" w:rsidRPr="00EB63BB" w:rsidRDefault="00F71C67">
      <w:pPr>
        <w:jc w:val="both"/>
        <w:divId w:val="35980657"/>
        <w:rPr>
          <w:rFonts w:ascii="Lato" w:eastAsia="Times New Roman" w:hAnsi="Lato"/>
          <w:sz w:val="20"/>
          <w:szCs w:val="20"/>
        </w:rPr>
      </w:pP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 xml:space="preserve">Los saldos registrados en el rubro de Bienes Muebles e Inmuebles, representan el monto de la inversión realizada por el Poder Ejecutivo en Propiedades, Mobiliario y Equipo, para el desempeño de sus actividades administrativas, así como para la prestación de bienes y servicios a los habitantes del Estado de Yucatán. </w:t>
      </w:r>
    </w:p>
    <w:p w:rsidR="00B027B5" w:rsidRPr="00EB63BB" w:rsidRDefault="00642EB6">
      <w:pPr>
        <w:divId w:val="224920396"/>
        <w:rPr>
          <w:rFonts w:ascii="Lato" w:eastAsia="Times New Roman" w:hAnsi="Lato"/>
          <w:sz w:val="20"/>
          <w:szCs w:val="20"/>
        </w:rPr>
      </w:pPr>
      <w:r w:rsidRPr="00EB63BB">
        <w:rPr>
          <w:rFonts w:ascii="Lato" w:eastAsia="Times New Roman" w:hAnsi="Lato"/>
          <w:sz w:val="20"/>
          <w:szCs w:val="20"/>
        </w:rPr>
        <w:t>Respecto a la depreciación se indica lo siguiente:</w:t>
      </w:r>
    </w:p>
    <w:p w:rsidR="00B027B5" w:rsidRPr="00EB63BB" w:rsidRDefault="00642EB6">
      <w:pPr>
        <w:divId w:val="1937253371"/>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Para el c</w:t>
      </w:r>
      <w:r w:rsidRPr="00EB63BB">
        <w:rPr>
          <w:rFonts w:ascii="Lato" w:eastAsia="Times New Roman" w:hAnsi="Lato" w:cs="Barlow"/>
          <w:sz w:val="20"/>
          <w:szCs w:val="20"/>
        </w:rPr>
        <w:t>á</w:t>
      </w:r>
      <w:r w:rsidRPr="00EB63BB">
        <w:rPr>
          <w:rFonts w:ascii="Lato" w:eastAsia="Times New Roman" w:hAnsi="Lato"/>
          <w:sz w:val="20"/>
          <w:szCs w:val="20"/>
        </w:rPr>
        <w:t>lculo de la depreciaci</w:t>
      </w:r>
      <w:r w:rsidRPr="00EB63BB">
        <w:rPr>
          <w:rFonts w:ascii="Lato" w:eastAsia="Times New Roman" w:hAnsi="Lato" w:cs="Barlow"/>
          <w:sz w:val="20"/>
          <w:szCs w:val="20"/>
        </w:rPr>
        <w:t>ó</w:t>
      </w:r>
      <w:r w:rsidRPr="00EB63BB">
        <w:rPr>
          <w:rFonts w:ascii="Lato" w:eastAsia="Times New Roman" w:hAnsi="Lato"/>
          <w:sz w:val="20"/>
          <w:szCs w:val="20"/>
        </w:rPr>
        <w:t>n se utiliza el m</w:t>
      </w:r>
      <w:r w:rsidRPr="00EB63BB">
        <w:rPr>
          <w:rFonts w:ascii="Lato" w:eastAsia="Times New Roman" w:hAnsi="Lato" w:cs="Barlow"/>
          <w:sz w:val="20"/>
          <w:szCs w:val="20"/>
        </w:rPr>
        <w:t>é</w:t>
      </w:r>
      <w:r w:rsidRPr="00EB63BB">
        <w:rPr>
          <w:rFonts w:ascii="Lato" w:eastAsia="Times New Roman" w:hAnsi="Lato"/>
          <w:sz w:val="20"/>
          <w:szCs w:val="20"/>
        </w:rPr>
        <w:t>todo establecido por el CONAC mediante las Reglas Espec</w:t>
      </w:r>
      <w:r w:rsidRPr="00EB63BB">
        <w:rPr>
          <w:rFonts w:ascii="Lato" w:eastAsia="Times New Roman" w:hAnsi="Lato" w:cs="Barlow"/>
          <w:sz w:val="20"/>
          <w:szCs w:val="20"/>
        </w:rPr>
        <w:t>í</w:t>
      </w:r>
      <w:r w:rsidRPr="00EB63BB">
        <w:rPr>
          <w:rFonts w:ascii="Lato" w:eastAsia="Times New Roman" w:hAnsi="Lato"/>
          <w:sz w:val="20"/>
          <w:szCs w:val="20"/>
        </w:rPr>
        <w:t>ficas del Registro y Valoraci</w:t>
      </w:r>
      <w:r w:rsidRPr="00EB63BB">
        <w:rPr>
          <w:rFonts w:ascii="Lato" w:eastAsia="Times New Roman" w:hAnsi="Lato" w:cs="Barlow"/>
          <w:sz w:val="20"/>
          <w:szCs w:val="20"/>
        </w:rPr>
        <w:t>ó</w:t>
      </w:r>
      <w:r w:rsidRPr="00EB63BB">
        <w:rPr>
          <w:rFonts w:ascii="Lato" w:eastAsia="Times New Roman" w:hAnsi="Lato"/>
          <w:sz w:val="20"/>
          <w:szCs w:val="20"/>
        </w:rPr>
        <w:t>n del Activo.</w:t>
      </w:r>
    </w:p>
    <w:p w:rsidR="00B027B5" w:rsidRPr="00EB63BB" w:rsidRDefault="00642EB6">
      <w:pPr>
        <w:divId w:val="267129699"/>
        <w:rPr>
          <w:rFonts w:ascii="Lato" w:eastAsia="Times New Roman" w:hAnsi="Lato"/>
          <w:sz w:val="20"/>
          <w:szCs w:val="20"/>
        </w:rPr>
      </w:pPr>
      <w:r w:rsidRPr="00EB63BB">
        <w:rPr>
          <w:rFonts w:ascii="Lato" w:eastAsia="Times New Roman" w:hAnsi="Lato"/>
          <w:sz w:val="20"/>
          <w:szCs w:val="20"/>
        </w:rPr>
        <w:t>9.- El saldo en Bienes Intangibles y diferidos se integra como sigue:</w:t>
      </w:r>
    </w:p>
    <w:tbl>
      <w:tblPr>
        <w:tblW w:w="10348" w:type="dxa"/>
        <w:tblCellMar>
          <w:left w:w="70" w:type="dxa"/>
          <w:right w:w="70" w:type="dxa"/>
        </w:tblCellMar>
        <w:tblLook w:val="04A0" w:firstRow="1" w:lastRow="0" w:firstColumn="1" w:lastColumn="0" w:noHBand="0" w:noVBand="1"/>
      </w:tblPr>
      <w:tblGrid>
        <w:gridCol w:w="4600"/>
        <w:gridCol w:w="1921"/>
        <w:gridCol w:w="1984"/>
        <w:gridCol w:w="1843"/>
      </w:tblGrid>
      <w:tr w:rsidR="00D01053" w:rsidRPr="00EB63BB" w:rsidTr="00D01053">
        <w:trPr>
          <w:divId w:val="267129699"/>
          <w:trHeight w:val="480"/>
        </w:trPr>
        <w:tc>
          <w:tcPr>
            <w:tcW w:w="4600"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ACTIVOS INTANGIBLES Y DIFERIDOS</w:t>
            </w:r>
          </w:p>
        </w:tc>
        <w:tc>
          <w:tcPr>
            <w:tcW w:w="1921"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IMPORTE</w:t>
            </w:r>
          </w:p>
        </w:tc>
        <w:tc>
          <w:tcPr>
            <w:tcW w:w="1984"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DEPRECIACIÓN DEL EJERCICIO</w:t>
            </w:r>
          </w:p>
        </w:tc>
        <w:tc>
          <w:tcPr>
            <w:tcW w:w="1843"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DEPRECIACIÓN ACUMULADA</w:t>
            </w:r>
          </w:p>
        </w:tc>
      </w:tr>
      <w:tr w:rsidR="00D01053" w:rsidRPr="00EB63BB" w:rsidTr="00D01053">
        <w:trPr>
          <w:divId w:val="267129699"/>
          <w:trHeight w:val="300"/>
        </w:trPr>
        <w:tc>
          <w:tcPr>
            <w:tcW w:w="4600"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ACTIVOS INTANGIBLES</w:t>
            </w:r>
          </w:p>
        </w:tc>
        <w:tc>
          <w:tcPr>
            <w:tcW w:w="1921"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Calibri"/>
                <w:b/>
                <w:bCs/>
                <w:color w:val="000000"/>
                <w:sz w:val="20"/>
                <w:szCs w:val="20"/>
              </w:rPr>
            </w:pPr>
          </w:p>
        </w:tc>
        <w:tc>
          <w:tcPr>
            <w:tcW w:w="1984"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Times New Roman"/>
                <w:sz w:val="20"/>
                <w:szCs w:val="20"/>
              </w:rPr>
            </w:pPr>
          </w:p>
        </w:tc>
        <w:tc>
          <w:tcPr>
            <w:tcW w:w="1843"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Times New Roman"/>
                <w:sz w:val="20"/>
                <w:szCs w:val="20"/>
              </w:rPr>
            </w:pPr>
          </w:p>
        </w:tc>
      </w:tr>
      <w:tr w:rsidR="00D01053" w:rsidRPr="00EB63BB" w:rsidTr="00D01053">
        <w:trPr>
          <w:divId w:val="267129699"/>
          <w:trHeight w:val="300"/>
        </w:trPr>
        <w:tc>
          <w:tcPr>
            <w:tcW w:w="4600"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SOFTWARE</w:t>
            </w:r>
          </w:p>
        </w:tc>
        <w:tc>
          <w:tcPr>
            <w:tcW w:w="1921"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59,471,129.63</w:t>
            </w:r>
          </w:p>
        </w:tc>
        <w:tc>
          <w:tcPr>
            <w:tcW w:w="1984"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5,264,270.32</w:t>
            </w:r>
          </w:p>
        </w:tc>
        <w:tc>
          <w:tcPr>
            <w:tcW w:w="1843"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70,958,632.35</w:t>
            </w:r>
          </w:p>
        </w:tc>
      </w:tr>
      <w:tr w:rsidR="00D01053" w:rsidRPr="00EB63BB" w:rsidTr="00D01053">
        <w:trPr>
          <w:divId w:val="267129699"/>
          <w:trHeight w:val="300"/>
        </w:trPr>
        <w:tc>
          <w:tcPr>
            <w:tcW w:w="4600"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LICENCIAS</w:t>
            </w:r>
          </w:p>
        </w:tc>
        <w:tc>
          <w:tcPr>
            <w:tcW w:w="1921"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Calibri"/>
                <w:b/>
                <w:bCs/>
                <w:color w:val="000000"/>
                <w:sz w:val="20"/>
                <w:szCs w:val="20"/>
              </w:rPr>
            </w:pPr>
          </w:p>
        </w:tc>
        <w:tc>
          <w:tcPr>
            <w:tcW w:w="1984"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Times New Roman"/>
                <w:sz w:val="20"/>
                <w:szCs w:val="20"/>
              </w:rPr>
            </w:pPr>
          </w:p>
        </w:tc>
        <w:tc>
          <w:tcPr>
            <w:tcW w:w="1843"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Times New Roman"/>
                <w:sz w:val="20"/>
                <w:szCs w:val="20"/>
              </w:rPr>
            </w:pPr>
          </w:p>
        </w:tc>
      </w:tr>
      <w:tr w:rsidR="00D01053" w:rsidRPr="00EB63BB" w:rsidTr="00D01053">
        <w:trPr>
          <w:divId w:val="267129699"/>
          <w:trHeight w:val="300"/>
        </w:trPr>
        <w:tc>
          <w:tcPr>
            <w:tcW w:w="4600"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LICENCIAS INFORMATICAS E INTELECTULES</w:t>
            </w:r>
          </w:p>
        </w:tc>
        <w:tc>
          <w:tcPr>
            <w:tcW w:w="1921"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251,968,515.52</w:t>
            </w:r>
          </w:p>
        </w:tc>
        <w:tc>
          <w:tcPr>
            <w:tcW w:w="1984"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29,563,678.79</w:t>
            </w:r>
          </w:p>
        </w:tc>
        <w:tc>
          <w:tcPr>
            <w:tcW w:w="1843"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154,660,338.25</w:t>
            </w:r>
          </w:p>
        </w:tc>
      </w:tr>
      <w:tr w:rsidR="00D01053" w:rsidRPr="00EB63BB" w:rsidTr="00D01053">
        <w:trPr>
          <w:divId w:val="267129699"/>
          <w:trHeight w:val="300"/>
        </w:trPr>
        <w:tc>
          <w:tcPr>
            <w:tcW w:w="4600"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ACTIVOS DIFERIDOS</w:t>
            </w:r>
          </w:p>
        </w:tc>
        <w:tc>
          <w:tcPr>
            <w:tcW w:w="1921"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Calibri"/>
                <w:b/>
                <w:bCs/>
                <w:color w:val="000000"/>
                <w:sz w:val="20"/>
                <w:szCs w:val="20"/>
              </w:rPr>
            </w:pPr>
          </w:p>
        </w:tc>
        <w:tc>
          <w:tcPr>
            <w:tcW w:w="1984"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Times New Roman"/>
                <w:sz w:val="20"/>
                <w:szCs w:val="20"/>
              </w:rPr>
            </w:pPr>
          </w:p>
        </w:tc>
        <w:tc>
          <w:tcPr>
            <w:tcW w:w="1843"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Times New Roman"/>
                <w:sz w:val="20"/>
                <w:szCs w:val="20"/>
              </w:rPr>
            </w:pPr>
          </w:p>
        </w:tc>
      </w:tr>
      <w:tr w:rsidR="00D01053" w:rsidRPr="00EB63BB" w:rsidTr="00D01053">
        <w:trPr>
          <w:divId w:val="267129699"/>
          <w:trHeight w:val="300"/>
        </w:trPr>
        <w:tc>
          <w:tcPr>
            <w:tcW w:w="4600"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GASTOS PAGADOS POR ADELANTADO A LARGO PLAZO</w:t>
            </w:r>
          </w:p>
        </w:tc>
        <w:tc>
          <w:tcPr>
            <w:tcW w:w="1921"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1,887,815.09</w:t>
            </w:r>
          </w:p>
        </w:tc>
        <w:tc>
          <w:tcPr>
            <w:tcW w:w="1984"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c>
          <w:tcPr>
            <w:tcW w:w="1843"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D01053" w:rsidRPr="00EB63BB" w:rsidTr="00D01053">
        <w:trPr>
          <w:divId w:val="267129699"/>
          <w:trHeight w:val="300"/>
        </w:trPr>
        <w:tc>
          <w:tcPr>
            <w:tcW w:w="4600" w:type="dxa"/>
            <w:tcBorders>
              <w:top w:val="nil"/>
              <w:left w:val="nil"/>
              <w:bottom w:val="nil"/>
              <w:right w:val="nil"/>
            </w:tcBorders>
            <w:shd w:val="clear" w:color="auto" w:fill="auto"/>
            <w:vAlign w:val="center"/>
            <w:hideMark/>
          </w:tcPr>
          <w:p w:rsidR="00D01053" w:rsidRPr="00EB63BB" w:rsidRDefault="00D01053" w:rsidP="00D01053">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1921"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313,327,460.24</w:t>
            </w:r>
          </w:p>
        </w:tc>
        <w:tc>
          <w:tcPr>
            <w:tcW w:w="1984"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34,827,949.11</w:t>
            </w:r>
          </w:p>
        </w:tc>
        <w:tc>
          <w:tcPr>
            <w:tcW w:w="1843" w:type="dxa"/>
            <w:tcBorders>
              <w:top w:val="nil"/>
              <w:left w:val="nil"/>
              <w:bottom w:val="nil"/>
              <w:right w:val="nil"/>
            </w:tcBorders>
            <w:shd w:val="clear" w:color="auto" w:fill="auto"/>
            <w:vAlign w:val="center"/>
            <w:hideMark/>
          </w:tcPr>
          <w:p w:rsidR="00D01053" w:rsidRPr="00EB63BB" w:rsidRDefault="00D01053" w:rsidP="00D01053">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225,618,970.60</w:t>
            </w:r>
          </w:p>
        </w:tc>
      </w:tr>
    </w:tbl>
    <w:p w:rsidR="000E2316" w:rsidRPr="00EB63BB" w:rsidRDefault="000E2316">
      <w:pPr>
        <w:divId w:val="267129699"/>
        <w:rPr>
          <w:rFonts w:ascii="Lato" w:eastAsia="Times New Roman" w:hAnsi="Lato"/>
          <w:sz w:val="20"/>
          <w:szCs w:val="20"/>
        </w:rPr>
      </w:pPr>
    </w:p>
    <w:p w:rsidR="00B027B5" w:rsidRPr="00EB63BB" w:rsidRDefault="00642EB6">
      <w:pPr>
        <w:divId w:val="288901259"/>
        <w:rPr>
          <w:rFonts w:ascii="Lato" w:eastAsia="Times New Roman" w:hAnsi="Lato"/>
          <w:sz w:val="20"/>
          <w:szCs w:val="20"/>
        </w:rPr>
      </w:pPr>
      <w:r w:rsidRPr="00EB63BB">
        <w:rPr>
          <w:rStyle w:val="Textoennegrita"/>
          <w:rFonts w:ascii="Lato" w:eastAsia="Times New Roman" w:hAnsi="Lato"/>
          <w:sz w:val="20"/>
          <w:szCs w:val="20"/>
        </w:rPr>
        <w:t>Estimaciones y Deterioros</w:t>
      </w:r>
    </w:p>
    <w:p w:rsidR="00B027B5" w:rsidRDefault="00642EB6">
      <w:pPr>
        <w:jc w:val="both"/>
        <w:divId w:val="35980657"/>
        <w:rPr>
          <w:rFonts w:ascii="Lato" w:eastAsia="Times New Roman" w:hAnsi="Lato"/>
          <w:sz w:val="20"/>
          <w:szCs w:val="20"/>
        </w:rPr>
      </w:pPr>
      <w:r w:rsidRPr="00EB63BB">
        <w:rPr>
          <w:rFonts w:ascii="Lato" w:eastAsia="Times New Roman" w:hAnsi="Lato"/>
          <w:sz w:val="20"/>
          <w:szCs w:val="20"/>
        </w:rPr>
        <w:t>10.- El Poder Ejecuti</w:t>
      </w:r>
      <w:r w:rsidR="00D01053" w:rsidRPr="00EB63BB">
        <w:rPr>
          <w:rFonts w:ascii="Lato" w:eastAsia="Times New Roman" w:hAnsi="Lato"/>
          <w:sz w:val="20"/>
          <w:szCs w:val="20"/>
        </w:rPr>
        <w:t>vo no realizó al 30 de junio</w:t>
      </w:r>
      <w:r w:rsidR="00A20CBE" w:rsidRPr="00EB63BB">
        <w:rPr>
          <w:rFonts w:ascii="Lato" w:eastAsia="Times New Roman" w:hAnsi="Lato"/>
          <w:sz w:val="20"/>
          <w:szCs w:val="20"/>
        </w:rPr>
        <w:t xml:space="preserve"> de 2026</w:t>
      </w:r>
      <w:r w:rsidRPr="00EB63BB">
        <w:rPr>
          <w:rFonts w:ascii="Lato" w:eastAsia="Times New Roman" w:hAnsi="Lato"/>
          <w:sz w:val="20"/>
          <w:szCs w:val="20"/>
        </w:rPr>
        <w:t>, la determinación de estimaciones de cuentas incobrables, inversiones deterioro de activos biológicos, etc.</w:t>
      </w:r>
    </w:p>
    <w:p w:rsidR="00EB63BB" w:rsidRDefault="00EB63BB">
      <w:pPr>
        <w:jc w:val="both"/>
        <w:divId w:val="35980657"/>
        <w:rPr>
          <w:rFonts w:ascii="Lato" w:eastAsia="Times New Roman" w:hAnsi="Lato"/>
          <w:sz w:val="20"/>
          <w:szCs w:val="20"/>
        </w:rPr>
      </w:pPr>
    </w:p>
    <w:p w:rsidR="00EB63BB" w:rsidRPr="00EB63BB" w:rsidRDefault="00EB63BB">
      <w:pPr>
        <w:jc w:val="both"/>
        <w:divId w:val="35980657"/>
        <w:rPr>
          <w:rFonts w:ascii="Lato" w:eastAsia="Times New Roman" w:hAnsi="Lato"/>
          <w:sz w:val="20"/>
          <w:szCs w:val="20"/>
        </w:rPr>
      </w:pPr>
    </w:p>
    <w:p w:rsidR="00B027B5" w:rsidRPr="00EB63BB" w:rsidRDefault="00642EB6">
      <w:pPr>
        <w:divId w:val="1210150512"/>
        <w:rPr>
          <w:rFonts w:ascii="Lato" w:eastAsia="Times New Roman" w:hAnsi="Lato"/>
          <w:sz w:val="20"/>
          <w:szCs w:val="20"/>
        </w:rPr>
      </w:pPr>
      <w:r w:rsidRPr="00EB63BB">
        <w:rPr>
          <w:rStyle w:val="Textoennegrita"/>
          <w:rFonts w:ascii="Lato" w:eastAsia="Times New Roman" w:hAnsi="Lato"/>
          <w:sz w:val="20"/>
          <w:szCs w:val="20"/>
        </w:rPr>
        <w:lastRenderedPageBreak/>
        <w:t>Otros Activos</w:t>
      </w: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11.- El Poder Ejecutivo registra en este rubro activo circulante derivado de embargos realizados por la agencia de administración fiscal.</w:t>
      </w:r>
    </w:p>
    <w:tbl>
      <w:tblPr>
        <w:tblW w:w="6260" w:type="dxa"/>
        <w:tblCellMar>
          <w:left w:w="70" w:type="dxa"/>
          <w:right w:w="70" w:type="dxa"/>
        </w:tblCellMar>
        <w:tblLook w:val="04A0" w:firstRow="1" w:lastRow="0" w:firstColumn="1" w:lastColumn="0" w:noHBand="0" w:noVBand="1"/>
      </w:tblPr>
      <w:tblGrid>
        <w:gridCol w:w="4600"/>
        <w:gridCol w:w="1660"/>
      </w:tblGrid>
      <w:tr w:rsidR="00627DA4" w:rsidRPr="00EB63BB" w:rsidTr="00627DA4">
        <w:trPr>
          <w:divId w:val="35980657"/>
          <w:trHeight w:val="300"/>
        </w:trPr>
        <w:tc>
          <w:tcPr>
            <w:tcW w:w="460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OTROS ACTIVOS CIRCULANTES</w:t>
            </w:r>
          </w:p>
        </w:tc>
        <w:tc>
          <w:tcPr>
            <w:tcW w:w="166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b/>
                <w:bCs/>
                <w:color w:val="000000"/>
                <w:sz w:val="20"/>
                <w:szCs w:val="20"/>
              </w:rPr>
            </w:pPr>
          </w:p>
        </w:tc>
      </w:tr>
      <w:tr w:rsidR="00627DA4" w:rsidRPr="00EB63BB" w:rsidTr="00627DA4">
        <w:trPr>
          <w:divId w:val="35980657"/>
          <w:trHeight w:val="480"/>
        </w:trPr>
        <w:tc>
          <w:tcPr>
            <w:tcW w:w="460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BIENES DERIVADOS DE EMBARGOS, DECOMISOS, ASEGURAMIENTOS Y DACIÓN EN PAGO</w:t>
            </w:r>
          </w:p>
        </w:tc>
        <w:tc>
          <w:tcPr>
            <w:tcW w:w="166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b/>
                <w:bCs/>
                <w:color w:val="000000"/>
                <w:sz w:val="20"/>
                <w:szCs w:val="20"/>
              </w:rPr>
            </w:pPr>
          </w:p>
        </w:tc>
      </w:tr>
      <w:tr w:rsidR="00627DA4" w:rsidRPr="00EB63BB" w:rsidTr="00627DA4">
        <w:trPr>
          <w:divId w:val="35980657"/>
          <w:trHeight w:val="300"/>
        </w:trPr>
        <w:tc>
          <w:tcPr>
            <w:tcW w:w="460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BIENES INMUEBLES</w:t>
            </w:r>
          </w:p>
        </w:tc>
        <w:tc>
          <w:tcPr>
            <w:tcW w:w="166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b/>
                <w:bCs/>
                <w:color w:val="000000"/>
                <w:sz w:val="20"/>
                <w:szCs w:val="20"/>
              </w:rPr>
            </w:pPr>
          </w:p>
        </w:tc>
      </w:tr>
      <w:tr w:rsidR="00627DA4" w:rsidRPr="00EB63BB" w:rsidTr="00627DA4">
        <w:trPr>
          <w:divId w:val="35980657"/>
          <w:trHeight w:val="300"/>
        </w:trPr>
        <w:tc>
          <w:tcPr>
            <w:tcW w:w="460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TERRENOS</w:t>
            </w:r>
          </w:p>
        </w:tc>
        <w:tc>
          <w:tcPr>
            <w:tcW w:w="166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4,515,842.00</w:t>
            </w:r>
          </w:p>
        </w:tc>
      </w:tr>
      <w:tr w:rsidR="00627DA4" w:rsidRPr="00EB63BB" w:rsidTr="00627DA4">
        <w:trPr>
          <w:divId w:val="35980657"/>
          <w:trHeight w:val="300"/>
        </w:trPr>
        <w:tc>
          <w:tcPr>
            <w:tcW w:w="460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VIVIENDAS</w:t>
            </w:r>
          </w:p>
        </w:tc>
        <w:tc>
          <w:tcPr>
            <w:tcW w:w="166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1,809,879.00</w:t>
            </w:r>
          </w:p>
        </w:tc>
      </w:tr>
      <w:tr w:rsidR="00627DA4" w:rsidRPr="00EB63BB" w:rsidTr="00627DA4">
        <w:trPr>
          <w:divId w:val="35980657"/>
          <w:trHeight w:val="300"/>
        </w:trPr>
        <w:tc>
          <w:tcPr>
            <w:tcW w:w="460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BIENES MUEBLES</w:t>
            </w:r>
          </w:p>
        </w:tc>
        <w:tc>
          <w:tcPr>
            <w:tcW w:w="166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b/>
                <w:bCs/>
                <w:color w:val="000000"/>
                <w:sz w:val="20"/>
                <w:szCs w:val="20"/>
              </w:rPr>
            </w:pPr>
          </w:p>
        </w:tc>
      </w:tr>
      <w:tr w:rsidR="00627DA4" w:rsidRPr="00EB63BB" w:rsidTr="00627DA4">
        <w:trPr>
          <w:divId w:val="35980657"/>
          <w:trHeight w:val="300"/>
        </w:trPr>
        <w:tc>
          <w:tcPr>
            <w:tcW w:w="460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MOBILIARIO Y EQUIPO DE ADMINISTRACIÓN</w:t>
            </w:r>
          </w:p>
        </w:tc>
        <w:tc>
          <w:tcPr>
            <w:tcW w:w="166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318,637.21</w:t>
            </w:r>
          </w:p>
        </w:tc>
      </w:tr>
      <w:tr w:rsidR="00627DA4" w:rsidRPr="00EB63BB" w:rsidTr="00627DA4">
        <w:trPr>
          <w:divId w:val="35980657"/>
          <w:trHeight w:val="300"/>
        </w:trPr>
        <w:tc>
          <w:tcPr>
            <w:tcW w:w="460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MOBILIARIO Y EQUIPO EDUCACIONAL Y RECREATIVO</w:t>
            </w:r>
          </w:p>
        </w:tc>
        <w:tc>
          <w:tcPr>
            <w:tcW w:w="166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112,353.42</w:t>
            </w:r>
          </w:p>
        </w:tc>
      </w:tr>
      <w:tr w:rsidR="00627DA4" w:rsidRPr="00EB63BB" w:rsidTr="00627DA4">
        <w:trPr>
          <w:divId w:val="35980657"/>
          <w:trHeight w:val="300"/>
        </w:trPr>
        <w:tc>
          <w:tcPr>
            <w:tcW w:w="460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EQUIPO E INSTRUMENTAL MÉDICO Y DE LABORATORIO</w:t>
            </w:r>
          </w:p>
        </w:tc>
        <w:tc>
          <w:tcPr>
            <w:tcW w:w="166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2,673.00</w:t>
            </w:r>
          </w:p>
        </w:tc>
      </w:tr>
      <w:tr w:rsidR="00627DA4" w:rsidRPr="00EB63BB" w:rsidTr="00627DA4">
        <w:trPr>
          <w:divId w:val="35980657"/>
          <w:trHeight w:val="300"/>
        </w:trPr>
        <w:tc>
          <w:tcPr>
            <w:tcW w:w="460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VEHÍCULOS Y EQUIPOS DE TRANSPORTE</w:t>
            </w:r>
          </w:p>
        </w:tc>
        <w:tc>
          <w:tcPr>
            <w:tcW w:w="166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134,296.00</w:t>
            </w:r>
          </w:p>
        </w:tc>
      </w:tr>
      <w:tr w:rsidR="00627DA4" w:rsidRPr="00EB63BB" w:rsidTr="00627DA4">
        <w:trPr>
          <w:divId w:val="35980657"/>
          <w:trHeight w:val="315"/>
        </w:trPr>
        <w:tc>
          <w:tcPr>
            <w:tcW w:w="460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MAQUINARIA, OTROS EQUIPOS Y HERRAMIENTAS</w:t>
            </w:r>
          </w:p>
        </w:tc>
        <w:tc>
          <w:tcPr>
            <w:tcW w:w="166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24,612.00</w:t>
            </w:r>
          </w:p>
        </w:tc>
      </w:tr>
      <w:tr w:rsidR="00627DA4" w:rsidRPr="00EB63BB" w:rsidTr="00627DA4">
        <w:trPr>
          <w:divId w:val="35980657"/>
          <w:trHeight w:val="330"/>
        </w:trPr>
        <w:tc>
          <w:tcPr>
            <w:tcW w:w="4600" w:type="dxa"/>
            <w:tcBorders>
              <w:top w:val="nil"/>
              <w:left w:val="nil"/>
              <w:bottom w:val="nil"/>
              <w:right w:val="nil"/>
            </w:tcBorders>
            <w:shd w:val="clear" w:color="auto" w:fill="auto"/>
            <w:vAlign w:val="center"/>
            <w:hideMark/>
          </w:tcPr>
          <w:p w:rsidR="00627DA4" w:rsidRPr="00EB63BB" w:rsidRDefault="00627DA4" w:rsidP="00627DA4">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1660" w:type="dxa"/>
            <w:tcBorders>
              <w:top w:val="single" w:sz="12" w:space="0" w:color="000000"/>
              <w:left w:val="nil"/>
              <w:bottom w:val="single" w:sz="12" w:space="0" w:color="000000"/>
              <w:right w:val="nil"/>
            </w:tcBorders>
            <w:shd w:val="clear" w:color="auto" w:fill="auto"/>
            <w:vAlign w:val="center"/>
            <w:hideMark/>
          </w:tcPr>
          <w:p w:rsidR="00627DA4" w:rsidRPr="00EB63BB" w:rsidRDefault="00627DA4" w:rsidP="00627DA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6,918,292.63</w:t>
            </w:r>
          </w:p>
        </w:tc>
      </w:tr>
    </w:tbl>
    <w:p w:rsidR="00627DA4" w:rsidRPr="00EB63BB" w:rsidRDefault="00627DA4">
      <w:pPr>
        <w:jc w:val="both"/>
        <w:divId w:val="35980657"/>
        <w:rPr>
          <w:rFonts w:ascii="Lato" w:eastAsia="Times New Roman" w:hAnsi="Lato"/>
          <w:sz w:val="20"/>
          <w:szCs w:val="20"/>
        </w:rPr>
      </w:pPr>
    </w:p>
    <w:p w:rsidR="00B027B5" w:rsidRPr="00EB63BB" w:rsidRDefault="00642EB6">
      <w:pPr>
        <w:divId w:val="214893852"/>
        <w:rPr>
          <w:rFonts w:ascii="Lato" w:eastAsia="Times New Roman" w:hAnsi="Lato"/>
          <w:sz w:val="20"/>
          <w:szCs w:val="20"/>
        </w:rPr>
      </w:pPr>
      <w:r w:rsidRPr="00EB63BB">
        <w:rPr>
          <w:rStyle w:val="Textoennegrita"/>
          <w:rFonts w:ascii="Lato" w:eastAsia="Times New Roman" w:hAnsi="Lato"/>
          <w:sz w:val="20"/>
          <w:szCs w:val="20"/>
        </w:rPr>
        <w:t>Pasivos</w:t>
      </w:r>
    </w:p>
    <w:p w:rsidR="00B027B5" w:rsidRPr="00EB63BB" w:rsidRDefault="00642EB6">
      <w:pPr>
        <w:divId w:val="250503183"/>
        <w:rPr>
          <w:rFonts w:ascii="Lato" w:eastAsia="Times New Roman" w:hAnsi="Lato"/>
          <w:sz w:val="20"/>
          <w:szCs w:val="20"/>
        </w:rPr>
      </w:pPr>
      <w:r w:rsidRPr="00EB63BB">
        <w:rPr>
          <w:rFonts w:ascii="Lato" w:eastAsia="Times New Roman" w:hAnsi="Lato"/>
          <w:sz w:val="20"/>
          <w:szCs w:val="20"/>
        </w:rPr>
        <w:t>1.- La Cuenta de Proveedores, Retenciones y Deuda Publica se integran como sigue:</w:t>
      </w:r>
    </w:p>
    <w:tbl>
      <w:tblPr>
        <w:tblW w:w="5180" w:type="dxa"/>
        <w:tblCellMar>
          <w:left w:w="70" w:type="dxa"/>
          <w:right w:w="70" w:type="dxa"/>
        </w:tblCellMar>
        <w:tblLook w:val="04A0" w:firstRow="1" w:lastRow="0" w:firstColumn="1" w:lastColumn="0" w:noHBand="0" w:noVBand="1"/>
      </w:tblPr>
      <w:tblGrid>
        <w:gridCol w:w="3520"/>
        <w:gridCol w:w="1660"/>
      </w:tblGrid>
      <w:tr w:rsidR="00343AEF" w:rsidRPr="00EB63BB" w:rsidTr="00343AEF">
        <w:trPr>
          <w:divId w:val="250503183"/>
          <w:trHeight w:val="300"/>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PROVEEDORES POR PAGAR A CORTO PLAZO</w:t>
            </w:r>
          </w:p>
        </w:tc>
        <w:tc>
          <w:tcPr>
            <w:tcW w:w="166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b/>
                <w:bCs/>
                <w:color w:val="000000"/>
                <w:sz w:val="20"/>
                <w:szCs w:val="20"/>
              </w:rPr>
            </w:pPr>
          </w:p>
        </w:tc>
      </w:tr>
      <w:tr w:rsidR="00343AEF" w:rsidRPr="00EB63BB" w:rsidTr="00343AEF">
        <w:trPr>
          <w:divId w:val="250503183"/>
          <w:trHeight w:val="300"/>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EJERCICIO 2014</w:t>
            </w:r>
          </w:p>
        </w:tc>
        <w:tc>
          <w:tcPr>
            <w:tcW w:w="166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133,560.04</w:t>
            </w:r>
          </w:p>
        </w:tc>
      </w:tr>
      <w:tr w:rsidR="00343AEF" w:rsidRPr="00EB63BB" w:rsidTr="00343AEF">
        <w:trPr>
          <w:divId w:val="250503183"/>
          <w:trHeight w:val="300"/>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EJERCICIO 2015</w:t>
            </w:r>
          </w:p>
        </w:tc>
        <w:tc>
          <w:tcPr>
            <w:tcW w:w="166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72,790.32</w:t>
            </w:r>
          </w:p>
        </w:tc>
      </w:tr>
      <w:tr w:rsidR="00343AEF" w:rsidRPr="00EB63BB" w:rsidTr="00343AEF">
        <w:trPr>
          <w:divId w:val="250503183"/>
          <w:trHeight w:val="300"/>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EJERCICIO 2016</w:t>
            </w:r>
          </w:p>
        </w:tc>
        <w:tc>
          <w:tcPr>
            <w:tcW w:w="166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139,058.58</w:t>
            </w:r>
          </w:p>
        </w:tc>
      </w:tr>
      <w:tr w:rsidR="00343AEF" w:rsidRPr="00EB63BB" w:rsidTr="00343AEF">
        <w:trPr>
          <w:divId w:val="250503183"/>
          <w:trHeight w:val="300"/>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EJERCICIO 2017</w:t>
            </w:r>
          </w:p>
        </w:tc>
        <w:tc>
          <w:tcPr>
            <w:tcW w:w="166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144,607.32</w:t>
            </w:r>
          </w:p>
        </w:tc>
      </w:tr>
      <w:tr w:rsidR="00343AEF" w:rsidRPr="00EB63BB" w:rsidTr="00343AEF">
        <w:trPr>
          <w:divId w:val="250503183"/>
          <w:trHeight w:val="300"/>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EJERCICIO 2018</w:t>
            </w:r>
          </w:p>
        </w:tc>
        <w:tc>
          <w:tcPr>
            <w:tcW w:w="166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21,392,591.98</w:t>
            </w:r>
          </w:p>
        </w:tc>
      </w:tr>
      <w:tr w:rsidR="00343AEF" w:rsidRPr="00EB63BB" w:rsidTr="00343AEF">
        <w:trPr>
          <w:divId w:val="250503183"/>
          <w:trHeight w:val="300"/>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EJERCICIO 2019</w:t>
            </w:r>
          </w:p>
        </w:tc>
        <w:tc>
          <w:tcPr>
            <w:tcW w:w="166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129,543.65</w:t>
            </w:r>
          </w:p>
        </w:tc>
      </w:tr>
      <w:tr w:rsidR="00343AEF" w:rsidRPr="00EB63BB" w:rsidTr="00343AEF">
        <w:trPr>
          <w:divId w:val="250503183"/>
          <w:trHeight w:val="300"/>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lastRenderedPageBreak/>
              <w:t>EJERCICIO 2020</w:t>
            </w:r>
          </w:p>
        </w:tc>
        <w:tc>
          <w:tcPr>
            <w:tcW w:w="166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693,730.89</w:t>
            </w:r>
          </w:p>
        </w:tc>
      </w:tr>
      <w:tr w:rsidR="00343AEF" w:rsidRPr="00EB63BB" w:rsidTr="00343AEF">
        <w:trPr>
          <w:divId w:val="250503183"/>
          <w:trHeight w:val="300"/>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EJERCICIO 2021</w:t>
            </w:r>
          </w:p>
        </w:tc>
        <w:tc>
          <w:tcPr>
            <w:tcW w:w="166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199,455.42</w:t>
            </w:r>
          </w:p>
        </w:tc>
      </w:tr>
      <w:tr w:rsidR="00343AEF" w:rsidRPr="00EB63BB" w:rsidTr="00343AEF">
        <w:trPr>
          <w:divId w:val="250503183"/>
          <w:trHeight w:val="300"/>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EJERCICIO 2022</w:t>
            </w:r>
          </w:p>
        </w:tc>
        <w:tc>
          <w:tcPr>
            <w:tcW w:w="166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1,291,113.39</w:t>
            </w:r>
          </w:p>
        </w:tc>
      </w:tr>
      <w:tr w:rsidR="00343AEF" w:rsidRPr="00EB63BB" w:rsidTr="00343AEF">
        <w:trPr>
          <w:divId w:val="250503183"/>
          <w:trHeight w:val="300"/>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EJERCICIO 2023</w:t>
            </w:r>
          </w:p>
        </w:tc>
        <w:tc>
          <w:tcPr>
            <w:tcW w:w="166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987.08</w:t>
            </w:r>
          </w:p>
        </w:tc>
      </w:tr>
      <w:tr w:rsidR="00343AEF" w:rsidRPr="00EB63BB" w:rsidTr="00343AEF">
        <w:trPr>
          <w:divId w:val="250503183"/>
          <w:trHeight w:val="300"/>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EJERCICIO 2024</w:t>
            </w:r>
          </w:p>
        </w:tc>
        <w:tc>
          <w:tcPr>
            <w:tcW w:w="166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-295,306.62</w:t>
            </w:r>
          </w:p>
        </w:tc>
      </w:tr>
      <w:tr w:rsidR="00343AEF" w:rsidRPr="00EB63BB" w:rsidTr="00343AEF">
        <w:trPr>
          <w:divId w:val="250503183"/>
          <w:trHeight w:val="300"/>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EJERCICIO 2025</w:t>
            </w:r>
          </w:p>
        </w:tc>
        <w:tc>
          <w:tcPr>
            <w:tcW w:w="166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-142,345.72</w:t>
            </w:r>
          </w:p>
        </w:tc>
      </w:tr>
      <w:tr w:rsidR="00343AEF" w:rsidRPr="00EB63BB" w:rsidTr="00343AEF">
        <w:trPr>
          <w:divId w:val="250503183"/>
          <w:trHeight w:val="315"/>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EJERCICIO 2026</w:t>
            </w:r>
          </w:p>
        </w:tc>
        <w:tc>
          <w:tcPr>
            <w:tcW w:w="166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411,108,235.60</w:t>
            </w:r>
          </w:p>
        </w:tc>
      </w:tr>
      <w:tr w:rsidR="00343AEF" w:rsidRPr="00EB63BB" w:rsidTr="00343AEF">
        <w:trPr>
          <w:divId w:val="250503183"/>
          <w:trHeight w:val="330"/>
        </w:trPr>
        <w:tc>
          <w:tcPr>
            <w:tcW w:w="3520" w:type="dxa"/>
            <w:tcBorders>
              <w:top w:val="nil"/>
              <w:left w:val="nil"/>
              <w:bottom w:val="nil"/>
              <w:right w:val="nil"/>
            </w:tcBorders>
            <w:shd w:val="clear" w:color="auto" w:fill="auto"/>
            <w:vAlign w:val="center"/>
            <w:hideMark/>
          </w:tcPr>
          <w:p w:rsidR="00343AEF" w:rsidRPr="00EB63BB" w:rsidRDefault="00343AEF" w:rsidP="00343AEF">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1660" w:type="dxa"/>
            <w:tcBorders>
              <w:top w:val="single" w:sz="12" w:space="0" w:color="000000"/>
              <w:left w:val="nil"/>
              <w:bottom w:val="single" w:sz="12" w:space="0" w:color="000000"/>
              <w:right w:val="nil"/>
            </w:tcBorders>
            <w:shd w:val="clear" w:color="auto" w:fill="auto"/>
            <w:vAlign w:val="center"/>
            <w:hideMark/>
          </w:tcPr>
          <w:p w:rsidR="00343AEF" w:rsidRPr="00EB63BB" w:rsidRDefault="00343AEF" w:rsidP="00343AEF">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434,868,021.93</w:t>
            </w:r>
          </w:p>
        </w:tc>
      </w:tr>
    </w:tbl>
    <w:p w:rsidR="00343AEF" w:rsidRPr="00EB63BB" w:rsidRDefault="00343AEF">
      <w:pPr>
        <w:divId w:val="250503183"/>
        <w:rPr>
          <w:rFonts w:ascii="Lato" w:eastAsia="Times New Roman" w:hAnsi="Lato"/>
          <w:sz w:val="20"/>
          <w:szCs w:val="20"/>
        </w:rPr>
      </w:pPr>
    </w:p>
    <w:tbl>
      <w:tblPr>
        <w:tblW w:w="5180" w:type="dxa"/>
        <w:tblCellMar>
          <w:left w:w="70" w:type="dxa"/>
          <w:right w:w="70" w:type="dxa"/>
        </w:tblCellMar>
        <w:tblLook w:val="04A0" w:firstRow="1" w:lastRow="0" w:firstColumn="1" w:lastColumn="0" w:noHBand="0" w:noVBand="1"/>
      </w:tblPr>
      <w:tblGrid>
        <w:gridCol w:w="3520"/>
        <w:gridCol w:w="1660"/>
      </w:tblGrid>
      <w:tr w:rsidR="00217F7D" w:rsidRPr="00EB63BB" w:rsidTr="00217F7D">
        <w:trPr>
          <w:divId w:val="250503183"/>
          <w:trHeight w:val="48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RETENCIONES Y CONTRIBUCIONES POR PAGAR A CORTO PLAZO</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b/>
                <w:bCs/>
                <w:color w:val="000000"/>
                <w:sz w:val="20"/>
                <w:szCs w:val="20"/>
              </w:rPr>
            </w:pPr>
          </w:p>
        </w:tc>
      </w:tr>
      <w:tr w:rsidR="00217F7D" w:rsidRPr="00EB63BB" w:rsidTr="00217F7D">
        <w:trPr>
          <w:divId w:val="250503183"/>
          <w:trHeight w:val="48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RETENCIONES DE IMPUESTOS SOBRE LA RENTA</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83,937,228.63</w:t>
            </w:r>
          </w:p>
        </w:tc>
      </w:tr>
      <w:tr w:rsidR="00217F7D" w:rsidRPr="00EB63BB" w:rsidTr="00217F7D">
        <w:trPr>
          <w:divId w:val="250503183"/>
          <w:trHeight w:val="30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RETENCIONES DIVERSAS</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29,278,103.54</w:t>
            </w:r>
          </w:p>
        </w:tc>
      </w:tr>
      <w:tr w:rsidR="00217F7D" w:rsidRPr="00EB63BB" w:rsidTr="00217F7D">
        <w:trPr>
          <w:divId w:val="250503183"/>
          <w:trHeight w:val="30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RETENCIONES A FAVOR DEL ISSTEY</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99,982,324.43</w:t>
            </w:r>
          </w:p>
        </w:tc>
      </w:tr>
      <w:tr w:rsidR="00217F7D" w:rsidRPr="00EB63BB" w:rsidTr="00217F7D">
        <w:trPr>
          <w:divId w:val="250503183"/>
          <w:trHeight w:val="30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CMIC</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44,771.35</w:t>
            </w:r>
          </w:p>
        </w:tc>
      </w:tr>
      <w:tr w:rsidR="00217F7D" w:rsidRPr="00EB63BB" w:rsidTr="00217F7D">
        <w:trPr>
          <w:divId w:val="250503183"/>
          <w:trHeight w:val="48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ORGANO TÉCNICO DE FISCALIZACIÓN A LA LEGISLATURA</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10,845.71</w:t>
            </w:r>
          </w:p>
        </w:tc>
      </w:tr>
      <w:tr w:rsidR="00217F7D" w:rsidRPr="00EB63BB" w:rsidTr="00217F7D">
        <w:trPr>
          <w:divId w:val="250503183"/>
          <w:trHeight w:val="48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INSPECCIÓN Y VIGILANCIA POR CONVENIO DE COLABORACIÓN ADMINISTRATIVA</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226,398.84</w:t>
            </w:r>
          </w:p>
        </w:tc>
      </w:tr>
      <w:tr w:rsidR="00217F7D" w:rsidRPr="00EB63BB" w:rsidTr="00217F7D">
        <w:trPr>
          <w:divId w:val="250503183"/>
          <w:trHeight w:val="30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IMPUESTO ESTATAL SOBRE NÓMINA</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429,493.26</w:t>
            </w:r>
          </w:p>
        </w:tc>
      </w:tr>
      <w:tr w:rsidR="00217F7D" w:rsidRPr="00EB63BB" w:rsidTr="00217F7D">
        <w:trPr>
          <w:divId w:val="250503183"/>
          <w:trHeight w:val="315"/>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IMPUESTO AL VALOR AGREGADO</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99,341.77</w:t>
            </w:r>
          </w:p>
        </w:tc>
      </w:tr>
      <w:tr w:rsidR="00217F7D" w:rsidRPr="00EB63BB" w:rsidTr="00217F7D">
        <w:trPr>
          <w:divId w:val="250503183"/>
          <w:trHeight w:val="33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1660" w:type="dxa"/>
            <w:tcBorders>
              <w:top w:val="single" w:sz="12" w:space="0" w:color="000000"/>
              <w:left w:val="nil"/>
              <w:bottom w:val="single" w:sz="12" w:space="0" w:color="000000"/>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214,008,507.53</w:t>
            </w:r>
          </w:p>
        </w:tc>
      </w:tr>
    </w:tbl>
    <w:p w:rsidR="00217F7D" w:rsidRPr="00EB63BB" w:rsidRDefault="00217F7D">
      <w:pPr>
        <w:divId w:val="250503183"/>
        <w:rPr>
          <w:rFonts w:ascii="Lato" w:eastAsia="Times New Roman" w:hAnsi="Lato"/>
          <w:sz w:val="20"/>
          <w:szCs w:val="20"/>
        </w:rPr>
      </w:pPr>
    </w:p>
    <w:tbl>
      <w:tblPr>
        <w:tblW w:w="5180" w:type="dxa"/>
        <w:tblCellMar>
          <w:left w:w="70" w:type="dxa"/>
          <w:right w:w="70" w:type="dxa"/>
        </w:tblCellMar>
        <w:tblLook w:val="04A0" w:firstRow="1" w:lastRow="0" w:firstColumn="1" w:lastColumn="0" w:noHBand="0" w:noVBand="1"/>
      </w:tblPr>
      <w:tblGrid>
        <w:gridCol w:w="3520"/>
        <w:gridCol w:w="1660"/>
      </w:tblGrid>
      <w:tr w:rsidR="00217F7D" w:rsidRPr="00EB63BB" w:rsidTr="00217F7D">
        <w:trPr>
          <w:divId w:val="250503183"/>
          <w:trHeight w:val="48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PORCIÓN A CORTO PLAZO DE LA DEUDA PÚBLICA INTERNA</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b/>
                <w:bCs/>
                <w:color w:val="000000"/>
                <w:sz w:val="20"/>
                <w:szCs w:val="20"/>
              </w:rPr>
            </w:pPr>
          </w:p>
        </w:tc>
      </w:tr>
      <w:tr w:rsidR="00217F7D" w:rsidRPr="00EB63BB" w:rsidTr="00217F7D">
        <w:trPr>
          <w:divId w:val="250503183"/>
          <w:trHeight w:val="30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BANAMEX YUCATÁN SEGURO(2019)</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29,153,655.24</w:t>
            </w:r>
          </w:p>
        </w:tc>
      </w:tr>
      <w:tr w:rsidR="00217F7D" w:rsidRPr="00EB63BB" w:rsidTr="00217F7D">
        <w:trPr>
          <w:divId w:val="250503183"/>
          <w:trHeight w:val="30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BANOBRAS REFINANCIAMIENTO 2020/C1</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7,794,576.00</w:t>
            </w:r>
          </w:p>
        </w:tc>
      </w:tr>
      <w:tr w:rsidR="00217F7D" w:rsidRPr="00EB63BB" w:rsidTr="00217F7D">
        <w:trPr>
          <w:divId w:val="250503183"/>
          <w:trHeight w:val="30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lastRenderedPageBreak/>
              <w:t>BANOBRAS REFINANCIAMIENTO 2020/C2</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11,687,223.29</w:t>
            </w:r>
          </w:p>
        </w:tc>
      </w:tr>
      <w:tr w:rsidR="00217F7D" w:rsidRPr="00EB63BB" w:rsidTr="00217F7D">
        <w:trPr>
          <w:divId w:val="250503183"/>
          <w:trHeight w:val="30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BANOBRAS REFINANCIAMIENTO 2020/C3</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13,452,231.51</w:t>
            </w:r>
          </w:p>
        </w:tc>
      </w:tr>
      <w:tr w:rsidR="00217F7D" w:rsidRPr="00EB63BB" w:rsidTr="00217F7D">
        <w:trPr>
          <w:divId w:val="250503183"/>
          <w:trHeight w:val="48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FINANCIAMIENTO BBVA AMPLIACIÓN PUERTO DE ALTURA DE PROGRESO</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11,093,818.97</w:t>
            </w:r>
          </w:p>
        </w:tc>
      </w:tr>
      <w:tr w:rsidR="00217F7D" w:rsidRPr="00EB63BB" w:rsidTr="00217F7D">
        <w:trPr>
          <w:divId w:val="250503183"/>
          <w:trHeight w:val="315"/>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FINANCIAMIENTO BBVA IE-TRAM 2022</w:t>
            </w:r>
          </w:p>
        </w:tc>
        <w:tc>
          <w:tcPr>
            <w:tcW w:w="166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12,812,463.25</w:t>
            </w:r>
          </w:p>
        </w:tc>
      </w:tr>
      <w:tr w:rsidR="00217F7D" w:rsidRPr="00EB63BB" w:rsidTr="00217F7D">
        <w:trPr>
          <w:divId w:val="250503183"/>
          <w:trHeight w:val="330"/>
        </w:trPr>
        <w:tc>
          <w:tcPr>
            <w:tcW w:w="3520" w:type="dxa"/>
            <w:tcBorders>
              <w:top w:val="nil"/>
              <w:left w:val="nil"/>
              <w:bottom w:val="nil"/>
              <w:right w:val="nil"/>
            </w:tcBorders>
            <w:shd w:val="clear" w:color="auto" w:fill="auto"/>
            <w:vAlign w:val="center"/>
            <w:hideMark/>
          </w:tcPr>
          <w:p w:rsidR="00217F7D" w:rsidRPr="00EB63BB" w:rsidRDefault="00217F7D" w:rsidP="00217F7D">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1660" w:type="dxa"/>
            <w:tcBorders>
              <w:top w:val="single" w:sz="12" w:space="0" w:color="000000"/>
              <w:left w:val="nil"/>
              <w:bottom w:val="single" w:sz="12" w:space="0" w:color="000000"/>
              <w:right w:val="nil"/>
            </w:tcBorders>
            <w:shd w:val="clear" w:color="auto" w:fill="auto"/>
            <w:vAlign w:val="center"/>
            <w:hideMark/>
          </w:tcPr>
          <w:p w:rsidR="00217F7D" w:rsidRPr="00EB63BB" w:rsidRDefault="00217F7D" w:rsidP="00217F7D">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85,993,968.26</w:t>
            </w:r>
          </w:p>
        </w:tc>
      </w:tr>
    </w:tbl>
    <w:p w:rsidR="00217F7D" w:rsidRPr="00EB63BB" w:rsidRDefault="00217F7D">
      <w:pPr>
        <w:divId w:val="250503183"/>
        <w:rPr>
          <w:rFonts w:ascii="Lato" w:eastAsia="Times New Roman" w:hAnsi="Lato"/>
          <w:sz w:val="20"/>
          <w:szCs w:val="20"/>
        </w:rPr>
      </w:pPr>
    </w:p>
    <w:tbl>
      <w:tblPr>
        <w:tblW w:w="5500" w:type="dxa"/>
        <w:tblCellMar>
          <w:left w:w="70" w:type="dxa"/>
          <w:right w:w="70" w:type="dxa"/>
        </w:tblCellMar>
        <w:tblLook w:val="04A0" w:firstRow="1" w:lastRow="0" w:firstColumn="1" w:lastColumn="0" w:noHBand="0" w:noVBand="1"/>
      </w:tblPr>
      <w:tblGrid>
        <w:gridCol w:w="3520"/>
        <w:gridCol w:w="1980"/>
      </w:tblGrid>
      <w:tr w:rsidR="006C743F" w:rsidRPr="00EB63BB" w:rsidTr="006C743F">
        <w:trPr>
          <w:divId w:val="250503183"/>
          <w:trHeight w:val="300"/>
        </w:trPr>
        <w:tc>
          <w:tcPr>
            <w:tcW w:w="352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DEUDA PÚBLICA A LARGO PLAZO</w:t>
            </w:r>
          </w:p>
        </w:tc>
        <w:tc>
          <w:tcPr>
            <w:tcW w:w="198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rPr>
                <w:rFonts w:ascii="Lato" w:eastAsia="Times New Roman" w:hAnsi="Lato" w:cs="Calibri"/>
                <w:b/>
                <w:bCs/>
                <w:color w:val="000000"/>
                <w:sz w:val="20"/>
                <w:szCs w:val="20"/>
              </w:rPr>
            </w:pPr>
          </w:p>
        </w:tc>
      </w:tr>
      <w:tr w:rsidR="006C743F" w:rsidRPr="00EB63BB" w:rsidTr="006C743F">
        <w:trPr>
          <w:divId w:val="250503183"/>
          <w:trHeight w:val="480"/>
        </w:trPr>
        <w:tc>
          <w:tcPr>
            <w:tcW w:w="352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PRÉSTAMOS DE LA DEUDA PÚBLICA INTERNA POR PAGAR A LARGO PLAZO</w:t>
            </w:r>
          </w:p>
        </w:tc>
        <w:tc>
          <w:tcPr>
            <w:tcW w:w="198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rPr>
                <w:rFonts w:ascii="Lato" w:eastAsia="Times New Roman" w:hAnsi="Lato" w:cs="Calibri"/>
                <w:b/>
                <w:bCs/>
                <w:color w:val="000000"/>
                <w:sz w:val="20"/>
                <w:szCs w:val="20"/>
              </w:rPr>
            </w:pPr>
          </w:p>
        </w:tc>
      </w:tr>
      <w:tr w:rsidR="006C743F" w:rsidRPr="00EB63BB" w:rsidTr="006C743F">
        <w:trPr>
          <w:divId w:val="250503183"/>
          <w:trHeight w:val="300"/>
        </w:trPr>
        <w:tc>
          <w:tcPr>
            <w:tcW w:w="352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BANAMEX YUCATAN SEGURO</w:t>
            </w:r>
          </w:p>
        </w:tc>
        <w:tc>
          <w:tcPr>
            <w:tcW w:w="198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2,377,957,011.11</w:t>
            </w:r>
          </w:p>
        </w:tc>
      </w:tr>
      <w:tr w:rsidR="006C743F" w:rsidRPr="00EB63BB" w:rsidTr="006C743F">
        <w:trPr>
          <w:divId w:val="250503183"/>
          <w:trHeight w:val="300"/>
        </w:trPr>
        <w:tc>
          <w:tcPr>
            <w:tcW w:w="352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BANOBRAS PROFISE</w:t>
            </w:r>
          </w:p>
        </w:tc>
        <w:tc>
          <w:tcPr>
            <w:tcW w:w="198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306,931,762.00</w:t>
            </w:r>
          </w:p>
        </w:tc>
      </w:tr>
      <w:tr w:rsidR="006C743F" w:rsidRPr="00EB63BB" w:rsidTr="006C743F">
        <w:trPr>
          <w:divId w:val="250503183"/>
          <w:trHeight w:val="300"/>
        </w:trPr>
        <w:tc>
          <w:tcPr>
            <w:tcW w:w="352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BANOBRAS REFINANCIAMIENTO 2020/C1</w:t>
            </w:r>
          </w:p>
        </w:tc>
        <w:tc>
          <w:tcPr>
            <w:tcW w:w="198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734,758,069.60</w:t>
            </w:r>
          </w:p>
        </w:tc>
      </w:tr>
      <w:tr w:rsidR="006C743F" w:rsidRPr="00EB63BB" w:rsidTr="006C743F">
        <w:trPr>
          <w:divId w:val="250503183"/>
          <w:trHeight w:val="300"/>
        </w:trPr>
        <w:tc>
          <w:tcPr>
            <w:tcW w:w="352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BANOBRAS REFINANCIAMIENTO 2020/C2</w:t>
            </w:r>
          </w:p>
        </w:tc>
        <w:tc>
          <w:tcPr>
            <w:tcW w:w="198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1,102,510,818.83</w:t>
            </w:r>
          </w:p>
        </w:tc>
      </w:tr>
      <w:tr w:rsidR="006C743F" w:rsidRPr="00EB63BB" w:rsidTr="006C743F">
        <w:trPr>
          <w:divId w:val="250503183"/>
          <w:trHeight w:val="300"/>
        </w:trPr>
        <w:tc>
          <w:tcPr>
            <w:tcW w:w="352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BANOBRAS REFINANCIAMIENTO 2020/C3</w:t>
            </w:r>
          </w:p>
        </w:tc>
        <w:tc>
          <w:tcPr>
            <w:tcW w:w="198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1,268,078,680.71</w:t>
            </w:r>
          </w:p>
        </w:tc>
      </w:tr>
      <w:tr w:rsidR="006C743F" w:rsidRPr="00EB63BB" w:rsidTr="006C743F">
        <w:trPr>
          <w:divId w:val="250503183"/>
          <w:trHeight w:val="480"/>
        </w:trPr>
        <w:tc>
          <w:tcPr>
            <w:tcW w:w="352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FINANCIAMIENTO BBVA IE TRAM Y OBRAS COMPLEMENTARIAS</w:t>
            </w:r>
          </w:p>
        </w:tc>
        <w:tc>
          <w:tcPr>
            <w:tcW w:w="198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1,665,066,364.16</w:t>
            </w:r>
          </w:p>
        </w:tc>
      </w:tr>
      <w:tr w:rsidR="006C743F" w:rsidRPr="00EB63BB" w:rsidTr="006C743F">
        <w:trPr>
          <w:divId w:val="250503183"/>
          <w:trHeight w:val="495"/>
        </w:trPr>
        <w:tc>
          <w:tcPr>
            <w:tcW w:w="352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FINANCIAMIENTO BBVA AMPLIACION PUERTO DE ALTURA  DE PROGRESO</w:t>
            </w:r>
          </w:p>
        </w:tc>
        <w:tc>
          <w:tcPr>
            <w:tcW w:w="198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1,726,435,487.17</w:t>
            </w:r>
          </w:p>
        </w:tc>
      </w:tr>
      <w:tr w:rsidR="006C743F" w:rsidRPr="00EB63BB" w:rsidTr="006C743F">
        <w:trPr>
          <w:divId w:val="250503183"/>
          <w:trHeight w:val="330"/>
        </w:trPr>
        <w:tc>
          <w:tcPr>
            <w:tcW w:w="3520" w:type="dxa"/>
            <w:tcBorders>
              <w:top w:val="nil"/>
              <w:left w:val="nil"/>
              <w:bottom w:val="nil"/>
              <w:right w:val="nil"/>
            </w:tcBorders>
            <w:shd w:val="clear" w:color="auto" w:fill="auto"/>
            <w:vAlign w:val="center"/>
            <w:hideMark/>
          </w:tcPr>
          <w:p w:rsidR="006C743F" w:rsidRPr="00EB63BB" w:rsidRDefault="006C743F" w:rsidP="006C743F">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1980" w:type="dxa"/>
            <w:tcBorders>
              <w:top w:val="single" w:sz="12" w:space="0" w:color="000000"/>
              <w:left w:val="nil"/>
              <w:bottom w:val="single" w:sz="12" w:space="0" w:color="000000"/>
              <w:right w:val="nil"/>
            </w:tcBorders>
            <w:shd w:val="clear" w:color="auto" w:fill="auto"/>
            <w:vAlign w:val="center"/>
            <w:hideMark/>
          </w:tcPr>
          <w:p w:rsidR="006C743F" w:rsidRPr="00EB63BB" w:rsidRDefault="006C743F" w:rsidP="006C743F">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9,181,738,193.58</w:t>
            </w:r>
          </w:p>
        </w:tc>
      </w:tr>
    </w:tbl>
    <w:p w:rsidR="00217F7D" w:rsidRPr="00EB63BB" w:rsidRDefault="00217F7D">
      <w:pPr>
        <w:divId w:val="250503183"/>
        <w:rPr>
          <w:rFonts w:ascii="Lato" w:eastAsia="Times New Roman" w:hAnsi="Lato"/>
          <w:sz w:val="20"/>
          <w:szCs w:val="20"/>
        </w:rPr>
      </w:pP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El Pasivo Circulante, representa aquellas obligaciones en las que la exigibilidad de pago es menor a un año y lo constituyen las fuentes principales de financiamiento, se incluyen principalmente las cuentas por pagar de operaciones co</w:t>
      </w:r>
      <w:r w:rsidR="00105D69" w:rsidRPr="00EB63BB">
        <w:rPr>
          <w:rFonts w:ascii="Lato" w:eastAsia="Times New Roman" w:hAnsi="Lato"/>
          <w:sz w:val="20"/>
          <w:szCs w:val="20"/>
        </w:rPr>
        <w:t>ntabilizadas al 30 de junio</w:t>
      </w:r>
      <w:r w:rsidR="009565CC" w:rsidRPr="00EB63BB">
        <w:rPr>
          <w:rFonts w:ascii="Lato" w:eastAsia="Times New Roman" w:hAnsi="Lato"/>
          <w:sz w:val="20"/>
          <w:szCs w:val="20"/>
        </w:rPr>
        <w:t xml:space="preserve"> de 2026</w:t>
      </w:r>
      <w:r w:rsidRPr="00EB63BB">
        <w:rPr>
          <w:rFonts w:ascii="Lato" w:eastAsia="Times New Roman" w:hAnsi="Lato"/>
          <w:sz w:val="20"/>
          <w:szCs w:val="20"/>
        </w:rPr>
        <w:t>.</w:t>
      </w: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lastRenderedPageBreak/>
        <w:t>Asimismo, dentro de este rubro se realizó la provisión de las operaciones de pasivo circulante que las Unidades Responsables del Gasto integran al Sistema como parte del gast</w:t>
      </w:r>
      <w:r w:rsidR="009565CC" w:rsidRPr="00EB63BB">
        <w:rPr>
          <w:rFonts w:ascii="Lato" w:eastAsia="Times New Roman" w:hAnsi="Lato"/>
          <w:sz w:val="20"/>
          <w:szCs w:val="20"/>
        </w:rPr>
        <w:t>o al cierre de cada mes</w:t>
      </w:r>
      <w:r w:rsidRPr="00EB63BB">
        <w:rPr>
          <w:rFonts w:ascii="Lato" w:eastAsia="Times New Roman" w:hAnsi="Lato"/>
          <w:sz w:val="20"/>
          <w:szCs w:val="20"/>
        </w:rPr>
        <w:t>.</w:t>
      </w: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 xml:space="preserve">En cuanto al rubro de Pasivo no Circulante, este se constituye por las obligaciones del Poder Ejecutivo, cuyo vencimiento será posterior a doce meses, tal es el caso de la cuenta denominada “Deuda Pública a Largo Plazo”. </w:t>
      </w: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2.- En la cuenta de fondos y bienes de terceros en garantía y/o administración a corto plazo, se integra por las cauciones de terceros depositados por las que se emiten recibos oficiales, estas son recuperadas por los terceros en el momento en que la acción jurídica iniciada en su contra haya sido resuelta en su favor y mediante solicitud por parte del beneficiario, generándose la cuenta por pagar respectiva.</w:t>
      </w:r>
    </w:p>
    <w:tbl>
      <w:tblPr>
        <w:tblW w:w="5500" w:type="dxa"/>
        <w:tblCellMar>
          <w:left w:w="70" w:type="dxa"/>
          <w:right w:w="70" w:type="dxa"/>
        </w:tblCellMar>
        <w:tblLook w:val="04A0" w:firstRow="1" w:lastRow="0" w:firstColumn="1" w:lastColumn="0" w:noHBand="0" w:noVBand="1"/>
      </w:tblPr>
      <w:tblGrid>
        <w:gridCol w:w="3520"/>
        <w:gridCol w:w="1980"/>
      </w:tblGrid>
      <w:tr w:rsidR="004C4A5C" w:rsidRPr="00EB63BB" w:rsidTr="004C4A5C">
        <w:trPr>
          <w:divId w:val="35980657"/>
          <w:trHeight w:val="300"/>
        </w:trPr>
        <w:tc>
          <w:tcPr>
            <w:tcW w:w="352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FONDOS EN GARANTÍA A CORTO PLAZO</w:t>
            </w:r>
          </w:p>
        </w:tc>
        <w:tc>
          <w:tcPr>
            <w:tcW w:w="198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rPr>
                <w:rFonts w:ascii="Lato" w:eastAsia="Times New Roman" w:hAnsi="Lato" w:cs="Calibri"/>
                <w:b/>
                <w:bCs/>
                <w:color w:val="000000"/>
                <w:sz w:val="20"/>
                <w:szCs w:val="20"/>
              </w:rPr>
            </w:pPr>
          </w:p>
        </w:tc>
      </w:tr>
      <w:tr w:rsidR="004C4A5C" w:rsidRPr="00EB63BB" w:rsidTr="004C4A5C">
        <w:trPr>
          <w:divId w:val="35980657"/>
          <w:trHeight w:val="300"/>
        </w:trPr>
        <w:tc>
          <w:tcPr>
            <w:tcW w:w="352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PODER JUDICIAL DEL ESTADO</w:t>
            </w:r>
          </w:p>
        </w:tc>
        <w:tc>
          <w:tcPr>
            <w:tcW w:w="198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209,272.38</w:t>
            </w:r>
          </w:p>
        </w:tc>
      </w:tr>
      <w:tr w:rsidR="004C4A5C" w:rsidRPr="00EB63BB" w:rsidTr="004C4A5C">
        <w:trPr>
          <w:divId w:val="35980657"/>
          <w:trHeight w:val="300"/>
        </w:trPr>
        <w:tc>
          <w:tcPr>
            <w:tcW w:w="352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MINISTERIO PUBLICO</w:t>
            </w:r>
          </w:p>
        </w:tc>
        <w:tc>
          <w:tcPr>
            <w:tcW w:w="198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51,375,586.66</w:t>
            </w:r>
          </w:p>
        </w:tc>
      </w:tr>
      <w:tr w:rsidR="004C4A5C" w:rsidRPr="00EB63BB" w:rsidTr="004C4A5C">
        <w:trPr>
          <w:divId w:val="35980657"/>
          <w:trHeight w:val="300"/>
        </w:trPr>
        <w:tc>
          <w:tcPr>
            <w:tcW w:w="352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DEP. JUDICIALES REGIMEN ANTERIOR</w:t>
            </w:r>
          </w:p>
        </w:tc>
        <w:tc>
          <w:tcPr>
            <w:tcW w:w="198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9,990,743.12</w:t>
            </w:r>
          </w:p>
        </w:tc>
      </w:tr>
      <w:tr w:rsidR="004C4A5C" w:rsidRPr="00EB63BB" w:rsidTr="004C4A5C">
        <w:trPr>
          <w:divId w:val="35980657"/>
          <w:trHeight w:val="480"/>
        </w:trPr>
        <w:tc>
          <w:tcPr>
            <w:tcW w:w="352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CONSEJO TUTELAR MENORES INFRACTORES</w:t>
            </w:r>
          </w:p>
        </w:tc>
        <w:tc>
          <w:tcPr>
            <w:tcW w:w="198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122,320.71</w:t>
            </w:r>
          </w:p>
        </w:tc>
      </w:tr>
      <w:tr w:rsidR="004C4A5C" w:rsidRPr="00EB63BB" w:rsidTr="004C4A5C">
        <w:trPr>
          <w:divId w:val="35980657"/>
          <w:trHeight w:val="480"/>
        </w:trPr>
        <w:tc>
          <w:tcPr>
            <w:tcW w:w="352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AGENCIA DE ADMINISTRACIÓN FISCAL DE YUCATÁN</w:t>
            </w:r>
          </w:p>
        </w:tc>
        <w:tc>
          <w:tcPr>
            <w:tcW w:w="198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19,000.10</w:t>
            </w:r>
          </w:p>
        </w:tc>
      </w:tr>
      <w:tr w:rsidR="004C4A5C" w:rsidRPr="00EB63BB" w:rsidTr="004C4A5C">
        <w:trPr>
          <w:divId w:val="35980657"/>
          <w:trHeight w:val="495"/>
        </w:trPr>
        <w:tc>
          <w:tcPr>
            <w:tcW w:w="352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VICEFISCALIA ESPECIALIZADA EN COMBATE A LA CORRUPCION DE LA FGE</w:t>
            </w:r>
          </w:p>
        </w:tc>
        <w:tc>
          <w:tcPr>
            <w:tcW w:w="198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2,550.00</w:t>
            </w:r>
          </w:p>
        </w:tc>
      </w:tr>
      <w:tr w:rsidR="004C4A5C" w:rsidRPr="00EB63BB" w:rsidTr="004C4A5C">
        <w:trPr>
          <w:divId w:val="35980657"/>
          <w:trHeight w:val="330"/>
        </w:trPr>
        <w:tc>
          <w:tcPr>
            <w:tcW w:w="352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1980" w:type="dxa"/>
            <w:tcBorders>
              <w:top w:val="single" w:sz="12" w:space="0" w:color="000000"/>
              <w:left w:val="nil"/>
              <w:bottom w:val="single" w:sz="12" w:space="0" w:color="000000"/>
              <w:right w:val="nil"/>
            </w:tcBorders>
            <w:shd w:val="clear" w:color="auto" w:fill="auto"/>
            <w:vAlign w:val="center"/>
            <w:hideMark/>
          </w:tcPr>
          <w:p w:rsidR="004C4A5C" w:rsidRPr="00EB63BB" w:rsidRDefault="004C4A5C" w:rsidP="004C4A5C">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61,719,472.97</w:t>
            </w:r>
          </w:p>
        </w:tc>
      </w:tr>
      <w:tr w:rsidR="004C4A5C" w:rsidRPr="00EB63BB" w:rsidTr="004C4A5C">
        <w:trPr>
          <w:divId w:val="35980657"/>
          <w:trHeight w:val="315"/>
        </w:trPr>
        <w:tc>
          <w:tcPr>
            <w:tcW w:w="3520" w:type="dxa"/>
            <w:tcBorders>
              <w:top w:val="nil"/>
              <w:left w:val="nil"/>
              <w:bottom w:val="nil"/>
              <w:right w:val="nil"/>
            </w:tcBorders>
            <w:shd w:val="clear" w:color="auto" w:fill="auto"/>
            <w:noWrap/>
            <w:vAlign w:val="center"/>
            <w:hideMark/>
          </w:tcPr>
          <w:p w:rsidR="004C4A5C" w:rsidRPr="00EB63BB" w:rsidRDefault="004C4A5C" w:rsidP="004C4A5C">
            <w:pPr>
              <w:spacing w:after="0" w:line="240" w:lineRule="auto"/>
              <w:jc w:val="right"/>
              <w:rPr>
                <w:rFonts w:ascii="Lato" w:eastAsia="Times New Roman" w:hAnsi="Lato" w:cs="Calibri"/>
                <w:b/>
                <w:bCs/>
                <w:color w:val="000000"/>
                <w:sz w:val="20"/>
                <w:szCs w:val="20"/>
              </w:rPr>
            </w:pPr>
          </w:p>
        </w:tc>
        <w:tc>
          <w:tcPr>
            <w:tcW w:w="1980" w:type="dxa"/>
            <w:tcBorders>
              <w:top w:val="nil"/>
              <w:left w:val="nil"/>
              <w:bottom w:val="nil"/>
              <w:right w:val="nil"/>
            </w:tcBorders>
            <w:shd w:val="clear" w:color="auto" w:fill="auto"/>
            <w:noWrap/>
            <w:vAlign w:val="bottom"/>
            <w:hideMark/>
          </w:tcPr>
          <w:p w:rsidR="004C4A5C" w:rsidRPr="00EB63BB" w:rsidRDefault="004C4A5C" w:rsidP="004C4A5C">
            <w:pPr>
              <w:spacing w:after="0" w:line="240" w:lineRule="auto"/>
              <w:rPr>
                <w:rFonts w:ascii="Lato" w:eastAsia="Times New Roman" w:hAnsi="Lato" w:cs="Times New Roman"/>
                <w:sz w:val="20"/>
                <w:szCs w:val="20"/>
              </w:rPr>
            </w:pPr>
          </w:p>
        </w:tc>
      </w:tr>
      <w:tr w:rsidR="004C4A5C" w:rsidRPr="00EB63BB" w:rsidTr="004C4A5C">
        <w:trPr>
          <w:divId w:val="35980657"/>
          <w:trHeight w:val="300"/>
        </w:trPr>
        <w:tc>
          <w:tcPr>
            <w:tcW w:w="352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OTROS PASIVOS A CORTO PLAZO</w:t>
            </w:r>
          </w:p>
        </w:tc>
        <w:tc>
          <w:tcPr>
            <w:tcW w:w="198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rPr>
                <w:rFonts w:ascii="Lato" w:eastAsia="Times New Roman" w:hAnsi="Lato" w:cs="Calibri"/>
                <w:b/>
                <w:bCs/>
                <w:color w:val="000000"/>
                <w:sz w:val="20"/>
                <w:szCs w:val="20"/>
              </w:rPr>
            </w:pPr>
          </w:p>
        </w:tc>
      </w:tr>
      <w:tr w:rsidR="004C4A5C" w:rsidRPr="00EB63BB" w:rsidTr="004C4A5C">
        <w:trPr>
          <w:divId w:val="35980657"/>
          <w:trHeight w:val="300"/>
        </w:trPr>
        <w:tc>
          <w:tcPr>
            <w:tcW w:w="352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INGRESOS POR CLASIFICAR</w:t>
            </w:r>
          </w:p>
        </w:tc>
        <w:tc>
          <w:tcPr>
            <w:tcW w:w="198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8,994,394.72</w:t>
            </w:r>
          </w:p>
        </w:tc>
      </w:tr>
      <w:tr w:rsidR="004C4A5C" w:rsidRPr="00EB63BB" w:rsidTr="004C4A5C">
        <w:trPr>
          <w:divId w:val="35980657"/>
          <w:trHeight w:val="315"/>
        </w:trPr>
        <w:tc>
          <w:tcPr>
            <w:tcW w:w="352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RECAUDACIÓN POR PARTICIPAR</w:t>
            </w:r>
          </w:p>
        </w:tc>
        <w:tc>
          <w:tcPr>
            <w:tcW w:w="198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10.00</w:t>
            </w:r>
          </w:p>
        </w:tc>
      </w:tr>
      <w:tr w:rsidR="004C4A5C" w:rsidRPr="00EB63BB" w:rsidTr="004C4A5C">
        <w:trPr>
          <w:divId w:val="35980657"/>
          <w:trHeight w:val="330"/>
        </w:trPr>
        <w:tc>
          <w:tcPr>
            <w:tcW w:w="3520" w:type="dxa"/>
            <w:tcBorders>
              <w:top w:val="nil"/>
              <w:left w:val="nil"/>
              <w:bottom w:val="nil"/>
              <w:right w:val="nil"/>
            </w:tcBorders>
            <w:shd w:val="clear" w:color="auto" w:fill="auto"/>
            <w:vAlign w:val="center"/>
            <w:hideMark/>
          </w:tcPr>
          <w:p w:rsidR="004C4A5C" w:rsidRPr="00EB63BB" w:rsidRDefault="004C4A5C" w:rsidP="004C4A5C">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1980" w:type="dxa"/>
            <w:tcBorders>
              <w:top w:val="single" w:sz="12" w:space="0" w:color="000000"/>
              <w:left w:val="nil"/>
              <w:bottom w:val="single" w:sz="12" w:space="0" w:color="000000"/>
              <w:right w:val="nil"/>
            </w:tcBorders>
            <w:shd w:val="clear" w:color="auto" w:fill="auto"/>
            <w:vAlign w:val="center"/>
            <w:hideMark/>
          </w:tcPr>
          <w:p w:rsidR="004C4A5C" w:rsidRPr="00EB63BB" w:rsidRDefault="004C4A5C" w:rsidP="004C4A5C">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8,994,404.72</w:t>
            </w:r>
          </w:p>
        </w:tc>
      </w:tr>
    </w:tbl>
    <w:p w:rsidR="004C4A5C" w:rsidRPr="00EB63BB" w:rsidRDefault="004C4A5C">
      <w:pPr>
        <w:jc w:val="both"/>
        <w:divId w:val="35980657"/>
        <w:rPr>
          <w:rFonts w:ascii="Lato" w:eastAsia="Times New Roman" w:hAnsi="Lato"/>
          <w:sz w:val="20"/>
          <w:szCs w:val="20"/>
        </w:rPr>
      </w:pPr>
    </w:p>
    <w:p w:rsidR="00B027B5" w:rsidRPr="00EB63BB" w:rsidRDefault="00642EB6">
      <w:pPr>
        <w:divId w:val="2058628070"/>
        <w:rPr>
          <w:rFonts w:ascii="Lato" w:eastAsia="Times New Roman" w:hAnsi="Lato"/>
          <w:sz w:val="20"/>
          <w:szCs w:val="20"/>
        </w:rPr>
      </w:pPr>
      <w:r w:rsidRPr="00EB63BB">
        <w:rPr>
          <w:rFonts w:ascii="Lato" w:eastAsia="Times New Roman" w:hAnsi="Lato"/>
          <w:sz w:val="20"/>
          <w:szCs w:val="20"/>
        </w:rPr>
        <w:t>3.- El Poder Ejecutivo no tiene registro de pasivos diferidos de corto o largo plazo.</w:t>
      </w:r>
    </w:p>
    <w:p w:rsidR="00CA46BB" w:rsidRPr="00EB63BB" w:rsidRDefault="00CA46BB">
      <w:pPr>
        <w:divId w:val="1004167065"/>
        <w:rPr>
          <w:rFonts w:ascii="Lato" w:eastAsia="Times New Roman" w:hAnsi="Lato"/>
          <w:sz w:val="20"/>
          <w:szCs w:val="20"/>
        </w:rPr>
      </w:pPr>
    </w:p>
    <w:p w:rsidR="00E937AC" w:rsidRPr="00EB63BB" w:rsidRDefault="00E937AC">
      <w:pPr>
        <w:divId w:val="1004167065"/>
        <w:rPr>
          <w:rFonts w:ascii="Lato" w:eastAsia="Times New Roman" w:hAnsi="Lato"/>
          <w:sz w:val="20"/>
          <w:szCs w:val="20"/>
        </w:rPr>
      </w:pPr>
    </w:p>
    <w:p w:rsidR="00B027B5" w:rsidRPr="00EB63BB" w:rsidRDefault="00642EB6">
      <w:pPr>
        <w:divId w:val="466581904"/>
        <w:rPr>
          <w:rFonts w:ascii="Lato" w:eastAsia="Times New Roman" w:hAnsi="Lato"/>
          <w:sz w:val="20"/>
          <w:szCs w:val="20"/>
        </w:rPr>
      </w:pPr>
      <w:r w:rsidRPr="00EB63BB">
        <w:rPr>
          <w:rStyle w:val="Textoennegrita"/>
          <w:rFonts w:ascii="Lato" w:eastAsia="Times New Roman" w:hAnsi="Lato"/>
          <w:sz w:val="20"/>
          <w:szCs w:val="20"/>
        </w:rPr>
        <w:lastRenderedPageBreak/>
        <w:t>III) NOTAS AL ESTADO DE VARIACIONES EN LA HACIENDA PÚBLICA.</w:t>
      </w:r>
    </w:p>
    <w:p w:rsidR="00B027B5" w:rsidRPr="00EB63BB" w:rsidRDefault="00642EB6">
      <w:pPr>
        <w:divId w:val="965433991"/>
        <w:rPr>
          <w:rFonts w:ascii="Lato" w:eastAsia="Times New Roman" w:hAnsi="Lato"/>
          <w:sz w:val="20"/>
          <w:szCs w:val="20"/>
        </w:rPr>
      </w:pPr>
      <w:r w:rsidRPr="00EB63BB">
        <w:rPr>
          <w:rFonts w:ascii="Lato" w:eastAsia="Times New Roman" w:hAnsi="Lato"/>
          <w:sz w:val="20"/>
          <w:szCs w:val="20"/>
        </w:rPr>
        <w:t>1.- En la cuenta de patrimonio contribuido presenta las siguientes variaciones:</w:t>
      </w:r>
    </w:p>
    <w:tbl>
      <w:tblPr>
        <w:tblW w:w="10940" w:type="dxa"/>
        <w:tblCellMar>
          <w:left w:w="70" w:type="dxa"/>
          <w:right w:w="70" w:type="dxa"/>
        </w:tblCellMar>
        <w:tblLook w:val="04A0" w:firstRow="1" w:lastRow="0" w:firstColumn="1" w:lastColumn="0" w:noHBand="0" w:noVBand="1"/>
      </w:tblPr>
      <w:tblGrid>
        <w:gridCol w:w="4880"/>
        <w:gridCol w:w="2020"/>
        <w:gridCol w:w="2020"/>
        <w:gridCol w:w="2020"/>
      </w:tblGrid>
      <w:tr w:rsidR="00B4533A" w:rsidRPr="00EB63BB" w:rsidTr="00B4533A">
        <w:trPr>
          <w:divId w:val="844902777"/>
          <w:trHeight w:val="300"/>
        </w:trPr>
        <w:tc>
          <w:tcPr>
            <w:tcW w:w="488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HACIENDA PUBLICA/PATRIMONIO CONTRIBUIDO</w:t>
            </w: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SALDO INICIAL</w:t>
            </w: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VARIACIONES</w:t>
            </w: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SALDO FINAL</w:t>
            </w:r>
          </w:p>
        </w:tc>
      </w:tr>
      <w:tr w:rsidR="00B4533A" w:rsidRPr="00EB63BB" w:rsidTr="00B4533A">
        <w:trPr>
          <w:divId w:val="844902777"/>
          <w:trHeight w:val="300"/>
        </w:trPr>
        <w:tc>
          <w:tcPr>
            <w:tcW w:w="488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APORTACIONES</w:t>
            </w: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rPr>
                <w:rFonts w:ascii="Lato" w:eastAsia="Times New Roman" w:hAnsi="Lato" w:cs="Calibri"/>
                <w:b/>
                <w:bCs/>
                <w:color w:val="000000"/>
                <w:sz w:val="20"/>
                <w:szCs w:val="20"/>
              </w:rPr>
            </w:pP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Times New Roman"/>
                <w:sz w:val="20"/>
                <w:szCs w:val="20"/>
              </w:rPr>
            </w:pP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Times New Roman"/>
                <w:sz w:val="20"/>
                <w:szCs w:val="20"/>
              </w:rPr>
            </w:pPr>
          </w:p>
        </w:tc>
      </w:tr>
      <w:tr w:rsidR="00B4533A" w:rsidRPr="00EB63BB" w:rsidTr="00B4533A">
        <w:trPr>
          <w:divId w:val="844902777"/>
          <w:trHeight w:val="300"/>
        </w:trPr>
        <w:tc>
          <w:tcPr>
            <w:tcW w:w="488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PATRIMONIO NO RESTRINGIDO</w:t>
            </w: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790,828,509.67</w:t>
            </w: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790,828,509.67</w:t>
            </w:r>
          </w:p>
        </w:tc>
      </w:tr>
      <w:tr w:rsidR="00B4533A" w:rsidRPr="00EB63BB" w:rsidTr="00B4533A">
        <w:trPr>
          <w:divId w:val="844902777"/>
          <w:trHeight w:val="300"/>
        </w:trPr>
        <w:tc>
          <w:tcPr>
            <w:tcW w:w="488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DONACIONES DE CAPITAL</w:t>
            </w: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rPr>
                <w:rFonts w:ascii="Lato" w:eastAsia="Times New Roman" w:hAnsi="Lato" w:cs="Calibri"/>
                <w:b/>
                <w:bCs/>
                <w:color w:val="000000"/>
                <w:sz w:val="20"/>
                <w:szCs w:val="20"/>
              </w:rPr>
            </w:pP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Times New Roman"/>
                <w:sz w:val="20"/>
                <w:szCs w:val="20"/>
              </w:rPr>
            </w:pP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Times New Roman"/>
                <w:sz w:val="20"/>
                <w:szCs w:val="20"/>
              </w:rPr>
            </w:pPr>
          </w:p>
        </w:tc>
      </w:tr>
      <w:tr w:rsidR="00B4533A" w:rsidRPr="00EB63BB" w:rsidTr="00B4533A">
        <w:trPr>
          <w:divId w:val="844902777"/>
          <w:trHeight w:val="300"/>
        </w:trPr>
        <w:tc>
          <w:tcPr>
            <w:tcW w:w="488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PATRIMONIO DONADO</w:t>
            </w: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346,628,098.89</w:t>
            </w: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134,954,463.40</w:t>
            </w: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481,582,562.29</w:t>
            </w:r>
          </w:p>
        </w:tc>
      </w:tr>
      <w:tr w:rsidR="00B4533A" w:rsidRPr="00EB63BB" w:rsidTr="00B4533A">
        <w:trPr>
          <w:divId w:val="844902777"/>
          <w:trHeight w:val="315"/>
        </w:trPr>
        <w:tc>
          <w:tcPr>
            <w:tcW w:w="488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ACTUALIZACIÓN DE LA HACIENDA PÚBLICA/PATRIMONIO</w:t>
            </w: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3,312,636,725.85</w:t>
            </w: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c>
          <w:tcPr>
            <w:tcW w:w="202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3,312,636,725.85</w:t>
            </w:r>
          </w:p>
        </w:tc>
      </w:tr>
      <w:tr w:rsidR="00B4533A" w:rsidRPr="00EB63BB" w:rsidTr="00B4533A">
        <w:trPr>
          <w:divId w:val="844902777"/>
          <w:trHeight w:val="330"/>
        </w:trPr>
        <w:tc>
          <w:tcPr>
            <w:tcW w:w="4880" w:type="dxa"/>
            <w:tcBorders>
              <w:top w:val="nil"/>
              <w:left w:val="nil"/>
              <w:bottom w:val="nil"/>
              <w:right w:val="nil"/>
            </w:tcBorders>
            <w:shd w:val="clear" w:color="auto" w:fill="auto"/>
            <w:vAlign w:val="center"/>
            <w:hideMark/>
          </w:tcPr>
          <w:p w:rsidR="00B4533A" w:rsidRPr="00EB63BB" w:rsidRDefault="00B4533A" w:rsidP="00B4533A">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2020" w:type="dxa"/>
            <w:tcBorders>
              <w:top w:val="single" w:sz="12" w:space="0" w:color="000000"/>
              <w:left w:val="nil"/>
              <w:bottom w:val="single" w:sz="12" w:space="0" w:color="000000"/>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4,450,093,334.41</w:t>
            </w:r>
          </w:p>
        </w:tc>
        <w:tc>
          <w:tcPr>
            <w:tcW w:w="2020" w:type="dxa"/>
            <w:tcBorders>
              <w:top w:val="single" w:sz="12" w:space="0" w:color="000000"/>
              <w:left w:val="nil"/>
              <w:bottom w:val="single" w:sz="12" w:space="0" w:color="000000"/>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134,954,463.40</w:t>
            </w:r>
          </w:p>
        </w:tc>
        <w:tc>
          <w:tcPr>
            <w:tcW w:w="2020" w:type="dxa"/>
            <w:tcBorders>
              <w:top w:val="single" w:sz="12" w:space="0" w:color="000000"/>
              <w:left w:val="nil"/>
              <w:bottom w:val="single" w:sz="12" w:space="0" w:color="000000"/>
              <w:right w:val="nil"/>
            </w:tcBorders>
            <w:shd w:val="clear" w:color="auto" w:fill="auto"/>
            <w:vAlign w:val="center"/>
            <w:hideMark/>
          </w:tcPr>
          <w:p w:rsidR="00B4533A" w:rsidRPr="00EB63BB" w:rsidRDefault="00B4533A" w:rsidP="00B4533A">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4,585,047,797.81</w:t>
            </w:r>
          </w:p>
        </w:tc>
      </w:tr>
    </w:tbl>
    <w:p w:rsidR="00B027B5" w:rsidRPr="00EB63BB" w:rsidRDefault="00B027B5">
      <w:pPr>
        <w:divId w:val="844902777"/>
        <w:rPr>
          <w:rFonts w:ascii="Lato" w:eastAsia="Times New Roman" w:hAnsi="Lato"/>
          <w:sz w:val="20"/>
          <w:szCs w:val="20"/>
        </w:rPr>
      </w:pP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2.- En la cuenta de patrimonio generado se acumula el resultado de ejercicios anteriores y se integran de la siguiente forma:</w:t>
      </w:r>
    </w:p>
    <w:tbl>
      <w:tblPr>
        <w:tblW w:w="10940" w:type="dxa"/>
        <w:tblCellMar>
          <w:left w:w="70" w:type="dxa"/>
          <w:right w:w="70" w:type="dxa"/>
        </w:tblCellMar>
        <w:tblLook w:val="04A0" w:firstRow="1" w:lastRow="0" w:firstColumn="1" w:lastColumn="0" w:noHBand="0" w:noVBand="1"/>
      </w:tblPr>
      <w:tblGrid>
        <w:gridCol w:w="4880"/>
        <w:gridCol w:w="2020"/>
        <w:gridCol w:w="2020"/>
        <w:gridCol w:w="2020"/>
      </w:tblGrid>
      <w:tr w:rsidR="0076385E" w:rsidRPr="00EB63BB" w:rsidTr="0076385E">
        <w:trPr>
          <w:divId w:val="35980657"/>
          <w:trHeight w:val="300"/>
        </w:trPr>
        <w:tc>
          <w:tcPr>
            <w:tcW w:w="4880" w:type="dxa"/>
            <w:tcBorders>
              <w:top w:val="nil"/>
              <w:left w:val="nil"/>
              <w:bottom w:val="nil"/>
              <w:right w:val="nil"/>
            </w:tcBorders>
            <w:shd w:val="clear" w:color="auto" w:fill="auto"/>
            <w:noWrap/>
            <w:vAlign w:val="center"/>
            <w:hideMark/>
          </w:tcPr>
          <w:p w:rsidR="0076385E" w:rsidRPr="00EB63BB" w:rsidRDefault="0076385E" w:rsidP="0076385E">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HACIENDA PUBLICA/PATRIMONIO GENERADO</w:t>
            </w:r>
          </w:p>
        </w:tc>
        <w:tc>
          <w:tcPr>
            <w:tcW w:w="202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SALDO INICIAL</w:t>
            </w:r>
          </w:p>
        </w:tc>
        <w:tc>
          <w:tcPr>
            <w:tcW w:w="202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VARIACIONES</w:t>
            </w:r>
          </w:p>
        </w:tc>
        <w:tc>
          <w:tcPr>
            <w:tcW w:w="202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SALDO FINAL</w:t>
            </w:r>
          </w:p>
        </w:tc>
      </w:tr>
      <w:tr w:rsidR="0076385E" w:rsidRPr="00EB63BB" w:rsidTr="0076385E">
        <w:trPr>
          <w:divId w:val="35980657"/>
          <w:trHeight w:val="300"/>
        </w:trPr>
        <w:tc>
          <w:tcPr>
            <w:tcW w:w="488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RESULTADOS DE EJERCICIOS ANTERIORES</w:t>
            </w:r>
          </w:p>
        </w:tc>
        <w:tc>
          <w:tcPr>
            <w:tcW w:w="202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-342,620,671.52</w:t>
            </w:r>
          </w:p>
        </w:tc>
        <w:tc>
          <w:tcPr>
            <w:tcW w:w="202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-1,310,776,024.28</w:t>
            </w:r>
          </w:p>
        </w:tc>
        <w:tc>
          <w:tcPr>
            <w:tcW w:w="202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-1,653,396,695.80</w:t>
            </w:r>
          </w:p>
        </w:tc>
      </w:tr>
      <w:tr w:rsidR="0076385E" w:rsidRPr="00EB63BB" w:rsidTr="0076385E">
        <w:trPr>
          <w:divId w:val="35980657"/>
          <w:trHeight w:val="300"/>
        </w:trPr>
        <w:tc>
          <w:tcPr>
            <w:tcW w:w="488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REVALÚOS</w:t>
            </w:r>
          </w:p>
        </w:tc>
        <w:tc>
          <w:tcPr>
            <w:tcW w:w="202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2,895,758,532.75</w:t>
            </w:r>
          </w:p>
        </w:tc>
        <w:tc>
          <w:tcPr>
            <w:tcW w:w="202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c>
          <w:tcPr>
            <w:tcW w:w="202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2,895,758,532.75</w:t>
            </w:r>
          </w:p>
        </w:tc>
      </w:tr>
      <w:tr w:rsidR="0076385E" w:rsidRPr="00EB63BB" w:rsidTr="0076385E">
        <w:trPr>
          <w:divId w:val="35980657"/>
          <w:trHeight w:val="495"/>
        </w:trPr>
        <w:tc>
          <w:tcPr>
            <w:tcW w:w="488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RECTIFICACIONES DE RESULTADOS DE EJERCICIOS ANTERIORES</w:t>
            </w:r>
          </w:p>
        </w:tc>
        <w:tc>
          <w:tcPr>
            <w:tcW w:w="202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-5,110,142,786.00</w:t>
            </w:r>
          </w:p>
        </w:tc>
        <w:tc>
          <w:tcPr>
            <w:tcW w:w="202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-4,435,588.36</w:t>
            </w:r>
          </w:p>
        </w:tc>
        <w:tc>
          <w:tcPr>
            <w:tcW w:w="202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-5,114,578,374.36</w:t>
            </w:r>
          </w:p>
        </w:tc>
      </w:tr>
      <w:tr w:rsidR="0076385E" w:rsidRPr="00EB63BB" w:rsidTr="0076385E">
        <w:trPr>
          <w:divId w:val="35980657"/>
          <w:trHeight w:val="330"/>
        </w:trPr>
        <w:tc>
          <w:tcPr>
            <w:tcW w:w="4880" w:type="dxa"/>
            <w:tcBorders>
              <w:top w:val="nil"/>
              <w:left w:val="nil"/>
              <w:bottom w:val="nil"/>
              <w:right w:val="nil"/>
            </w:tcBorders>
            <w:shd w:val="clear" w:color="auto" w:fill="auto"/>
            <w:vAlign w:val="center"/>
            <w:hideMark/>
          </w:tcPr>
          <w:p w:rsidR="0076385E" w:rsidRPr="00EB63BB" w:rsidRDefault="0076385E" w:rsidP="0076385E">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2020" w:type="dxa"/>
            <w:tcBorders>
              <w:top w:val="single" w:sz="12" w:space="0" w:color="000000"/>
              <w:left w:val="nil"/>
              <w:bottom w:val="single" w:sz="12" w:space="0" w:color="000000"/>
              <w:right w:val="nil"/>
            </w:tcBorders>
            <w:shd w:val="clear" w:color="auto" w:fill="auto"/>
            <w:vAlign w:val="center"/>
            <w:hideMark/>
          </w:tcPr>
          <w:p w:rsidR="0076385E" w:rsidRPr="00EB63BB" w:rsidRDefault="0076385E" w:rsidP="0076385E">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-2,557,004,924.77</w:t>
            </w:r>
          </w:p>
        </w:tc>
        <w:tc>
          <w:tcPr>
            <w:tcW w:w="2020" w:type="dxa"/>
            <w:tcBorders>
              <w:top w:val="single" w:sz="12" w:space="0" w:color="000000"/>
              <w:left w:val="nil"/>
              <w:bottom w:val="single" w:sz="12" w:space="0" w:color="000000"/>
              <w:right w:val="nil"/>
            </w:tcBorders>
            <w:shd w:val="clear" w:color="auto" w:fill="auto"/>
            <w:vAlign w:val="center"/>
            <w:hideMark/>
          </w:tcPr>
          <w:p w:rsidR="0076385E" w:rsidRPr="00EB63BB" w:rsidRDefault="0076385E" w:rsidP="0076385E">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-1,315,211,612.64</w:t>
            </w:r>
          </w:p>
        </w:tc>
        <w:tc>
          <w:tcPr>
            <w:tcW w:w="2020" w:type="dxa"/>
            <w:tcBorders>
              <w:top w:val="single" w:sz="12" w:space="0" w:color="000000"/>
              <w:left w:val="nil"/>
              <w:bottom w:val="single" w:sz="12" w:space="0" w:color="000000"/>
              <w:right w:val="nil"/>
            </w:tcBorders>
            <w:shd w:val="clear" w:color="auto" w:fill="auto"/>
            <w:vAlign w:val="center"/>
            <w:hideMark/>
          </w:tcPr>
          <w:p w:rsidR="0076385E" w:rsidRPr="00EB63BB" w:rsidRDefault="0076385E" w:rsidP="0076385E">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-3,872,216,537.41</w:t>
            </w:r>
          </w:p>
        </w:tc>
      </w:tr>
    </w:tbl>
    <w:p w:rsidR="0076385E" w:rsidRPr="00EB63BB" w:rsidRDefault="0076385E">
      <w:pPr>
        <w:jc w:val="both"/>
        <w:divId w:val="35980657"/>
        <w:rPr>
          <w:rFonts w:ascii="Lato" w:eastAsia="Times New Roman" w:hAnsi="Lato"/>
          <w:sz w:val="20"/>
          <w:szCs w:val="20"/>
        </w:rPr>
      </w:pPr>
    </w:p>
    <w:p w:rsidR="00B027B5" w:rsidRDefault="00642EB6">
      <w:pPr>
        <w:divId w:val="101583162"/>
        <w:rPr>
          <w:rFonts w:ascii="Lato" w:eastAsia="Times New Roman" w:hAnsi="Lato"/>
          <w:sz w:val="20"/>
          <w:szCs w:val="20"/>
        </w:rPr>
      </w:pPr>
      <w:r w:rsidRPr="00EB63BB">
        <w:rPr>
          <w:rFonts w:ascii="Lato" w:eastAsia="Times New Roman" w:hAnsi="Lato"/>
          <w:sz w:val="20"/>
          <w:szCs w:val="20"/>
        </w:rPr>
        <w:t>Dentro de la cuenta de Hacienda pública/patrimonio generado se acumulan los resultados de ejercicios anteriores y se integran de la siguiente forma:</w:t>
      </w:r>
    </w:p>
    <w:p w:rsidR="00EB63BB" w:rsidRPr="00EB63BB" w:rsidRDefault="00EB63BB">
      <w:pPr>
        <w:divId w:val="101583162"/>
        <w:rPr>
          <w:rFonts w:ascii="Lato" w:eastAsia="Times New Roman" w:hAnsi="Lato"/>
          <w:sz w:val="20"/>
          <w:szCs w:val="20"/>
        </w:rPr>
      </w:pPr>
    </w:p>
    <w:tbl>
      <w:tblPr>
        <w:tblW w:w="6900" w:type="dxa"/>
        <w:tblCellMar>
          <w:left w:w="70" w:type="dxa"/>
          <w:right w:w="70" w:type="dxa"/>
        </w:tblCellMar>
        <w:tblLook w:val="04A0" w:firstRow="1" w:lastRow="0" w:firstColumn="1" w:lastColumn="0" w:noHBand="0" w:noVBand="1"/>
      </w:tblPr>
      <w:tblGrid>
        <w:gridCol w:w="4880"/>
        <w:gridCol w:w="2020"/>
      </w:tblGrid>
      <w:tr w:rsidR="009A644F" w:rsidRPr="00EB63BB" w:rsidTr="009A644F">
        <w:trPr>
          <w:divId w:val="101583162"/>
          <w:trHeight w:val="300"/>
        </w:trPr>
        <w:tc>
          <w:tcPr>
            <w:tcW w:w="488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RESULTADOS DE EJERCICIOS ANTERIORES</w:t>
            </w:r>
          </w:p>
        </w:tc>
        <w:tc>
          <w:tcPr>
            <w:tcW w:w="202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rPr>
                <w:rFonts w:ascii="Lato" w:eastAsia="Times New Roman" w:hAnsi="Lato" w:cs="Calibri"/>
                <w:b/>
                <w:bCs/>
                <w:color w:val="000000"/>
                <w:sz w:val="20"/>
                <w:szCs w:val="20"/>
              </w:rPr>
            </w:pPr>
          </w:p>
        </w:tc>
      </w:tr>
      <w:tr w:rsidR="009A644F" w:rsidRPr="00EB63BB" w:rsidTr="009A644F">
        <w:trPr>
          <w:divId w:val="101583162"/>
          <w:trHeight w:val="300"/>
        </w:trPr>
        <w:tc>
          <w:tcPr>
            <w:tcW w:w="488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RESULTADO DEL EJERCICIO 2000 Y ANTERIORES</w:t>
            </w:r>
          </w:p>
        </w:tc>
        <w:tc>
          <w:tcPr>
            <w:tcW w:w="202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-231,164,966.76</w:t>
            </w:r>
          </w:p>
        </w:tc>
      </w:tr>
      <w:tr w:rsidR="009A644F" w:rsidRPr="00EB63BB" w:rsidTr="009A644F">
        <w:trPr>
          <w:divId w:val="101583162"/>
          <w:trHeight w:val="300"/>
        </w:trPr>
        <w:tc>
          <w:tcPr>
            <w:tcW w:w="488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RESULTADO DEL EJERCICIO ADMON 2001-2007</w:t>
            </w:r>
          </w:p>
        </w:tc>
        <w:tc>
          <w:tcPr>
            <w:tcW w:w="202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614,663,307.26</w:t>
            </w:r>
          </w:p>
        </w:tc>
      </w:tr>
      <w:tr w:rsidR="009A644F" w:rsidRPr="00EB63BB" w:rsidTr="009A644F">
        <w:trPr>
          <w:divId w:val="101583162"/>
          <w:trHeight w:val="300"/>
        </w:trPr>
        <w:tc>
          <w:tcPr>
            <w:tcW w:w="488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RESULTADO DEL EJERCICIO ADMON. 2007-2012</w:t>
            </w:r>
          </w:p>
        </w:tc>
        <w:tc>
          <w:tcPr>
            <w:tcW w:w="202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-1,808,717,174.47</w:t>
            </w:r>
          </w:p>
        </w:tc>
      </w:tr>
      <w:tr w:rsidR="009A644F" w:rsidRPr="00EB63BB" w:rsidTr="009A644F">
        <w:trPr>
          <w:divId w:val="101583162"/>
          <w:trHeight w:val="300"/>
        </w:trPr>
        <w:tc>
          <w:tcPr>
            <w:tcW w:w="488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RESULTADO DEL EJERCICIO ADMON. 2012-2018</w:t>
            </w:r>
          </w:p>
        </w:tc>
        <w:tc>
          <w:tcPr>
            <w:tcW w:w="202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3,283,904,066.24</w:t>
            </w:r>
          </w:p>
        </w:tc>
      </w:tr>
      <w:tr w:rsidR="009A644F" w:rsidRPr="00EB63BB" w:rsidTr="009A644F">
        <w:trPr>
          <w:divId w:val="101583162"/>
          <w:trHeight w:val="300"/>
        </w:trPr>
        <w:tc>
          <w:tcPr>
            <w:tcW w:w="488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lastRenderedPageBreak/>
              <w:t>RESULTADO DEL EJERCICIO ADMON. 2018-2024</w:t>
            </w:r>
          </w:p>
        </w:tc>
        <w:tc>
          <w:tcPr>
            <w:tcW w:w="202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-2,201,305,903.79</w:t>
            </w:r>
          </w:p>
        </w:tc>
      </w:tr>
      <w:tr w:rsidR="009A644F" w:rsidRPr="00EB63BB" w:rsidTr="009A644F">
        <w:trPr>
          <w:divId w:val="101583162"/>
          <w:trHeight w:val="315"/>
        </w:trPr>
        <w:tc>
          <w:tcPr>
            <w:tcW w:w="488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RESULTADO DEL EJERCICIO ADMON. 2024-2030</w:t>
            </w:r>
          </w:p>
        </w:tc>
        <w:tc>
          <w:tcPr>
            <w:tcW w:w="202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-1,310,776,024.28</w:t>
            </w:r>
          </w:p>
        </w:tc>
      </w:tr>
      <w:tr w:rsidR="009A644F" w:rsidRPr="00EB63BB" w:rsidTr="009A644F">
        <w:trPr>
          <w:divId w:val="101583162"/>
          <w:trHeight w:val="330"/>
        </w:trPr>
        <w:tc>
          <w:tcPr>
            <w:tcW w:w="4880" w:type="dxa"/>
            <w:tcBorders>
              <w:top w:val="nil"/>
              <w:left w:val="nil"/>
              <w:bottom w:val="nil"/>
              <w:right w:val="nil"/>
            </w:tcBorders>
            <w:shd w:val="clear" w:color="auto" w:fill="auto"/>
            <w:vAlign w:val="center"/>
            <w:hideMark/>
          </w:tcPr>
          <w:p w:rsidR="009A644F" w:rsidRPr="00EB63BB" w:rsidRDefault="009A644F" w:rsidP="009A644F">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2020" w:type="dxa"/>
            <w:tcBorders>
              <w:top w:val="single" w:sz="12" w:space="0" w:color="000000"/>
              <w:left w:val="nil"/>
              <w:bottom w:val="single" w:sz="12" w:space="0" w:color="000000"/>
              <w:right w:val="nil"/>
            </w:tcBorders>
            <w:shd w:val="clear" w:color="auto" w:fill="auto"/>
            <w:vAlign w:val="center"/>
            <w:hideMark/>
          </w:tcPr>
          <w:p w:rsidR="009A644F" w:rsidRPr="00EB63BB" w:rsidRDefault="009A644F" w:rsidP="009A644F">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-1,653,396,695.80</w:t>
            </w:r>
          </w:p>
        </w:tc>
      </w:tr>
    </w:tbl>
    <w:p w:rsidR="009A644F" w:rsidRPr="00EB63BB" w:rsidRDefault="009A644F">
      <w:pPr>
        <w:divId w:val="101583162"/>
        <w:rPr>
          <w:rFonts w:ascii="Lato" w:eastAsia="Times New Roman" w:hAnsi="Lato"/>
          <w:sz w:val="20"/>
          <w:szCs w:val="20"/>
        </w:rPr>
      </w:pPr>
    </w:p>
    <w:p w:rsidR="002E18F4" w:rsidRPr="00EB63BB" w:rsidRDefault="002E18F4">
      <w:pPr>
        <w:divId w:val="101583162"/>
        <w:rPr>
          <w:rFonts w:ascii="Lato" w:eastAsia="Times New Roman" w:hAnsi="Lato"/>
          <w:sz w:val="20"/>
          <w:szCs w:val="20"/>
        </w:rPr>
      </w:pPr>
    </w:p>
    <w:p w:rsidR="00B027B5" w:rsidRPr="00EB63BB" w:rsidRDefault="00642EB6">
      <w:pPr>
        <w:divId w:val="1090468263"/>
        <w:rPr>
          <w:rFonts w:ascii="Lato" w:eastAsia="Times New Roman" w:hAnsi="Lato"/>
          <w:sz w:val="20"/>
          <w:szCs w:val="20"/>
        </w:rPr>
      </w:pPr>
      <w:r w:rsidRPr="00EB63BB">
        <w:rPr>
          <w:rStyle w:val="Textoennegrita"/>
          <w:rFonts w:ascii="Lato" w:eastAsia="Times New Roman" w:hAnsi="Lato"/>
          <w:sz w:val="20"/>
          <w:szCs w:val="20"/>
        </w:rPr>
        <w:t>IV) NOTAS AL ESTADO DE FLUJO DE EFECTIVO</w:t>
      </w: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1.- Al Final del Ejercicio del Estado de Flujos de Efectivo, respecto a la composición del rubro de Efectivo y Equivalentes es como sigue:</w:t>
      </w:r>
    </w:p>
    <w:tbl>
      <w:tblPr>
        <w:tblW w:w="11624" w:type="dxa"/>
        <w:tblInd w:w="-10" w:type="dxa"/>
        <w:tblCellMar>
          <w:left w:w="70" w:type="dxa"/>
          <w:right w:w="70" w:type="dxa"/>
        </w:tblCellMar>
        <w:tblLook w:val="04A0" w:firstRow="1" w:lastRow="0" w:firstColumn="1" w:lastColumn="0" w:noHBand="0" w:noVBand="1"/>
      </w:tblPr>
      <w:tblGrid>
        <w:gridCol w:w="7513"/>
        <w:gridCol w:w="2126"/>
        <w:gridCol w:w="1985"/>
      </w:tblGrid>
      <w:tr w:rsidR="00E815C4" w:rsidRPr="00EB63BB" w:rsidTr="00E815C4">
        <w:trPr>
          <w:divId w:val="35980657"/>
          <w:trHeight w:val="315"/>
        </w:trPr>
        <w:tc>
          <w:tcPr>
            <w:tcW w:w="11624" w:type="dxa"/>
            <w:gridSpan w:val="3"/>
            <w:tcBorders>
              <w:top w:val="single" w:sz="8" w:space="0" w:color="000000"/>
              <w:left w:val="single" w:sz="8" w:space="0" w:color="000000"/>
              <w:bottom w:val="single" w:sz="8" w:space="0" w:color="000000"/>
              <w:right w:val="single" w:sz="8" w:space="0" w:color="000000"/>
            </w:tcBorders>
            <w:shd w:val="clear" w:color="000000" w:fill="D9D9D9"/>
            <w:noWrap/>
            <w:vAlign w:val="center"/>
            <w:hideMark/>
          </w:tcPr>
          <w:p w:rsidR="00E815C4" w:rsidRPr="00EB63BB" w:rsidRDefault="00E815C4" w:rsidP="00E815C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Efectivo y Equivalentes</w:t>
            </w:r>
          </w:p>
        </w:tc>
      </w:tr>
      <w:tr w:rsidR="00E815C4" w:rsidRPr="00EB63BB" w:rsidTr="00E815C4">
        <w:trPr>
          <w:divId w:val="35980657"/>
          <w:trHeight w:val="315"/>
        </w:trPr>
        <w:tc>
          <w:tcPr>
            <w:tcW w:w="7513" w:type="dxa"/>
            <w:tcBorders>
              <w:top w:val="nil"/>
              <w:left w:val="single" w:sz="8" w:space="0" w:color="000000"/>
              <w:bottom w:val="single" w:sz="8" w:space="0" w:color="000000"/>
              <w:right w:val="single" w:sz="8" w:space="0" w:color="000000"/>
            </w:tcBorders>
            <w:shd w:val="clear" w:color="000000" w:fill="D9D9D9"/>
            <w:noWrap/>
            <w:vAlign w:val="center"/>
            <w:hideMark/>
          </w:tcPr>
          <w:p w:rsidR="00E815C4" w:rsidRPr="00EB63BB" w:rsidRDefault="00E815C4" w:rsidP="00E815C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Concepto</w:t>
            </w:r>
          </w:p>
        </w:tc>
        <w:tc>
          <w:tcPr>
            <w:tcW w:w="2126" w:type="dxa"/>
            <w:tcBorders>
              <w:top w:val="nil"/>
              <w:left w:val="nil"/>
              <w:bottom w:val="single" w:sz="8" w:space="0" w:color="000000"/>
              <w:right w:val="single" w:sz="8" w:space="0" w:color="000000"/>
            </w:tcBorders>
            <w:shd w:val="clear" w:color="000000" w:fill="D9D9D9"/>
            <w:noWrap/>
            <w:vAlign w:val="center"/>
            <w:hideMark/>
          </w:tcPr>
          <w:p w:rsidR="00E815C4" w:rsidRPr="00EB63BB" w:rsidRDefault="00E815C4" w:rsidP="00E815C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2026</w:t>
            </w:r>
          </w:p>
        </w:tc>
        <w:tc>
          <w:tcPr>
            <w:tcW w:w="1985" w:type="dxa"/>
            <w:tcBorders>
              <w:top w:val="nil"/>
              <w:left w:val="nil"/>
              <w:bottom w:val="single" w:sz="8" w:space="0" w:color="000000"/>
              <w:right w:val="single" w:sz="8" w:space="0" w:color="000000"/>
            </w:tcBorders>
            <w:shd w:val="clear" w:color="000000" w:fill="D9D9D9"/>
            <w:noWrap/>
            <w:vAlign w:val="center"/>
            <w:hideMark/>
          </w:tcPr>
          <w:p w:rsidR="00E815C4" w:rsidRPr="00EB63BB" w:rsidRDefault="00E815C4" w:rsidP="00E815C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2025</w:t>
            </w:r>
          </w:p>
        </w:tc>
      </w:tr>
      <w:tr w:rsidR="00E815C4" w:rsidRPr="00EB63BB" w:rsidTr="00E815C4">
        <w:trPr>
          <w:divId w:val="35980657"/>
          <w:trHeight w:val="315"/>
        </w:trPr>
        <w:tc>
          <w:tcPr>
            <w:tcW w:w="7513" w:type="dxa"/>
            <w:tcBorders>
              <w:top w:val="nil"/>
              <w:left w:val="single" w:sz="8" w:space="0" w:color="000000"/>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Efectivo</w:t>
            </w:r>
          </w:p>
        </w:tc>
        <w:tc>
          <w:tcPr>
            <w:tcW w:w="2126" w:type="dxa"/>
            <w:tcBorders>
              <w:top w:val="nil"/>
              <w:left w:val="nil"/>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$211,598,180.66</w:t>
            </w:r>
          </w:p>
        </w:tc>
        <w:tc>
          <w:tcPr>
            <w:tcW w:w="1985" w:type="dxa"/>
            <w:tcBorders>
              <w:top w:val="nil"/>
              <w:left w:val="nil"/>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$19,174,695.26</w:t>
            </w:r>
          </w:p>
        </w:tc>
      </w:tr>
      <w:tr w:rsidR="00E815C4" w:rsidRPr="00EB63BB" w:rsidTr="00E815C4">
        <w:trPr>
          <w:divId w:val="35980657"/>
          <w:trHeight w:val="315"/>
        </w:trPr>
        <w:tc>
          <w:tcPr>
            <w:tcW w:w="7513" w:type="dxa"/>
            <w:tcBorders>
              <w:top w:val="nil"/>
              <w:left w:val="single" w:sz="8" w:space="0" w:color="000000"/>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Bancos/Tesorería</w:t>
            </w:r>
          </w:p>
        </w:tc>
        <w:tc>
          <w:tcPr>
            <w:tcW w:w="2126" w:type="dxa"/>
            <w:tcBorders>
              <w:top w:val="nil"/>
              <w:left w:val="nil"/>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$2,015,619,035.58</w:t>
            </w:r>
          </w:p>
        </w:tc>
        <w:tc>
          <w:tcPr>
            <w:tcW w:w="1985" w:type="dxa"/>
            <w:tcBorders>
              <w:top w:val="nil"/>
              <w:left w:val="nil"/>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$843,270,928.13</w:t>
            </w:r>
          </w:p>
        </w:tc>
      </w:tr>
      <w:tr w:rsidR="00E815C4" w:rsidRPr="00EB63BB" w:rsidTr="00E815C4">
        <w:trPr>
          <w:divId w:val="35980657"/>
          <w:trHeight w:val="315"/>
        </w:trPr>
        <w:tc>
          <w:tcPr>
            <w:tcW w:w="7513" w:type="dxa"/>
            <w:tcBorders>
              <w:top w:val="nil"/>
              <w:left w:val="single" w:sz="8" w:space="0" w:color="000000"/>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Bancos/Dependencias Y Otros</w:t>
            </w:r>
          </w:p>
        </w:tc>
        <w:tc>
          <w:tcPr>
            <w:tcW w:w="2126" w:type="dxa"/>
            <w:tcBorders>
              <w:top w:val="nil"/>
              <w:left w:val="nil"/>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c>
          <w:tcPr>
            <w:tcW w:w="1985" w:type="dxa"/>
            <w:tcBorders>
              <w:top w:val="nil"/>
              <w:left w:val="nil"/>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E815C4" w:rsidRPr="00EB63BB" w:rsidTr="00E815C4">
        <w:trPr>
          <w:divId w:val="35980657"/>
          <w:trHeight w:val="315"/>
        </w:trPr>
        <w:tc>
          <w:tcPr>
            <w:tcW w:w="7513" w:type="dxa"/>
            <w:tcBorders>
              <w:top w:val="nil"/>
              <w:left w:val="single" w:sz="8" w:space="0" w:color="000000"/>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Inversiones Temporales (Hasta 3 Meses)</w:t>
            </w:r>
          </w:p>
        </w:tc>
        <w:tc>
          <w:tcPr>
            <w:tcW w:w="2126" w:type="dxa"/>
            <w:tcBorders>
              <w:top w:val="nil"/>
              <w:left w:val="nil"/>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$1,910,932,481.53</w:t>
            </w:r>
          </w:p>
        </w:tc>
        <w:tc>
          <w:tcPr>
            <w:tcW w:w="1985" w:type="dxa"/>
            <w:tcBorders>
              <w:top w:val="nil"/>
              <w:left w:val="nil"/>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$88,454.48</w:t>
            </w:r>
          </w:p>
        </w:tc>
      </w:tr>
      <w:tr w:rsidR="00E815C4" w:rsidRPr="00EB63BB" w:rsidTr="00E815C4">
        <w:trPr>
          <w:divId w:val="35980657"/>
          <w:trHeight w:val="315"/>
        </w:trPr>
        <w:tc>
          <w:tcPr>
            <w:tcW w:w="7513" w:type="dxa"/>
            <w:tcBorders>
              <w:top w:val="nil"/>
              <w:left w:val="single" w:sz="8" w:space="0" w:color="000000"/>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Fondos Con Afectación Específica</w:t>
            </w:r>
          </w:p>
        </w:tc>
        <w:tc>
          <w:tcPr>
            <w:tcW w:w="2126" w:type="dxa"/>
            <w:tcBorders>
              <w:top w:val="nil"/>
              <w:left w:val="nil"/>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$131,137,942.78</w:t>
            </w:r>
          </w:p>
        </w:tc>
        <w:tc>
          <w:tcPr>
            <w:tcW w:w="1985" w:type="dxa"/>
            <w:tcBorders>
              <w:top w:val="nil"/>
              <w:left w:val="nil"/>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$141,412,895.89</w:t>
            </w:r>
          </w:p>
        </w:tc>
      </w:tr>
      <w:tr w:rsidR="00E815C4" w:rsidRPr="00EB63BB" w:rsidTr="00E815C4">
        <w:trPr>
          <w:divId w:val="35980657"/>
          <w:trHeight w:val="315"/>
        </w:trPr>
        <w:tc>
          <w:tcPr>
            <w:tcW w:w="7513" w:type="dxa"/>
            <w:tcBorders>
              <w:top w:val="nil"/>
              <w:left w:val="single" w:sz="8" w:space="0" w:color="000000"/>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Depósitos De Fondos De Terceros En Garantía Y/O Administración</w:t>
            </w:r>
          </w:p>
        </w:tc>
        <w:tc>
          <w:tcPr>
            <w:tcW w:w="2126" w:type="dxa"/>
            <w:tcBorders>
              <w:top w:val="nil"/>
              <w:left w:val="nil"/>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$95,878,960.63</w:t>
            </w:r>
          </w:p>
        </w:tc>
        <w:tc>
          <w:tcPr>
            <w:tcW w:w="1985" w:type="dxa"/>
            <w:tcBorders>
              <w:top w:val="nil"/>
              <w:left w:val="nil"/>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$17,137,534.07</w:t>
            </w:r>
          </w:p>
        </w:tc>
      </w:tr>
      <w:tr w:rsidR="00E815C4" w:rsidRPr="00EB63BB" w:rsidTr="00E815C4">
        <w:trPr>
          <w:divId w:val="35980657"/>
          <w:trHeight w:val="315"/>
        </w:trPr>
        <w:tc>
          <w:tcPr>
            <w:tcW w:w="7513" w:type="dxa"/>
            <w:tcBorders>
              <w:top w:val="nil"/>
              <w:left w:val="single" w:sz="8" w:space="0" w:color="000000"/>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Otros Efectivos Y Equivalentes</w:t>
            </w:r>
          </w:p>
        </w:tc>
        <w:tc>
          <w:tcPr>
            <w:tcW w:w="2126" w:type="dxa"/>
            <w:tcBorders>
              <w:top w:val="nil"/>
              <w:left w:val="nil"/>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c>
          <w:tcPr>
            <w:tcW w:w="1985" w:type="dxa"/>
            <w:tcBorders>
              <w:top w:val="nil"/>
              <w:left w:val="nil"/>
              <w:bottom w:val="single" w:sz="8" w:space="0" w:color="000000"/>
              <w:right w:val="single" w:sz="8" w:space="0" w:color="000000"/>
            </w:tcBorders>
            <w:shd w:val="clear" w:color="auto" w:fill="auto"/>
            <w:noWrap/>
            <w:vAlign w:val="center"/>
            <w:hideMark/>
          </w:tcPr>
          <w:p w:rsidR="00E815C4" w:rsidRPr="00EB63BB" w:rsidRDefault="00E815C4" w:rsidP="00E815C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E815C4" w:rsidRPr="00EB63BB" w:rsidTr="00E815C4">
        <w:trPr>
          <w:divId w:val="35980657"/>
          <w:trHeight w:val="315"/>
        </w:trPr>
        <w:tc>
          <w:tcPr>
            <w:tcW w:w="7513" w:type="dxa"/>
            <w:tcBorders>
              <w:top w:val="nil"/>
              <w:left w:val="single" w:sz="8" w:space="0" w:color="000000"/>
              <w:bottom w:val="single" w:sz="8" w:space="0" w:color="000000"/>
              <w:right w:val="single" w:sz="8" w:space="0" w:color="000000"/>
            </w:tcBorders>
            <w:shd w:val="clear" w:color="000000" w:fill="D9D9D9"/>
            <w:noWrap/>
            <w:vAlign w:val="center"/>
            <w:hideMark/>
          </w:tcPr>
          <w:p w:rsidR="00E815C4" w:rsidRPr="00EB63BB" w:rsidRDefault="00E815C4" w:rsidP="00E815C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2126" w:type="dxa"/>
            <w:tcBorders>
              <w:top w:val="nil"/>
              <w:left w:val="nil"/>
              <w:bottom w:val="single" w:sz="8" w:space="0" w:color="000000"/>
              <w:right w:val="single" w:sz="8" w:space="0" w:color="000000"/>
            </w:tcBorders>
            <w:shd w:val="clear" w:color="000000" w:fill="D9D9D9"/>
            <w:noWrap/>
            <w:vAlign w:val="center"/>
            <w:hideMark/>
          </w:tcPr>
          <w:p w:rsidR="00E815C4" w:rsidRPr="00EB63BB" w:rsidRDefault="00E815C4" w:rsidP="00E815C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$4,365,166,601.18</w:t>
            </w:r>
          </w:p>
        </w:tc>
        <w:tc>
          <w:tcPr>
            <w:tcW w:w="1985" w:type="dxa"/>
            <w:tcBorders>
              <w:top w:val="nil"/>
              <w:left w:val="nil"/>
              <w:bottom w:val="single" w:sz="8" w:space="0" w:color="000000"/>
              <w:right w:val="single" w:sz="8" w:space="0" w:color="000000"/>
            </w:tcBorders>
            <w:shd w:val="clear" w:color="000000" w:fill="D9D9D9"/>
            <w:noWrap/>
            <w:vAlign w:val="center"/>
            <w:hideMark/>
          </w:tcPr>
          <w:p w:rsidR="00E815C4" w:rsidRPr="00EB63BB" w:rsidRDefault="00E815C4" w:rsidP="00E815C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$1,021,084,507.83</w:t>
            </w:r>
          </w:p>
        </w:tc>
      </w:tr>
    </w:tbl>
    <w:p w:rsidR="00E815C4" w:rsidRPr="00EB63BB" w:rsidRDefault="00E815C4">
      <w:pPr>
        <w:jc w:val="both"/>
        <w:divId w:val="35980657"/>
        <w:rPr>
          <w:rFonts w:ascii="Lato" w:eastAsia="Times New Roman" w:hAnsi="Lato"/>
          <w:sz w:val="20"/>
          <w:szCs w:val="20"/>
        </w:rPr>
      </w:pP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2. Se detallan las adquisiciones de las Actividades de Inversión efectivamente pagadas, respecto del apartado de aplicación.</w:t>
      </w:r>
    </w:p>
    <w:tbl>
      <w:tblPr>
        <w:tblW w:w="11624" w:type="dxa"/>
        <w:tblInd w:w="-10" w:type="dxa"/>
        <w:tblCellMar>
          <w:left w:w="70" w:type="dxa"/>
          <w:right w:w="70" w:type="dxa"/>
        </w:tblCellMar>
        <w:tblLook w:val="04A0" w:firstRow="1" w:lastRow="0" w:firstColumn="1" w:lastColumn="0" w:noHBand="0" w:noVBand="1"/>
      </w:tblPr>
      <w:tblGrid>
        <w:gridCol w:w="7484"/>
        <w:gridCol w:w="2155"/>
        <w:gridCol w:w="1985"/>
      </w:tblGrid>
      <w:tr w:rsidR="00DB51A8" w:rsidRPr="00EB63BB" w:rsidTr="00DB51A8">
        <w:trPr>
          <w:divId w:val="35980657"/>
          <w:trHeight w:val="315"/>
        </w:trPr>
        <w:tc>
          <w:tcPr>
            <w:tcW w:w="11624" w:type="dxa"/>
            <w:gridSpan w:val="3"/>
            <w:tcBorders>
              <w:top w:val="single" w:sz="8" w:space="0" w:color="000000"/>
              <w:left w:val="single" w:sz="8" w:space="0" w:color="000000"/>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Adquisiciones de Actividades de Inversión efectivamente pagadas</w:t>
            </w:r>
          </w:p>
        </w:tc>
      </w:tr>
      <w:tr w:rsidR="00DB51A8" w:rsidRPr="00EB63BB" w:rsidTr="00DB51A8">
        <w:trPr>
          <w:divId w:val="35980657"/>
          <w:trHeight w:val="315"/>
        </w:trPr>
        <w:tc>
          <w:tcPr>
            <w:tcW w:w="7484" w:type="dxa"/>
            <w:tcBorders>
              <w:top w:val="nil"/>
              <w:left w:val="single" w:sz="8" w:space="0" w:color="000000"/>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Concepto</w:t>
            </w:r>
          </w:p>
        </w:tc>
        <w:tc>
          <w:tcPr>
            <w:tcW w:w="2155" w:type="dxa"/>
            <w:tcBorders>
              <w:top w:val="nil"/>
              <w:left w:val="nil"/>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2026</w:t>
            </w:r>
          </w:p>
        </w:tc>
        <w:tc>
          <w:tcPr>
            <w:tcW w:w="1985" w:type="dxa"/>
            <w:tcBorders>
              <w:top w:val="nil"/>
              <w:left w:val="nil"/>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2025</w:t>
            </w:r>
          </w:p>
        </w:tc>
      </w:tr>
      <w:tr w:rsidR="00DB51A8" w:rsidRPr="00EB63BB" w:rsidTr="00DB51A8">
        <w:trPr>
          <w:divId w:val="35980657"/>
          <w:trHeight w:val="315"/>
        </w:trPr>
        <w:tc>
          <w:tcPr>
            <w:tcW w:w="7484" w:type="dxa"/>
            <w:tcBorders>
              <w:top w:val="nil"/>
              <w:left w:val="single" w:sz="8" w:space="0" w:color="000000"/>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Bienes Inmuebles, Infraestructura y Construcciones en Proceso.</w:t>
            </w:r>
          </w:p>
        </w:tc>
        <w:tc>
          <w:tcPr>
            <w:tcW w:w="2155" w:type="dxa"/>
            <w:tcBorders>
              <w:top w:val="nil"/>
              <w:left w:val="nil"/>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$33,480,288.79</w:t>
            </w:r>
          </w:p>
        </w:tc>
        <w:tc>
          <w:tcPr>
            <w:tcW w:w="1985" w:type="dxa"/>
            <w:tcBorders>
              <w:top w:val="nil"/>
              <w:left w:val="nil"/>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$2,607,972.44</w:t>
            </w:r>
          </w:p>
        </w:tc>
      </w:tr>
      <w:tr w:rsidR="00DB51A8" w:rsidRPr="00EB63BB" w:rsidTr="00DB51A8">
        <w:trPr>
          <w:divId w:val="35980657"/>
          <w:trHeight w:val="315"/>
        </w:trPr>
        <w:tc>
          <w:tcPr>
            <w:tcW w:w="7484" w:type="dxa"/>
            <w:tcBorders>
              <w:top w:val="nil"/>
              <w:left w:val="single" w:sz="8" w:space="0" w:color="000000"/>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Construcciones en Proceso en Bienes de Dominio Público</w:t>
            </w:r>
          </w:p>
        </w:tc>
        <w:tc>
          <w:tcPr>
            <w:tcW w:w="215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c>
          <w:tcPr>
            <w:tcW w:w="198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DB51A8" w:rsidRPr="00EB63BB" w:rsidTr="00DB51A8">
        <w:trPr>
          <w:divId w:val="35980657"/>
          <w:trHeight w:val="315"/>
        </w:trPr>
        <w:tc>
          <w:tcPr>
            <w:tcW w:w="7484" w:type="dxa"/>
            <w:tcBorders>
              <w:top w:val="nil"/>
              <w:left w:val="single" w:sz="8" w:space="0" w:color="000000"/>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Construcciones en Proceso en Bienes Propios</w:t>
            </w:r>
          </w:p>
        </w:tc>
        <w:tc>
          <w:tcPr>
            <w:tcW w:w="215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$33,480,288.79</w:t>
            </w:r>
          </w:p>
        </w:tc>
        <w:tc>
          <w:tcPr>
            <w:tcW w:w="198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$2,607,972.44</w:t>
            </w:r>
          </w:p>
        </w:tc>
      </w:tr>
      <w:tr w:rsidR="00DB51A8" w:rsidRPr="00EB63BB" w:rsidTr="00DB51A8">
        <w:trPr>
          <w:divId w:val="35980657"/>
          <w:trHeight w:val="315"/>
        </w:trPr>
        <w:tc>
          <w:tcPr>
            <w:tcW w:w="7484" w:type="dxa"/>
            <w:tcBorders>
              <w:top w:val="nil"/>
              <w:left w:val="single" w:sz="8" w:space="0" w:color="000000"/>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Bienes Muebles</w:t>
            </w:r>
          </w:p>
        </w:tc>
        <w:tc>
          <w:tcPr>
            <w:tcW w:w="2155" w:type="dxa"/>
            <w:tcBorders>
              <w:top w:val="nil"/>
              <w:left w:val="nil"/>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$55,205,419.14</w:t>
            </w:r>
          </w:p>
        </w:tc>
        <w:tc>
          <w:tcPr>
            <w:tcW w:w="1985" w:type="dxa"/>
            <w:tcBorders>
              <w:top w:val="nil"/>
              <w:left w:val="nil"/>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$163,600,590.74</w:t>
            </w:r>
          </w:p>
        </w:tc>
      </w:tr>
      <w:tr w:rsidR="00DB51A8" w:rsidRPr="00EB63BB" w:rsidTr="00DB51A8">
        <w:trPr>
          <w:divId w:val="35980657"/>
          <w:trHeight w:val="315"/>
        </w:trPr>
        <w:tc>
          <w:tcPr>
            <w:tcW w:w="7484" w:type="dxa"/>
            <w:tcBorders>
              <w:top w:val="nil"/>
              <w:left w:val="single" w:sz="8" w:space="0" w:color="000000"/>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lastRenderedPageBreak/>
              <w:t>Mobiliario y Equipo de Administración</w:t>
            </w:r>
          </w:p>
        </w:tc>
        <w:tc>
          <w:tcPr>
            <w:tcW w:w="215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$15,470,557.34</w:t>
            </w:r>
          </w:p>
        </w:tc>
        <w:tc>
          <w:tcPr>
            <w:tcW w:w="198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$79,721,572.66</w:t>
            </w:r>
          </w:p>
        </w:tc>
      </w:tr>
      <w:tr w:rsidR="00DB51A8" w:rsidRPr="00EB63BB" w:rsidTr="00DB51A8">
        <w:trPr>
          <w:divId w:val="35980657"/>
          <w:trHeight w:val="315"/>
        </w:trPr>
        <w:tc>
          <w:tcPr>
            <w:tcW w:w="7484" w:type="dxa"/>
            <w:tcBorders>
              <w:top w:val="nil"/>
              <w:left w:val="single" w:sz="8" w:space="0" w:color="000000"/>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Mobiliario y Equipo Educacional y Recreativo</w:t>
            </w:r>
          </w:p>
        </w:tc>
        <w:tc>
          <w:tcPr>
            <w:tcW w:w="215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$622,476.11</w:t>
            </w:r>
          </w:p>
        </w:tc>
        <w:tc>
          <w:tcPr>
            <w:tcW w:w="198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$12,048,322.73</w:t>
            </w:r>
          </w:p>
        </w:tc>
      </w:tr>
      <w:tr w:rsidR="00DB51A8" w:rsidRPr="00EB63BB" w:rsidTr="00DB51A8">
        <w:trPr>
          <w:divId w:val="35980657"/>
          <w:trHeight w:val="315"/>
        </w:trPr>
        <w:tc>
          <w:tcPr>
            <w:tcW w:w="7484" w:type="dxa"/>
            <w:tcBorders>
              <w:top w:val="nil"/>
              <w:left w:val="single" w:sz="8" w:space="0" w:color="000000"/>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Equipo e Instrumental Médico y de Laboratorio</w:t>
            </w:r>
          </w:p>
        </w:tc>
        <w:tc>
          <w:tcPr>
            <w:tcW w:w="215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$172,000.00</w:t>
            </w:r>
          </w:p>
        </w:tc>
        <w:tc>
          <w:tcPr>
            <w:tcW w:w="198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$973,016.56</w:t>
            </w:r>
          </w:p>
        </w:tc>
      </w:tr>
      <w:tr w:rsidR="00DB51A8" w:rsidRPr="00EB63BB" w:rsidTr="00DB51A8">
        <w:trPr>
          <w:divId w:val="35980657"/>
          <w:trHeight w:val="315"/>
        </w:trPr>
        <w:tc>
          <w:tcPr>
            <w:tcW w:w="7484" w:type="dxa"/>
            <w:tcBorders>
              <w:top w:val="nil"/>
              <w:left w:val="single" w:sz="8" w:space="0" w:color="000000"/>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Vehículos y Equipo de Transporte</w:t>
            </w:r>
          </w:p>
        </w:tc>
        <w:tc>
          <w:tcPr>
            <w:tcW w:w="215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$613,420.00</w:t>
            </w:r>
          </w:p>
        </w:tc>
        <w:tc>
          <w:tcPr>
            <w:tcW w:w="198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$10,748,993.42</w:t>
            </w:r>
          </w:p>
        </w:tc>
      </w:tr>
      <w:tr w:rsidR="00DB51A8" w:rsidRPr="00EB63BB" w:rsidTr="00DB51A8">
        <w:trPr>
          <w:divId w:val="35980657"/>
          <w:trHeight w:val="315"/>
        </w:trPr>
        <w:tc>
          <w:tcPr>
            <w:tcW w:w="7484" w:type="dxa"/>
            <w:tcBorders>
              <w:top w:val="nil"/>
              <w:left w:val="single" w:sz="8" w:space="0" w:color="000000"/>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Equipo de Defensa y Seguridad</w:t>
            </w:r>
          </w:p>
        </w:tc>
        <w:tc>
          <w:tcPr>
            <w:tcW w:w="215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$35,208,108.09</w:t>
            </w:r>
          </w:p>
        </w:tc>
        <w:tc>
          <w:tcPr>
            <w:tcW w:w="198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$28,577,650.45</w:t>
            </w:r>
          </w:p>
        </w:tc>
      </w:tr>
      <w:tr w:rsidR="00DB51A8" w:rsidRPr="00EB63BB" w:rsidTr="00DB51A8">
        <w:trPr>
          <w:divId w:val="35980657"/>
          <w:trHeight w:val="315"/>
        </w:trPr>
        <w:tc>
          <w:tcPr>
            <w:tcW w:w="7484" w:type="dxa"/>
            <w:tcBorders>
              <w:top w:val="nil"/>
              <w:left w:val="single" w:sz="8" w:space="0" w:color="000000"/>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 xml:space="preserve">Maquinaria, Otros Equipos y Herramientas </w:t>
            </w:r>
          </w:p>
        </w:tc>
        <w:tc>
          <w:tcPr>
            <w:tcW w:w="215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$3,118,857.60</w:t>
            </w:r>
          </w:p>
        </w:tc>
        <w:tc>
          <w:tcPr>
            <w:tcW w:w="198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$31,531,034.92</w:t>
            </w:r>
          </w:p>
        </w:tc>
      </w:tr>
      <w:tr w:rsidR="00DB51A8" w:rsidRPr="00EB63BB" w:rsidTr="00DB51A8">
        <w:trPr>
          <w:divId w:val="35980657"/>
          <w:trHeight w:val="315"/>
        </w:trPr>
        <w:tc>
          <w:tcPr>
            <w:tcW w:w="7484" w:type="dxa"/>
            <w:tcBorders>
              <w:top w:val="nil"/>
              <w:left w:val="single" w:sz="8" w:space="0" w:color="000000"/>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Otras Inversiones</w:t>
            </w:r>
          </w:p>
        </w:tc>
        <w:tc>
          <w:tcPr>
            <w:tcW w:w="2155" w:type="dxa"/>
            <w:tcBorders>
              <w:top w:val="nil"/>
              <w:left w:val="nil"/>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$14,715,906.44</w:t>
            </w:r>
          </w:p>
        </w:tc>
        <w:tc>
          <w:tcPr>
            <w:tcW w:w="1985" w:type="dxa"/>
            <w:tcBorders>
              <w:top w:val="nil"/>
              <w:left w:val="nil"/>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$83,910,705.05</w:t>
            </w:r>
          </w:p>
        </w:tc>
      </w:tr>
      <w:tr w:rsidR="00DB51A8" w:rsidRPr="00EB63BB" w:rsidTr="00DB51A8">
        <w:trPr>
          <w:divId w:val="35980657"/>
          <w:trHeight w:val="315"/>
        </w:trPr>
        <w:tc>
          <w:tcPr>
            <w:tcW w:w="7484" w:type="dxa"/>
            <w:tcBorders>
              <w:top w:val="nil"/>
              <w:left w:val="single" w:sz="8" w:space="0" w:color="000000"/>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Otras Inversiones</w:t>
            </w:r>
          </w:p>
        </w:tc>
        <w:tc>
          <w:tcPr>
            <w:tcW w:w="215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$14,715,906.44</w:t>
            </w:r>
          </w:p>
        </w:tc>
        <w:tc>
          <w:tcPr>
            <w:tcW w:w="1985" w:type="dxa"/>
            <w:tcBorders>
              <w:top w:val="nil"/>
              <w:left w:val="nil"/>
              <w:bottom w:val="single" w:sz="8" w:space="0" w:color="000000"/>
              <w:right w:val="single" w:sz="8" w:space="0" w:color="000000"/>
            </w:tcBorders>
            <w:shd w:val="clear" w:color="auto" w:fill="auto"/>
            <w:noWrap/>
            <w:vAlign w:val="center"/>
            <w:hideMark/>
          </w:tcPr>
          <w:p w:rsidR="00DB51A8" w:rsidRPr="00EB63BB" w:rsidRDefault="00DB51A8" w:rsidP="00DB51A8">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$83,910,705.05</w:t>
            </w:r>
          </w:p>
        </w:tc>
      </w:tr>
      <w:tr w:rsidR="00DB51A8" w:rsidRPr="00EB63BB" w:rsidTr="00DB51A8">
        <w:trPr>
          <w:divId w:val="35980657"/>
          <w:trHeight w:val="315"/>
        </w:trPr>
        <w:tc>
          <w:tcPr>
            <w:tcW w:w="7484" w:type="dxa"/>
            <w:tcBorders>
              <w:top w:val="nil"/>
              <w:left w:val="single" w:sz="8" w:space="0" w:color="000000"/>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2155" w:type="dxa"/>
            <w:tcBorders>
              <w:top w:val="nil"/>
              <w:left w:val="nil"/>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$103,401,614.37</w:t>
            </w:r>
          </w:p>
        </w:tc>
        <w:tc>
          <w:tcPr>
            <w:tcW w:w="1985" w:type="dxa"/>
            <w:tcBorders>
              <w:top w:val="nil"/>
              <w:left w:val="nil"/>
              <w:bottom w:val="single" w:sz="8" w:space="0" w:color="000000"/>
              <w:right w:val="single" w:sz="8" w:space="0" w:color="000000"/>
            </w:tcBorders>
            <w:shd w:val="clear" w:color="000000" w:fill="D9D9D9"/>
            <w:noWrap/>
            <w:vAlign w:val="center"/>
            <w:hideMark/>
          </w:tcPr>
          <w:p w:rsidR="00DB51A8" w:rsidRPr="00EB63BB" w:rsidRDefault="00DB51A8" w:rsidP="00DB51A8">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$250,119,268.23</w:t>
            </w:r>
          </w:p>
        </w:tc>
      </w:tr>
    </w:tbl>
    <w:p w:rsidR="00DB51A8" w:rsidRPr="00EB63BB" w:rsidRDefault="00DB51A8">
      <w:pPr>
        <w:jc w:val="both"/>
        <w:divId w:val="35980657"/>
        <w:rPr>
          <w:rFonts w:ascii="Lato" w:eastAsia="Times New Roman" w:hAnsi="Lato"/>
          <w:sz w:val="20"/>
          <w:szCs w:val="20"/>
        </w:rPr>
      </w:pPr>
    </w:p>
    <w:p w:rsidR="00B027B5" w:rsidRPr="00EB63BB" w:rsidRDefault="00642EB6" w:rsidP="004E1479">
      <w:pPr>
        <w:ind w:right="486"/>
        <w:jc w:val="both"/>
        <w:divId w:val="35980657"/>
        <w:rPr>
          <w:rFonts w:ascii="Lato" w:eastAsia="Times New Roman" w:hAnsi="Lato"/>
          <w:sz w:val="20"/>
          <w:szCs w:val="20"/>
        </w:rPr>
      </w:pPr>
      <w:r w:rsidRPr="00EB63BB">
        <w:rPr>
          <w:rFonts w:ascii="Lato" w:eastAsia="Times New Roman" w:hAnsi="Lato"/>
          <w:sz w:val="20"/>
          <w:szCs w:val="20"/>
        </w:rPr>
        <w:t>3.- Se presenta la Conciliación de los Flujos de Efectivo Netos de las Actividades de Operación y los saldos de Resultados del Ejercicio (Ahorro/Desahorro), en el siguiente cuadro:</w:t>
      </w:r>
    </w:p>
    <w:tbl>
      <w:tblPr>
        <w:tblW w:w="11624" w:type="dxa"/>
        <w:tblInd w:w="-10" w:type="dxa"/>
        <w:tblCellMar>
          <w:left w:w="70" w:type="dxa"/>
          <w:right w:w="70" w:type="dxa"/>
        </w:tblCellMar>
        <w:tblLook w:val="04A0" w:firstRow="1" w:lastRow="0" w:firstColumn="1" w:lastColumn="0" w:noHBand="0" w:noVBand="1"/>
      </w:tblPr>
      <w:tblGrid>
        <w:gridCol w:w="7643"/>
        <w:gridCol w:w="1996"/>
        <w:gridCol w:w="1985"/>
      </w:tblGrid>
      <w:tr w:rsidR="004E1479" w:rsidRPr="00EB63BB" w:rsidTr="004E1479">
        <w:trPr>
          <w:divId w:val="35980657"/>
          <w:trHeight w:val="315"/>
        </w:trPr>
        <w:tc>
          <w:tcPr>
            <w:tcW w:w="11624" w:type="dxa"/>
            <w:gridSpan w:val="3"/>
            <w:tcBorders>
              <w:top w:val="single" w:sz="8" w:space="0" w:color="000000"/>
              <w:left w:val="single" w:sz="8" w:space="0" w:color="000000"/>
              <w:bottom w:val="single" w:sz="8" w:space="0" w:color="000000"/>
              <w:right w:val="single" w:sz="8" w:space="0" w:color="000000"/>
            </w:tcBorders>
            <w:shd w:val="clear" w:color="000000" w:fill="D9D9D9"/>
            <w:noWrap/>
            <w:vAlign w:val="center"/>
            <w:hideMark/>
          </w:tcPr>
          <w:p w:rsidR="004E1479" w:rsidRPr="00EB63BB" w:rsidRDefault="004E1479" w:rsidP="004E1479">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CONCILIACION DE FLUJOS DE EFECTIVO NETOS</w:t>
            </w:r>
          </w:p>
        </w:tc>
      </w:tr>
      <w:tr w:rsidR="004E1479" w:rsidRPr="00EB63BB" w:rsidTr="004E1479">
        <w:trPr>
          <w:divId w:val="35980657"/>
          <w:trHeight w:val="315"/>
        </w:trPr>
        <w:tc>
          <w:tcPr>
            <w:tcW w:w="7643" w:type="dxa"/>
            <w:tcBorders>
              <w:top w:val="nil"/>
              <w:left w:val="single" w:sz="8" w:space="0" w:color="000000"/>
              <w:bottom w:val="single" w:sz="8" w:space="0" w:color="000000"/>
              <w:right w:val="single" w:sz="8" w:space="0" w:color="000000"/>
            </w:tcBorders>
            <w:shd w:val="clear" w:color="000000" w:fill="D9D9D9"/>
            <w:noWrap/>
            <w:vAlign w:val="center"/>
            <w:hideMark/>
          </w:tcPr>
          <w:p w:rsidR="004E1479" w:rsidRPr="00EB63BB" w:rsidRDefault="004E1479" w:rsidP="004E1479">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Concepto</w:t>
            </w:r>
          </w:p>
        </w:tc>
        <w:tc>
          <w:tcPr>
            <w:tcW w:w="1996" w:type="dxa"/>
            <w:tcBorders>
              <w:top w:val="nil"/>
              <w:left w:val="nil"/>
              <w:bottom w:val="single" w:sz="8" w:space="0" w:color="000000"/>
              <w:right w:val="single" w:sz="8" w:space="0" w:color="000000"/>
            </w:tcBorders>
            <w:shd w:val="clear" w:color="000000" w:fill="D9D9D9"/>
            <w:noWrap/>
            <w:vAlign w:val="center"/>
            <w:hideMark/>
          </w:tcPr>
          <w:p w:rsidR="004E1479" w:rsidRPr="00EB63BB" w:rsidRDefault="004E1479" w:rsidP="004E1479">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2026</w:t>
            </w:r>
          </w:p>
        </w:tc>
        <w:tc>
          <w:tcPr>
            <w:tcW w:w="1985" w:type="dxa"/>
            <w:tcBorders>
              <w:top w:val="nil"/>
              <w:left w:val="nil"/>
              <w:bottom w:val="single" w:sz="8" w:space="0" w:color="000000"/>
              <w:right w:val="single" w:sz="8" w:space="0" w:color="000000"/>
            </w:tcBorders>
            <w:shd w:val="clear" w:color="000000" w:fill="D9D9D9"/>
            <w:noWrap/>
            <w:vAlign w:val="center"/>
            <w:hideMark/>
          </w:tcPr>
          <w:p w:rsidR="004E1479" w:rsidRPr="00EB63BB" w:rsidRDefault="004E1479" w:rsidP="004E1479">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2025</w:t>
            </w:r>
          </w:p>
        </w:tc>
      </w:tr>
      <w:tr w:rsidR="004E1479" w:rsidRPr="00EB63BB" w:rsidTr="004E1479">
        <w:trPr>
          <w:divId w:val="35980657"/>
          <w:trHeight w:val="315"/>
        </w:trPr>
        <w:tc>
          <w:tcPr>
            <w:tcW w:w="7643" w:type="dxa"/>
            <w:tcBorders>
              <w:top w:val="nil"/>
              <w:left w:val="single" w:sz="8" w:space="0" w:color="000000"/>
              <w:bottom w:val="single" w:sz="8" w:space="0" w:color="000000"/>
              <w:right w:val="single" w:sz="8" w:space="0" w:color="000000"/>
            </w:tcBorders>
            <w:shd w:val="clear" w:color="000000" w:fill="D9D9D9"/>
            <w:noWrap/>
            <w:vAlign w:val="center"/>
            <w:hideMark/>
          </w:tcPr>
          <w:p w:rsidR="004E1479" w:rsidRPr="00EB63BB" w:rsidRDefault="004E1479" w:rsidP="004E1479">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Resultado del Ejercicio Ahorro/ Desahorro</w:t>
            </w:r>
          </w:p>
        </w:tc>
        <w:tc>
          <w:tcPr>
            <w:tcW w:w="1996" w:type="dxa"/>
            <w:tcBorders>
              <w:top w:val="nil"/>
              <w:left w:val="nil"/>
              <w:bottom w:val="single" w:sz="8" w:space="0" w:color="000000"/>
              <w:right w:val="single" w:sz="8" w:space="0" w:color="000000"/>
            </w:tcBorders>
            <w:shd w:val="clear" w:color="000000" w:fill="D9D9D9"/>
            <w:noWrap/>
            <w:vAlign w:val="center"/>
            <w:hideMark/>
          </w:tcPr>
          <w:p w:rsidR="004E1479" w:rsidRPr="00EB63BB" w:rsidRDefault="004E1479" w:rsidP="004E1479">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$2,011,691,362.58</w:t>
            </w:r>
          </w:p>
        </w:tc>
        <w:tc>
          <w:tcPr>
            <w:tcW w:w="1985" w:type="dxa"/>
            <w:tcBorders>
              <w:top w:val="nil"/>
              <w:left w:val="nil"/>
              <w:bottom w:val="single" w:sz="8" w:space="0" w:color="000000"/>
              <w:right w:val="single" w:sz="8" w:space="0" w:color="000000"/>
            </w:tcBorders>
            <w:shd w:val="clear" w:color="000000" w:fill="D9D9D9"/>
            <w:noWrap/>
            <w:vAlign w:val="center"/>
            <w:hideMark/>
          </w:tcPr>
          <w:p w:rsidR="004E1479" w:rsidRPr="00EB63BB" w:rsidRDefault="004E1479" w:rsidP="004E1479">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FF0000"/>
                <w:sz w:val="20"/>
                <w:szCs w:val="20"/>
              </w:rPr>
              <w:t>-$1,310,776,024.28</w:t>
            </w:r>
          </w:p>
        </w:tc>
      </w:tr>
      <w:tr w:rsidR="004E1479" w:rsidRPr="00EB63BB" w:rsidTr="004E1479">
        <w:trPr>
          <w:divId w:val="35980657"/>
          <w:trHeight w:val="315"/>
        </w:trPr>
        <w:tc>
          <w:tcPr>
            <w:tcW w:w="7643" w:type="dxa"/>
            <w:tcBorders>
              <w:top w:val="nil"/>
              <w:left w:val="single" w:sz="8" w:space="0" w:color="000000"/>
              <w:bottom w:val="single" w:sz="8" w:space="0" w:color="000000"/>
              <w:right w:val="single" w:sz="8" w:space="0" w:color="000000"/>
            </w:tcBorders>
            <w:shd w:val="clear" w:color="000000" w:fill="D9D9D9"/>
            <w:noWrap/>
            <w:vAlign w:val="center"/>
            <w:hideMark/>
          </w:tcPr>
          <w:p w:rsidR="004E1479" w:rsidRPr="00EB63BB" w:rsidRDefault="004E1479" w:rsidP="004E1479">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Movimientos de partidas (o rubros) que no afectan al efectivo</w:t>
            </w:r>
          </w:p>
        </w:tc>
        <w:tc>
          <w:tcPr>
            <w:tcW w:w="1996" w:type="dxa"/>
            <w:tcBorders>
              <w:top w:val="nil"/>
              <w:left w:val="nil"/>
              <w:bottom w:val="single" w:sz="8" w:space="0" w:color="000000"/>
              <w:right w:val="single" w:sz="8" w:space="0" w:color="000000"/>
            </w:tcBorders>
            <w:shd w:val="clear" w:color="000000" w:fill="D9D9D9"/>
            <w:noWrap/>
            <w:vAlign w:val="center"/>
            <w:hideMark/>
          </w:tcPr>
          <w:p w:rsidR="004E1479" w:rsidRPr="00EB63BB" w:rsidRDefault="004E1479" w:rsidP="004E1479">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$1,889,920,363.59</w:t>
            </w:r>
          </w:p>
        </w:tc>
        <w:tc>
          <w:tcPr>
            <w:tcW w:w="1985" w:type="dxa"/>
            <w:tcBorders>
              <w:top w:val="nil"/>
              <w:left w:val="nil"/>
              <w:bottom w:val="single" w:sz="8" w:space="0" w:color="000000"/>
              <w:right w:val="single" w:sz="8" w:space="0" w:color="000000"/>
            </w:tcBorders>
            <w:shd w:val="clear" w:color="000000" w:fill="D9D9D9"/>
            <w:noWrap/>
            <w:vAlign w:val="center"/>
            <w:hideMark/>
          </w:tcPr>
          <w:p w:rsidR="004E1479" w:rsidRPr="00EB63BB" w:rsidRDefault="004E1479" w:rsidP="004E1479">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$1,646,078,144.78</w:t>
            </w:r>
          </w:p>
        </w:tc>
      </w:tr>
      <w:tr w:rsidR="004E1479" w:rsidRPr="00EB63BB" w:rsidTr="004E1479">
        <w:trPr>
          <w:divId w:val="35980657"/>
          <w:trHeight w:val="315"/>
        </w:trPr>
        <w:tc>
          <w:tcPr>
            <w:tcW w:w="7643" w:type="dxa"/>
            <w:tcBorders>
              <w:top w:val="nil"/>
              <w:left w:val="single" w:sz="8" w:space="0" w:color="000000"/>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Depreciación</w:t>
            </w:r>
          </w:p>
        </w:tc>
        <w:tc>
          <w:tcPr>
            <w:tcW w:w="1996"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$135,551,561.89</w:t>
            </w:r>
          </w:p>
        </w:tc>
        <w:tc>
          <w:tcPr>
            <w:tcW w:w="1985"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$537,136,305.44</w:t>
            </w:r>
          </w:p>
        </w:tc>
      </w:tr>
      <w:tr w:rsidR="004E1479" w:rsidRPr="00EB63BB" w:rsidTr="004E1479">
        <w:trPr>
          <w:divId w:val="35980657"/>
          <w:trHeight w:val="315"/>
        </w:trPr>
        <w:tc>
          <w:tcPr>
            <w:tcW w:w="7643" w:type="dxa"/>
            <w:tcBorders>
              <w:top w:val="nil"/>
              <w:left w:val="single" w:sz="8" w:space="0" w:color="000000"/>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Amortización</w:t>
            </w:r>
          </w:p>
        </w:tc>
        <w:tc>
          <w:tcPr>
            <w:tcW w:w="1996"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$34,827,949.11</w:t>
            </w:r>
          </w:p>
        </w:tc>
        <w:tc>
          <w:tcPr>
            <w:tcW w:w="1985"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$38,176,957.74</w:t>
            </w:r>
          </w:p>
        </w:tc>
      </w:tr>
      <w:tr w:rsidR="004E1479" w:rsidRPr="00EB63BB" w:rsidTr="004E1479">
        <w:trPr>
          <w:divId w:val="35980657"/>
          <w:trHeight w:val="315"/>
        </w:trPr>
        <w:tc>
          <w:tcPr>
            <w:tcW w:w="7643" w:type="dxa"/>
            <w:tcBorders>
              <w:top w:val="nil"/>
              <w:left w:val="single" w:sz="8" w:space="0" w:color="000000"/>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Otros Gastos</w:t>
            </w:r>
          </w:p>
        </w:tc>
        <w:tc>
          <w:tcPr>
            <w:tcW w:w="1996"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$3,868,706.06</w:t>
            </w:r>
          </w:p>
        </w:tc>
        <w:tc>
          <w:tcPr>
            <w:tcW w:w="1985"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$4,488,303.05</w:t>
            </w:r>
          </w:p>
        </w:tc>
      </w:tr>
      <w:tr w:rsidR="004E1479" w:rsidRPr="00EB63BB" w:rsidTr="004E1479">
        <w:trPr>
          <w:divId w:val="35980657"/>
          <w:trHeight w:val="315"/>
        </w:trPr>
        <w:tc>
          <w:tcPr>
            <w:tcW w:w="7643" w:type="dxa"/>
            <w:tcBorders>
              <w:top w:val="nil"/>
              <w:left w:val="single" w:sz="8" w:space="0" w:color="000000"/>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Aprovechamientos patrimoniales</w:t>
            </w:r>
          </w:p>
        </w:tc>
        <w:tc>
          <w:tcPr>
            <w:tcW w:w="1996"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c>
          <w:tcPr>
            <w:tcW w:w="1985"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4E1479" w:rsidRPr="00EB63BB" w:rsidTr="004E1479">
        <w:trPr>
          <w:divId w:val="35980657"/>
          <w:trHeight w:val="315"/>
        </w:trPr>
        <w:tc>
          <w:tcPr>
            <w:tcW w:w="7643" w:type="dxa"/>
            <w:tcBorders>
              <w:top w:val="nil"/>
              <w:left w:val="single" w:sz="8" w:space="0" w:color="000000"/>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Inversión Pública No Capitalizable</w:t>
            </w:r>
          </w:p>
        </w:tc>
        <w:tc>
          <w:tcPr>
            <w:tcW w:w="1996"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c>
          <w:tcPr>
            <w:tcW w:w="1985"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4E1479" w:rsidRPr="00EB63BB" w:rsidTr="004E1479">
        <w:trPr>
          <w:divId w:val="35980657"/>
          <w:trHeight w:val="495"/>
        </w:trPr>
        <w:tc>
          <w:tcPr>
            <w:tcW w:w="7643" w:type="dxa"/>
            <w:tcBorders>
              <w:top w:val="nil"/>
              <w:left w:val="single" w:sz="8" w:space="0" w:color="000000"/>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Ganancia / pérdida en venta de bienes muebles, inmuebles e intangibles</w:t>
            </w:r>
          </w:p>
        </w:tc>
        <w:tc>
          <w:tcPr>
            <w:tcW w:w="1996"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c>
          <w:tcPr>
            <w:tcW w:w="1985"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4E1479" w:rsidRPr="00EB63BB" w:rsidTr="004E1479">
        <w:trPr>
          <w:divId w:val="35980657"/>
          <w:trHeight w:val="315"/>
        </w:trPr>
        <w:tc>
          <w:tcPr>
            <w:tcW w:w="7643" w:type="dxa"/>
            <w:tcBorders>
              <w:top w:val="nil"/>
              <w:left w:val="single" w:sz="8" w:space="0" w:color="000000"/>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Variación del devengo al pagado de gastos</w:t>
            </w:r>
          </w:p>
        </w:tc>
        <w:tc>
          <w:tcPr>
            <w:tcW w:w="1996"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$1,227,601,746.78</w:t>
            </w:r>
          </w:p>
        </w:tc>
        <w:tc>
          <w:tcPr>
            <w:tcW w:w="1985"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$579,047,653.37</w:t>
            </w:r>
          </w:p>
        </w:tc>
      </w:tr>
      <w:tr w:rsidR="004E1479" w:rsidRPr="00EB63BB" w:rsidTr="004E1479">
        <w:trPr>
          <w:divId w:val="35980657"/>
          <w:trHeight w:val="315"/>
        </w:trPr>
        <w:tc>
          <w:tcPr>
            <w:tcW w:w="7643" w:type="dxa"/>
            <w:tcBorders>
              <w:top w:val="nil"/>
              <w:left w:val="single" w:sz="8" w:space="0" w:color="000000"/>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Otros Orígenes de operación</w:t>
            </w:r>
          </w:p>
        </w:tc>
        <w:tc>
          <w:tcPr>
            <w:tcW w:w="1996"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$488,070,399.75</w:t>
            </w:r>
          </w:p>
        </w:tc>
        <w:tc>
          <w:tcPr>
            <w:tcW w:w="1985"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$487,228,925.18</w:t>
            </w:r>
          </w:p>
        </w:tc>
      </w:tr>
      <w:tr w:rsidR="004E1479" w:rsidRPr="00EB63BB" w:rsidTr="004E1479">
        <w:trPr>
          <w:divId w:val="35980657"/>
          <w:trHeight w:val="315"/>
        </w:trPr>
        <w:tc>
          <w:tcPr>
            <w:tcW w:w="7643" w:type="dxa"/>
            <w:tcBorders>
              <w:top w:val="nil"/>
              <w:left w:val="single" w:sz="8" w:space="0" w:color="000000"/>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both"/>
              <w:rPr>
                <w:rFonts w:ascii="Lato" w:eastAsia="Times New Roman" w:hAnsi="Lato" w:cs="Calibri"/>
                <w:color w:val="000000"/>
                <w:sz w:val="20"/>
                <w:szCs w:val="20"/>
              </w:rPr>
            </w:pPr>
            <w:r w:rsidRPr="00EB63BB">
              <w:rPr>
                <w:rFonts w:ascii="Lato" w:eastAsia="Times New Roman" w:hAnsi="Lato" w:cs="Calibri"/>
                <w:color w:val="000000"/>
                <w:sz w:val="20"/>
                <w:szCs w:val="20"/>
              </w:rPr>
              <w:t>Otras aplicaciones de operación</w:t>
            </w:r>
          </w:p>
        </w:tc>
        <w:tc>
          <w:tcPr>
            <w:tcW w:w="1996"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c>
          <w:tcPr>
            <w:tcW w:w="1985" w:type="dxa"/>
            <w:tcBorders>
              <w:top w:val="nil"/>
              <w:left w:val="nil"/>
              <w:bottom w:val="single" w:sz="8" w:space="0" w:color="000000"/>
              <w:right w:val="single" w:sz="8" w:space="0" w:color="000000"/>
            </w:tcBorders>
            <w:shd w:val="clear" w:color="auto" w:fill="auto"/>
            <w:noWrap/>
            <w:vAlign w:val="center"/>
            <w:hideMark/>
          </w:tcPr>
          <w:p w:rsidR="004E1479" w:rsidRPr="00EB63BB" w:rsidRDefault="004E1479" w:rsidP="004E1479">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4E1479" w:rsidRPr="00EB63BB" w:rsidTr="004E1479">
        <w:trPr>
          <w:divId w:val="35980657"/>
          <w:trHeight w:val="315"/>
        </w:trPr>
        <w:tc>
          <w:tcPr>
            <w:tcW w:w="7643" w:type="dxa"/>
            <w:tcBorders>
              <w:top w:val="nil"/>
              <w:left w:val="single" w:sz="8" w:space="0" w:color="000000"/>
              <w:bottom w:val="single" w:sz="8" w:space="0" w:color="000000"/>
              <w:right w:val="single" w:sz="8" w:space="0" w:color="000000"/>
            </w:tcBorders>
            <w:shd w:val="clear" w:color="000000" w:fill="D9D9D9"/>
            <w:noWrap/>
            <w:vAlign w:val="center"/>
            <w:hideMark/>
          </w:tcPr>
          <w:p w:rsidR="004E1479" w:rsidRPr="00EB63BB" w:rsidRDefault="004E1479" w:rsidP="004E1479">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Flujos de Efectivo Netos de las Actividades de Operación</w:t>
            </w:r>
          </w:p>
        </w:tc>
        <w:tc>
          <w:tcPr>
            <w:tcW w:w="1996" w:type="dxa"/>
            <w:tcBorders>
              <w:top w:val="nil"/>
              <w:left w:val="nil"/>
              <w:bottom w:val="single" w:sz="8" w:space="0" w:color="000000"/>
              <w:right w:val="single" w:sz="8" w:space="0" w:color="000000"/>
            </w:tcBorders>
            <w:shd w:val="clear" w:color="000000" w:fill="D9D9D9"/>
            <w:noWrap/>
            <w:vAlign w:val="center"/>
            <w:hideMark/>
          </w:tcPr>
          <w:p w:rsidR="004E1479" w:rsidRPr="00EB63BB" w:rsidRDefault="004E1479" w:rsidP="004E1479">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$3,901,611,726.17</w:t>
            </w:r>
          </w:p>
        </w:tc>
        <w:tc>
          <w:tcPr>
            <w:tcW w:w="1985" w:type="dxa"/>
            <w:tcBorders>
              <w:top w:val="nil"/>
              <w:left w:val="nil"/>
              <w:bottom w:val="single" w:sz="8" w:space="0" w:color="000000"/>
              <w:right w:val="single" w:sz="8" w:space="0" w:color="000000"/>
            </w:tcBorders>
            <w:shd w:val="clear" w:color="000000" w:fill="D9D9D9"/>
            <w:noWrap/>
            <w:vAlign w:val="center"/>
            <w:hideMark/>
          </w:tcPr>
          <w:p w:rsidR="004E1479" w:rsidRPr="00EB63BB" w:rsidRDefault="004E1479" w:rsidP="004E1479">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$335,302,120.50</w:t>
            </w:r>
          </w:p>
        </w:tc>
      </w:tr>
    </w:tbl>
    <w:p w:rsidR="00D66A90" w:rsidRPr="00EB63BB" w:rsidRDefault="00642EB6">
      <w:pPr>
        <w:divId w:val="1875539963"/>
        <w:rPr>
          <w:rStyle w:val="Textoennegrita"/>
          <w:rFonts w:ascii="Lato" w:eastAsia="Times New Roman" w:hAnsi="Lato"/>
          <w:sz w:val="20"/>
          <w:szCs w:val="20"/>
        </w:rPr>
      </w:pPr>
      <w:r w:rsidRPr="00EB63BB">
        <w:rPr>
          <w:rStyle w:val="Textoennegrita"/>
          <w:rFonts w:ascii="Lato" w:eastAsia="Times New Roman" w:hAnsi="Lato"/>
          <w:sz w:val="20"/>
          <w:szCs w:val="20"/>
        </w:rPr>
        <w:lastRenderedPageBreak/>
        <w:t>V) CONCILIACIÓN ENTRE LOS INGRESOS PRESUPUESTARIOS Y CONTABLES, ASI COMO ENTRE LOS EGRESOS PRESUPUESTARIOS Y GASTOS CONTABLES.</w:t>
      </w:r>
    </w:p>
    <w:tbl>
      <w:tblPr>
        <w:tblW w:w="12039" w:type="dxa"/>
        <w:tblCellMar>
          <w:left w:w="70" w:type="dxa"/>
          <w:right w:w="70" w:type="dxa"/>
        </w:tblCellMar>
        <w:tblLook w:val="04A0" w:firstRow="1" w:lastRow="0" w:firstColumn="1" w:lastColumn="0" w:noHBand="0" w:noVBand="1"/>
      </w:tblPr>
      <w:tblGrid>
        <w:gridCol w:w="983"/>
        <w:gridCol w:w="8646"/>
        <w:gridCol w:w="2410"/>
      </w:tblGrid>
      <w:tr w:rsidR="00BC6644" w:rsidRPr="00EB63BB" w:rsidTr="00BC6644">
        <w:trPr>
          <w:divId w:val="1875539963"/>
          <w:trHeight w:val="360"/>
        </w:trPr>
        <w:tc>
          <w:tcPr>
            <w:tcW w:w="12039" w:type="dxa"/>
            <w:gridSpan w:val="3"/>
            <w:tcBorders>
              <w:top w:val="single" w:sz="8" w:space="0" w:color="auto"/>
              <w:left w:val="single" w:sz="8" w:space="0" w:color="auto"/>
              <w:bottom w:val="nil"/>
              <w:right w:val="single" w:sz="8" w:space="0" w:color="000000"/>
            </w:tcBorders>
            <w:shd w:val="clear" w:color="auto" w:fill="auto"/>
            <w:vAlign w:val="center"/>
            <w:hideMark/>
          </w:tcPr>
          <w:p w:rsidR="00BC6644" w:rsidRPr="00EB63BB" w:rsidRDefault="00BC6644" w:rsidP="00BC664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ENTE PUBLICO: PODER EJECUTIVO</w:t>
            </w:r>
          </w:p>
        </w:tc>
      </w:tr>
      <w:tr w:rsidR="00BC6644" w:rsidRPr="00EB63BB" w:rsidTr="00BC6644">
        <w:trPr>
          <w:divId w:val="1875539963"/>
          <w:trHeight w:val="360"/>
        </w:trPr>
        <w:tc>
          <w:tcPr>
            <w:tcW w:w="12039" w:type="dxa"/>
            <w:gridSpan w:val="3"/>
            <w:tcBorders>
              <w:top w:val="nil"/>
              <w:left w:val="single" w:sz="8" w:space="0" w:color="auto"/>
              <w:bottom w:val="nil"/>
              <w:right w:val="single" w:sz="8" w:space="0" w:color="000000"/>
            </w:tcBorders>
            <w:shd w:val="clear" w:color="auto" w:fill="auto"/>
            <w:vAlign w:val="center"/>
            <w:hideMark/>
          </w:tcPr>
          <w:p w:rsidR="00BC6644" w:rsidRPr="00EB63BB" w:rsidRDefault="00BC6644" w:rsidP="00BC664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Conciliación entre los Ingresos Presupuestarios y Contables.</w:t>
            </w:r>
          </w:p>
        </w:tc>
      </w:tr>
      <w:tr w:rsidR="00BC6644" w:rsidRPr="00EB63BB" w:rsidTr="00BC6644">
        <w:trPr>
          <w:divId w:val="1875539963"/>
          <w:trHeight w:val="360"/>
        </w:trPr>
        <w:tc>
          <w:tcPr>
            <w:tcW w:w="12039" w:type="dxa"/>
            <w:gridSpan w:val="3"/>
            <w:tcBorders>
              <w:top w:val="nil"/>
              <w:left w:val="single" w:sz="8" w:space="0" w:color="auto"/>
              <w:bottom w:val="nil"/>
              <w:right w:val="single" w:sz="8" w:space="0" w:color="000000"/>
            </w:tcBorders>
            <w:shd w:val="clear" w:color="auto" w:fill="auto"/>
            <w:vAlign w:val="center"/>
            <w:hideMark/>
          </w:tcPr>
          <w:p w:rsidR="00BC6644" w:rsidRPr="00EB63BB" w:rsidRDefault="00BC6644" w:rsidP="00BC664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DEL 1o DE ENERO AL 30 DE JUNIO DE 2026</w:t>
            </w:r>
          </w:p>
        </w:tc>
      </w:tr>
      <w:tr w:rsidR="00BC6644" w:rsidRPr="00EB63BB" w:rsidTr="00BC6644">
        <w:trPr>
          <w:divId w:val="1875539963"/>
          <w:trHeight w:val="360"/>
        </w:trPr>
        <w:tc>
          <w:tcPr>
            <w:tcW w:w="12039" w:type="dxa"/>
            <w:gridSpan w:val="3"/>
            <w:tcBorders>
              <w:top w:val="nil"/>
              <w:left w:val="single" w:sz="8" w:space="0" w:color="auto"/>
              <w:bottom w:val="single" w:sz="8" w:space="0" w:color="auto"/>
              <w:right w:val="single" w:sz="8" w:space="0" w:color="000000"/>
            </w:tcBorders>
            <w:shd w:val="clear" w:color="auto" w:fill="auto"/>
            <w:vAlign w:val="center"/>
            <w:hideMark/>
          </w:tcPr>
          <w:p w:rsidR="00BC6644" w:rsidRPr="00EB63BB" w:rsidRDefault="00BC6644" w:rsidP="00BC664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(Cifras en pesos)</w:t>
            </w:r>
          </w:p>
        </w:tc>
      </w:tr>
      <w:tr w:rsidR="00BC6644" w:rsidRPr="00EB63BB" w:rsidTr="00BC6644">
        <w:trPr>
          <w:divId w:val="1875539963"/>
          <w:trHeight w:val="300"/>
        </w:trPr>
        <w:tc>
          <w:tcPr>
            <w:tcW w:w="983" w:type="dxa"/>
            <w:tcBorders>
              <w:top w:val="nil"/>
              <w:left w:val="nil"/>
              <w:bottom w:val="nil"/>
              <w:right w:val="nil"/>
            </w:tcBorders>
            <w:shd w:val="clear" w:color="auto" w:fill="auto"/>
            <w:noWrap/>
            <w:vAlign w:val="center"/>
            <w:hideMark/>
          </w:tcPr>
          <w:p w:rsidR="00BC6644" w:rsidRPr="00EB63BB" w:rsidRDefault="00BC6644" w:rsidP="00BC6644">
            <w:pPr>
              <w:spacing w:after="0" w:line="240" w:lineRule="auto"/>
              <w:jc w:val="center"/>
              <w:rPr>
                <w:rFonts w:ascii="Lato" w:eastAsia="Times New Roman" w:hAnsi="Lato" w:cs="Calibri"/>
                <w:b/>
                <w:bCs/>
                <w:color w:val="000000"/>
                <w:sz w:val="20"/>
                <w:szCs w:val="20"/>
              </w:rPr>
            </w:pPr>
          </w:p>
        </w:tc>
        <w:tc>
          <w:tcPr>
            <w:tcW w:w="8646"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c>
          <w:tcPr>
            <w:tcW w:w="2410"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r>
      <w:tr w:rsidR="00BC6644" w:rsidRPr="00EB63BB" w:rsidTr="00BC6644">
        <w:trPr>
          <w:divId w:val="1875539963"/>
          <w:trHeight w:val="300"/>
        </w:trPr>
        <w:tc>
          <w:tcPr>
            <w:tcW w:w="983" w:type="dxa"/>
            <w:tcBorders>
              <w:top w:val="nil"/>
              <w:left w:val="nil"/>
              <w:bottom w:val="nil"/>
              <w:right w:val="nil"/>
            </w:tcBorders>
            <w:shd w:val="clear" w:color="auto" w:fill="auto"/>
            <w:vAlign w:val="center"/>
            <w:hideMark/>
          </w:tcPr>
          <w:p w:rsidR="00BC6644" w:rsidRPr="00EB63BB" w:rsidRDefault="00BC6644" w:rsidP="00BC6644">
            <w:pPr>
              <w:spacing w:after="0" w:line="240" w:lineRule="auto"/>
              <w:rPr>
                <w:rFonts w:ascii="Lato" w:eastAsia="Times New Roman" w:hAnsi="Lato" w:cs="Times New Roman"/>
                <w:sz w:val="20"/>
                <w:szCs w:val="20"/>
              </w:rPr>
            </w:pPr>
          </w:p>
        </w:tc>
        <w:tc>
          <w:tcPr>
            <w:tcW w:w="8646"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c>
          <w:tcPr>
            <w:tcW w:w="2410"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r>
      <w:tr w:rsidR="00BC6644" w:rsidRPr="00EB63BB" w:rsidTr="00BC6644">
        <w:trPr>
          <w:divId w:val="1875539963"/>
          <w:trHeight w:val="315"/>
        </w:trPr>
        <w:tc>
          <w:tcPr>
            <w:tcW w:w="983" w:type="dxa"/>
            <w:tcBorders>
              <w:top w:val="nil"/>
              <w:left w:val="nil"/>
              <w:bottom w:val="nil"/>
              <w:right w:val="nil"/>
            </w:tcBorders>
            <w:shd w:val="clear" w:color="auto" w:fill="auto"/>
            <w:noWrap/>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   </w:t>
            </w:r>
          </w:p>
        </w:tc>
        <w:tc>
          <w:tcPr>
            <w:tcW w:w="8646"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Calibri"/>
                <w:color w:val="000000"/>
                <w:sz w:val="20"/>
                <w:szCs w:val="20"/>
              </w:rPr>
            </w:pPr>
          </w:p>
        </w:tc>
        <w:tc>
          <w:tcPr>
            <w:tcW w:w="2410"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r>
      <w:tr w:rsidR="00BC6644" w:rsidRPr="00EB63BB" w:rsidTr="00BC6644">
        <w:trPr>
          <w:divId w:val="1875539963"/>
          <w:trHeight w:val="315"/>
        </w:trPr>
        <w:tc>
          <w:tcPr>
            <w:tcW w:w="98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 </w:t>
            </w:r>
          </w:p>
        </w:tc>
        <w:tc>
          <w:tcPr>
            <w:tcW w:w="8646"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Concepto</w:t>
            </w:r>
          </w:p>
        </w:tc>
        <w:tc>
          <w:tcPr>
            <w:tcW w:w="2410"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2026</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1</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 de Ingresos Presupuestarios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$30,521,902,407.73</w:t>
            </w:r>
          </w:p>
        </w:tc>
      </w:tr>
      <w:tr w:rsidR="00BC6644" w:rsidRPr="00EB63BB" w:rsidTr="00BC6644">
        <w:trPr>
          <w:divId w:val="1875539963"/>
          <w:trHeight w:val="315"/>
        </w:trPr>
        <w:tc>
          <w:tcPr>
            <w:tcW w:w="983" w:type="dxa"/>
            <w:tcBorders>
              <w:top w:val="nil"/>
              <w:left w:val="nil"/>
              <w:bottom w:val="nil"/>
              <w:right w:val="nil"/>
            </w:tcBorders>
            <w:shd w:val="clear" w:color="auto" w:fill="auto"/>
            <w:noWrap/>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   </w:t>
            </w:r>
          </w:p>
        </w:tc>
        <w:tc>
          <w:tcPr>
            <w:tcW w:w="8646"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Calibri"/>
                <w:color w:val="000000"/>
                <w:sz w:val="20"/>
                <w:szCs w:val="20"/>
              </w:rPr>
            </w:pPr>
          </w:p>
        </w:tc>
        <w:tc>
          <w:tcPr>
            <w:tcW w:w="2410"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r>
      <w:tr w:rsidR="00BC6644" w:rsidRPr="00EB63BB" w:rsidTr="00BC6644">
        <w:trPr>
          <w:divId w:val="1875539963"/>
          <w:trHeight w:val="315"/>
        </w:trPr>
        <w:tc>
          <w:tcPr>
            <w:tcW w:w="98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w:t>
            </w:r>
          </w:p>
        </w:tc>
        <w:tc>
          <w:tcPr>
            <w:tcW w:w="8646"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Más Ingresos contables No presupuestarios</w:t>
            </w:r>
          </w:p>
        </w:tc>
        <w:tc>
          <w:tcPr>
            <w:tcW w:w="2410"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2.1</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Ingresos Financieros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2.2</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Incremento Por Variación De Inventarios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55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2.3</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Disminución Del Exceso De Estimaciones Por Pérdida O Deterioro U Obsolescencia</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2.4</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Disminución Del Exceso De Provisiones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2.5</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Otros Ingresos Y Beneficios Varios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2.6</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Otros Ingresos Contables No Presupuestarios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nil"/>
              <w:bottom w:val="nil"/>
              <w:right w:val="nil"/>
            </w:tcBorders>
            <w:shd w:val="clear" w:color="auto" w:fill="auto"/>
            <w:noWrap/>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   </w:t>
            </w:r>
          </w:p>
        </w:tc>
        <w:tc>
          <w:tcPr>
            <w:tcW w:w="8646"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Calibri"/>
                <w:color w:val="000000"/>
                <w:sz w:val="20"/>
                <w:szCs w:val="20"/>
              </w:rPr>
            </w:pPr>
          </w:p>
        </w:tc>
        <w:tc>
          <w:tcPr>
            <w:tcW w:w="2410"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r>
      <w:tr w:rsidR="00BC6644" w:rsidRPr="00EB63BB" w:rsidTr="00BC6644">
        <w:trPr>
          <w:divId w:val="1875539963"/>
          <w:trHeight w:val="315"/>
        </w:trPr>
        <w:tc>
          <w:tcPr>
            <w:tcW w:w="98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3</w:t>
            </w:r>
          </w:p>
        </w:tc>
        <w:tc>
          <w:tcPr>
            <w:tcW w:w="8646"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Menos Ingresos presupuestarios No contables</w:t>
            </w:r>
          </w:p>
        </w:tc>
        <w:tc>
          <w:tcPr>
            <w:tcW w:w="2410"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3.1</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Aprovechamientos Patrimoniales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3.2</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Ingresos Derivados de Financiamientos.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3.3</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Otros ingresos presupuestarios No Contables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nil"/>
              <w:bottom w:val="nil"/>
              <w:right w:val="nil"/>
            </w:tcBorders>
            <w:shd w:val="clear" w:color="auto" w:fill="auto"/>
            <w:noWrap/>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   </w:t>
            </w:r>
          </w:p>
        </w:tc>
        <w:tc>
          <w:tcPr>
            <w:tcW w:w="8646"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Calibri"/>
                <w:color w:val="000000"/>
                <w:sz w:val="20"/>
                <w:szCs w:val="20"/>
              </w:rPr>
            </w:pPr>
          </w:p>
        </w:tc>
        <w:tc>
          <w:tcPr>
            <w:tcW w:w="2410"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r>
      <w:tr w:rsidR="00BC6644" w:rsidRPr="00EB63BB" w:rsidTr="00BC6644">
        <w:trPr>
          <w:divId w:val="1875539963"/>
          <w:trHeight w:val="315"/>
        </w:trPr>
        <w:tc>
          <w:tcPr>
            <w:tcW w:w="98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4</w:t>
            </w:r>
          </w:p>
        </w:tc>
        <w:tc>
          <w:tcPr>
            <w:tcW w:w="8646"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 de Ingresos Contables</w:t>
            </w:r>
          </w:p>
        </w:tc>
        <w:tc>
          <w:tcPr>
            <w:tcW w:w="2410"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$30,521,902,407.73</w:t>
            </w:r>
          </w:p>
        </w:tc>
      </w:tr>
      <w:tr w:rsidR="00BC6644" w:rsidRPr="00EB63BB" w:rsidTr="00BC6644">
        <w:trPr>
          <w:divId w:val="1875539963"/>
          <w:trHeight w:val="300"/>
        </w:trPr>
        <w:tc>
          <w:tcPr>
            <w:tcW w:w="983" w:type="dxa"/>
            <w:tcBorders>
              <w:top w:val="nil"/>
              <w:left w:val="nil"/>
              <w:bottom w:val="nil"/>
              <w:right w:val="nil"/>
            </w:tcBorders>
            <w:shd w:val="clear" w:color="auto" w:fill="auto"/>
            <w:noWrap/>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p>
        </w:tc>
        <w:tc>
          <w:tcPr>
            <w:tcW w:w="8646"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c>
          <w:tcPr>
            <w:tcW w:w="2410"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r>
      <w:tr w:rsidR="00BC6644" w:rsidRPr="00EB63BB" w:rsidTr="00BC6644">
        <w:trPr>
          <w:divId w:val="1875539963"/>
          <w:trHeight w:val="315"/>
        </w:trPr>
        <w:tc>
          <w:tcPr>
            <w:tcW w:w="983" w:type="dxa"/>
            <w:tcBorders>
              <w:top w:val="nil"/>
              <w:left w:val="nil"/>
              <w:bottom w:val="nil"/>
              <w:right w:val="nil"/>
            </w:tcBorders>
            <w:shd w:val="clear" w:color="auto" w:fill="auto"/>
            <w:noWrap/>
            <w:vAlign w:val="center"/>
            <w:hideMark/>
          </w:tcPr>
          <w:p w:rsidR="00BC6644" w:rsidRPr="00EB63BB" w:rsidRDefault="00BC6644" w:rsidP="00BC6644">
            <w:pPr>
              <w:spacing w:after="0" w:line="240" w:lineRule="auto"/>
              <w:rPr>
                <w:rFonts w:ascii="Lato" w:eastAsia="Times New Roman" w:hAnsi="Lato" w:cs="Times New Roman"/>
                <w:sz w:val="20"/>
                <w:szCs w:val="20"/>
              </w:rPr>
            </w:pPr>
          </w:p>
        </w:tc>
        <w:tc>
          <w:tcPr>
            <w:tcW w:w="8646"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c>
          <w:tcPr>
            <w:tcW w:w="2410"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r>
      <w:tr w:rsidR="00BC6644" w:rsidRPr="00EB63BB" w:rsidTr="00BC6644">
        <w:trPr>
          <w:divId w:val="1875539963"/>
          <w:trHeight w:val="420"/>
        </w:trPr>
        <w:tc>
          <w:tcPr>
            <w:tcW w:w="12039" w:type="dxa"/>
            <w:gridSpan w:val="3"/>
            <w:tcBorders>
              <w:top w:val="single" w:sz="8" w:space="0" w:color="auto"/>
              <w:left w:val="single" w:sz="8" w:space="0" w:color="auto"/>
              <w:bottom w:val="nil"/>
              <w:right w:val="single" w:sz="8" w:space="0" w:color="000000"/>
            </w:tcBorders>
            <w:shd w:val="clear" w:color="auto" w:fill="auto"/>
            <w:vAlign w:val="center"/>
            <w:hideMark/>
          </w:tcPr>
          <w:p w:rsidR="00BC6644" w:rsidRPr="00EB63BB" w:rsidRDefault="00BC6644" w:rsidP="00BC664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ENTE PUBLICO: PODER EJECUTIVO</w:t>
            </w:r>
          </w:p>
        </w:tc>
      </w:tr>
      <w:tr w:rsidR="00BC6644" w:rsidRPr="00EB63BB" w:rsidTr="00BC6644">
        <w:trPr>
          <w:divId w:val="1875539963"/>
          <w:trHeight w:val="420"/>
        </w:trPr>
        <w:tc>
          <w:tcPr>
            <w:tcW w:w="12039" w:type="dxa"/>
            <w:gridSpan w:val="3"/>
            <w:tcBorders>
              <w:top w:val="nil"/>
              <w:left w:val="single" w:sz="8" w:space="0" w:color="auto"/>
              <w:bottom w:val="nil"/>
              <w:right w:val="single" w:sz="8" w:space="0" w:color="000000"/>
            </w:tcBorders>
            <w:shd w:val="clear" w:color="auto" w:fill="auto"/>
            <w:vAlign w:val="center"/>
            <w:hideMark/>
          </w:tcPr>
          <w:p w:rsidR="00BC6644" w:rsidRPr="00EB63BB" w:rsidRDefault="00BC6644" w:rsidP="00BC664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Conciliación entre los Egresos Presupuestarios y Contables.</w:t>
            </w:r>
          </w:p>
        </w:tc>
      </w:tr>
      <w:tr w:rsidR="00BC6644" w:rsidRPr="00EB63BB" w:rsidTr="00BC6644">
        <w:trPr>
          <w:divId w:val="1875539963"/>
          <w:trHeight w:val="540"/>
        </w:trPr>
        <w:tc>
          <w:tcPr>
            <w:tcW w:w="12039" w:type="dxa"/>
            <w:gridSpan w:val="3"/>
            <w:tcBorders>
              <w:top w:val="nil"/>
              <w:left w:val="single" w:sz="8" w:space="0" w:color="auto"/>
              <w:bottom w:val="nil"/>
              <w:right w:val="single" w:sz="8" w:space="0" w:color="000000"/>
            </w:tcBorders>
            <w:shd w:val="clear" w:color="auto" w:fill="auto"/>
            <w:vAlign w:val="center"/>
            <w:hideMark/>
          </w:tcPr>
          <w:p w:rsidR="00BC6644" w:rsidRPr="00EB63BB" w:rsidRDefault="00BC6644" w:rsidP="00BC664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DEL 1o DE ENERO AL 30 DE JUNIO DE 2026</w:t>
            </w:r>
          </w:p>
        </w:tc>
      </w:tr>
      <w:tr w:rsidR="00BC6644" w:rsidRPr="00EB63BB" w:rsidTr="00BC6644">
        <w:trPr>
          <w:divId w:val="1875539963"/>
          <w:trHeight w:val="480"/>
        </w:trPr>
        <w:tc>
          <w:tcPr>
            <w:tcW w:w="12039" w:type="dxa"/>
            <w:gridSpan w:val="3"/>
            <w:tcBorders>
              <w:top w:val="nil"/>
              <w:left w:val="single" w:sz="8" w:space="0" w:color="auto"/>
              <w:bottom w:val="single" w:sz="8" w:space="0" w:color="auto"/>
              <w:right w:val="single" w:sz="8" w:space="0" w:color="000000"/>
            </w:tcBorders>
            <w:shd w:val="clear" w:color="auto" w:fill="auto"/>
            <w:vAlign w:val="center"/>
            <w:hideMark/>
          </w:tcPr>
          <w:p w:rsidR="00BC6644" w:rsidRPr="00EB63BB" w:rsidRDefault="00BC6644" w:rsidP="00BC664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(Cifras en pesos)</w:t>
            </w:r>
          </w:p>
        </w:tc>
      </w:tr>
      <w:tr w:rsidR="00BC6644" w:rsidRPr="00EB63BB" w:rsidTr="00BC6644">
        <w:trPr>
          <w:divId w:val="1875539963"/>
          <w:trHeight w:val="300"/>
        </w:trPr>
        <w:tc>
          <w:tcPr>
            <w:tcW w:w="983" w:type="dxa"/>
            <w:tcBorders>
              <w:top w:val="nil"/>
              <w:left w:val="nil"/>
              <w:bottom w:val="nil"/>
              <w:right w:val="nil"/>
            </w:tcBorders>
            <w:shd w:val="clear" w:color="auto" w:fill="auto"/>
            <w:noWrap/>
            <w:vAlign w:val="center"/>
            <w:hideMark/>
          </w:tcPr>
          <w:p w:rsidR="00BC6644" w:rsidRPr="00EB63BB" w:rsidRDefault="00BC6644" w:rsidP="00BC6644">
            <w:pPr>
              <w:spacing w:after="0" w:line="240" w:lineRule="auto"/>
              <w:jc w:val="center"/>
              <w:rPr>
                <w:rFonts w:ascii="Lato" w:eastAsia="Times New Roman" w:hAnsi="Lato" w:cs="Calibri"/>
                <w:b/>
                <w:bCs/>
                <w:color w:val="000000"/>
                <w:sz w:val="20"/>
                <w:szCs w:val="20"/>
              </w:rPr>
            </w:pPr>
          </w:p>
        </w:tc>
        <w:tc>
          <w:tcPr>
            <w:tcW w:w="8646"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c>
          <w:tcPr>
            <w:tcW w:w="2410"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r>
      <w:tr w:rsidR="00BC6644" w:rsidRPr="00EB63BB" w:rsidTr="00BC6644">
        <w:trPr>
          <w:divId w:val="1875539963"/>
          <w:trHeight w:val="300"/>
        </w:trPr>
        <w:tc>
          <w:tcPr>
            <w:tcW w:w="983" w:type="dxa"/>
            <w:tcBorders>
              <w:top w:val="nil"/>
              <w:left w:val="nil"/>
              <w:bottom w:val="nil"/>
              <w:right w:val="nil"/>
            </w:tcBorders>
            <w:shd w:val="clear" w:color="auto" w:fill="auto"/>
            <w:vAlign w:val="center"/>
            <w:hideMark/>
          </w:tcPr>
          <w:p w:rsidR="00BC6644" w:rsidRPr="00EB63BB" w:rsidRDefault="00BC6644" w:rsidP="00BC6644">
            <w:pPr>
              <w:spacing w:after="0" w:line="240" w:lineRule="auto"/>
              <w:rPr>
                <w:rFonts w:ascii="Lato" w:eastAsia="Times New Roman" w:hAnsi="Lato" w:cs="Times New Roman"/>
                <w:sz w:val="20"/>
                <w:szCs w:val="20"/>
              </w:rPr>
            </w:pPr>
          </w:p>
        </w:tc>
        <w:tc>
          <w:tcPr>
            <w:tcW w:w="8646"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c>
          <w:tcPr>
            <w:tcW w:w="2410"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r>
      <w:tr w:rsidR="00BC6644" w:rsidRPr="00EB63BB" w:rsidTr="00BC6644">
        <w:trPr>
          <w:divId w:val="1875539963"/>
          <w:trHeight w:val="315"/>
        </w:trPr>
        <w:tc>
          <w:tcPr>
            <w:tcW w:w="983" w:type="dxa"/>
            <w:tcBorders>
              <w:top w:val="nil"/>
              <w:left w:val="nil"/>
              <w:bottom w:val="nil"/>
              <w:right w:val="nil"/>
            </w:tcBorders>
            <w:shd w:val="clear" w:color="auto" w:fill="auto"/>
            <w:noWrap/>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   </w:t>
            </w:r>
          </w:p>
        </w:tc>
        <w:tc>
          <w:tcPr>
            <w:tcW w:w="8646"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Calibri"/>
                <w:color w:val="000000"/>
                <w:sz w:val="20"/>
                <w:szCs w:val="20"/>
              </w:rPr>
            </w:pPr>
          </w:p>
        </w:tc>
        <w:tc>
          <w:tcPr>
            <w:tcW w:w="2410"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r>
      <w:tr w:rsidR="00BC6644" w:rsidRPr="00EB63BB" w:rsidTr="00BC6644">
        <w:trPr>
          <w:divId w:val="1875539963"/>
          <w:trHeight w:val="315"/>
        </w:trPr>
        <w:tc>
          <w:tcPr>
            <w:tcW w:w="98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 </w:t>
            </w:r>
          </w:p>
        </w:tc>
        <w:tc>
          <w:tcPr>
            <w:tcW w:w="8646"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Concepto</w:t>
            </w:r>
          </w:p>
        </w:tc>
        <w:tc>
          <w:tcPr>
            <w:tcW w:w="2410"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center"/>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2026</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1</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 de egresos presupuestarios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$28,553,341,714.98</w:t>
            </w:r>
          </w:p>
        </w:tc>
      </w:tr>
      <w:tr w:rsidR="00BC6644" w:rsidRPr="00EB63BB" w:rsidTr="00BC6644">
        <w:trPr>
          <w:divId w:val="1875539963"/>
          <w:trHeight w:val="315"/>
        </w:trPr>
        <w:tc>
          <w:tcPr>
            <w:tcW w:w="983" w:type="dxa"/>
            <w:tcBorders>
              <w:top w:val="nil"/>
              <w:left w:val="nil"/>
              <w:bottom w:val="nil"/>
              <w:right w:val="nil"/>
            </w:tcBorders>
            <w:shd w:val="clear" w:color="auto" w:fill="auto"/>
            <w:noWrap/>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   </w:t>
            </w:r>
          </w:p>
        </w:tc>
        <w:tc>
          <w:tcPr>
            <w:tcW w:w="8646"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Calibri"/>
                <w:color w:val="000000"/>
                <w:sz w:val="20"/>
                <w:szCs w:val="20"/>
              </w:rPr>
            </w:pPr>
          </w:p>
        </w:tc>
        <w:tc>
          <w:tcPr>
            <w:tcW w:w="2410"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r>
      <w:tr w:rsidR="00BC6644" w:rsidRPr="00EB63BB" w:rsidTr="00BC6644">
        <w:trPr>
          <w:divId w:val="1875539963"/>
          <w:trHeight w:val="315"/>
        </w:trPr>
        <w:tc>
          <w:tcPr>
            <w:tcW w:w="98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w:t>
            </w:r>
          </w:p>
        </w:tc>
        <w:tc>
          <w:tcPr>
            <w:tcW w:w="8646"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Menos egresos presupuestarios No contables</w:t>
            </w:r>
          </w:p>
        </w:tc>
        <w:tc>
          <w:tcPr>
            <w:tcW w:w="2410"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$762,790,581.28</w:t>
            </w:r>
          </w:p>
        </w:tc>
      </w:tr>
      <w:tr w:rsidR="00BC6644" w:rsidRPr="00EB63BB" w:rsidTr="00BC6644">
        <w:trPr>
          <w:divId w:val="1875539963"/>
          <w:trHeight w:val="55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2.1</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Materias Primas Y Materiales De Producción Y Comercialización</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$6,775.00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2.2</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Materiales Y Suministros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$571,621,019.19</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2.3</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Mobiliario Y Equipo De Administración</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$16,758,309.79</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2.4</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Mobiliario Y Equipo Educacional Y Recreativo</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$674,585.49</w:t>
            </w:r>
          </w:p>
        </w:tc>
      </w:tr>
      <w:tr w:rsidR="00BC6644" w:rsidRPr="00EB63BB" w:rsidTr="00BC6644">
        <w:trPr>
          <w:divId w:val="1875539963"/>
          <w:trHeight w:val="55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2.5</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Equipo E Instrumental Médico Y De Laboratorio</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$172,000.00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2.6</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Vehículos Y Equipo De Transporte</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$613,420.00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2.7</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Equipo De Defensa Y Seguridad</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$35,208,108.09</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2.8</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Maquinaria, Otros Equipos Y Herramientas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$3,956,853.99</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2.9</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Activos Biológicos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2.1</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Bienes Inmuebles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2.11</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Activos Intangibles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$19,862,826.44</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lastRenderedPageBreak/>
              <w:t>2.12</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Obra Pública En Bienes De Dominio Público</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2.13</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Obra Pública En Bienes Propios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$33,480,288.79</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2.14</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Acciones Y Participaciones De Capital</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$618,824.00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2.15</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Compra de Títulos y Valores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2.16</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Concesión De Préstamos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55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2.17</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Inversiones en Fideicomisos, Mandatos y Otros Análogos.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55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2.18</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Provisiones Para Contingencias Y Otras Erogaciones Especiales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2.19</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Amortización De La Deuda Pública</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$79,817,570.50</w:t>
            </w:r>
          </w:p>
        </w:tc>
      </w:tr>
      <w:tr w:rsidR="00BC6644" w:rsidRPr="00EB63BB" w:rsidTr="00BC6644">
        <w:trPr>
          <w:divId w:val="1875539963"/>
          <w:trHeight w:val="55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2.2</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Adeudos De Ejercicios Fiscales Anteriores (Adefas)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2.21</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Otros Egresos Presupuestarios No Contables.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nil"/>
              <w:bottom w:val="nil"/>
              <w:right w:val="nil"/>
            </w:tcBorders>
            <w:shd w:val="clear" w:color="auto" w:fill="auto"/>
            <w:noWrap/>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   </w:t>
            </w:r>
          </w:p>
        </w:tc>
        <w:tc>
          <w:tcPr>
            <w:tcW w:w="8646"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Calibri"/>
                <w:color w:val="000000"/>
                <w:sz w:val="20"/>
                <w:szCs w:val="20"/>
              </w:rPr>
            </w:pPr>
          </w:p>
        </w:tc>
        <w:tc>
          <w:tcPr>
            <w:tcW w:w="2410"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r>
      <w:tr w:rsidR="00BC6644" w:rsidRPr="00EB63BB" w:rsidTr="00BC6644">
        <w:trPr>
          <w:divId w:val="1875539963"/>
          <w:trHeight w:val="315"/>
        </w:trPr>
        <w:tc>
          <w:tcPr>
            <w:tcW w:w="98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3</w:t>
            </w:r>
          </w:p>
        </w:tc>
        <w:tc>
          <w:tcPr>
            <w:tcW w:w="8646"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Más Gastos Contables no Presupuestarios</w:t>
            </w:r>
          </w:p>
        </w:tc>
        <w:tc>
          <w:tcPr>
            <w:tcW w:w="2410"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$719,659,911.45</w:t>
            </w:r>
          </w:p>
        </w:tc>
      </w:tr>
      <w:tr w:rsidR="00BC6644" w:rsidRPr="00EB63BB" w:rsidTr="00BC6644">
        <w:trPr>
          <w:divId w:val="1875539963"/>
          <w:trHeight w:val="55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3.1</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Estimaciones, Depreciaciones, Deterioros, Obsolescencia Y Amortizaciones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$170,379,511.00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3.2</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Provisiones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3.3</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Disminución De Inventarios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3.4</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Otros Gastos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$3,868,706.06</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3.5</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Inversión Pública No Capitalizable</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3.6</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Materiales Y Suministros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$545,411,694.39</w:t>
            </w:r>
          </w:p>
        </w:tc>
      </w:tr>
      <w:tr w:rsidR="00BC6644" w:rsidRPr="00EB63BB" w:rsidTr="00BC6644">
        <w:trPr>
          <w:divId w:val="1875539963"/>
          <w:trHeight w:val="315"/>
        </w:trPr>
        <w:tc>
          <w:tcPr>
            <w:tcW w:w="983" w:type="dxa"/>
            <w:tcBorders>
              <w:top w:val="nil"/>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3.7</w:t>
            </w:r>
          </w:p>
        </w:tc>
        <w:tc>
          <w:tcPr>
            <w:tcW w:w="8646"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Otros Gastos Contables No Presupuestarios.</w:t>
            </w:r>
          </w:p>
        </w:tc>
        <w:tc>
          <w:tcPr>
            <w:tcW w:w="2410" w:type="dxa"/>
            <w:tcBorders>
              <w:top w:val="nil"/>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$0.00</w:t>
            </w:r>
          </w:p>
        </w:tc>
      </w:tr>
      <w:tr w:rsidR="00BC6644" w:rsidRPr="00EB63BB" w:rsidTr="00BC6644">
        <w:trPr>
          <w:divId w:val="1875539963"/>
          <w:trHeight w:val="315"/>
        </w:trPr>
        <w:tc>
          <w:tcPr>
            <w:tcW w:w="983" w:type="dxa"/>
            <w:tcBorders>
              <w:top w:val="nil"/>
              <w:left w:val="nil"/>
              <w:bottom w:val="nil"/>
              <w:right w:val="nil"/>
            </w:tcBorders>
            <w:shd w:val="clear" w:color="auto" w:fill="auto"/>
            <w:noWrap/>
            <w:vAlign w:val="center"/>
            <w:hideMark/>
          </w:tcPr>
          <w:p w:rsidR="00BC6644" w:rsidRPr="00EB63BB" w:rsidRDefault="00BC6644" w:rsidP="00BC6644">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   </w:t>
            </w:r>
          </w:p>
        </w:tc>
        <w:tc>
          <w:tcPr>
            <w:tcW w:w="8646"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Calibri"/>
                <w:color w:val="000000"/>
                <w:sz w:val="20"/>
                <w:szCs w:val="20"/>
              </w:rPr>
            </w:pPr>
          </w:p>
        </w:tc>
        <w:tc>
          <w:tcPr>
            <w:tcW w:w="2410" w:type="dxa"/>
            <w:tcBorders>
              <w:top w:val="nil"/>
              <w:left w:val="nil"/>
              <w:bottom w:val="nil"/>
              <w:right w:val="nil"/>
            </w:tcBorders>
            <w:shd w:val="clear" w:color="auto" w:fill="auto"/>
            <w:noWrap/>
            <w:vAlign w:val="bottom"/>
            <w:hideMark/>
          </w:tcPr>
          <w:p w:rsidR="00BC6644" w:rsidRPr="00EB63BB" w:rsidRDefault="00BC6644" w:rsidP="00BC6644">
            <w:pPr>
              <w:spacing w:after="0" w:line="240" w:lineRule="auto"/>
              <w:rPr>
                <w:rFonts w:ascii="Lato" w:eastAsia="Times New Roman" w:hAnsi="Lato" w:cs="Times New Roman"/>
                <w:sz w:val="20"/>
                <w:szCs w:val="20"/>
              </w:rPr>
            </w:pPr>
          </w:p>
        </w:tc>
      </w:tr>
      <w:tr w:rsidR="00BC6644" w:rsidRPr="00EB63BB" w:rsidTr="00BC6644">
        <w:trPr>
          <w:divId w:val="1875539963"/>
          <w:trHeight w:val="315"/>
        </w:trPr>
        <w:tc>
          <w:tcPr>
            <w:tcW w:w="98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4</w:t>
            </w:r>
          </w:p>
        </w:tc>
        <w:tc>
          <w:tcPr>
            <w:tcW w:w="8646"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 de Gasto Contables</w:t>
            </w:r>
          </w:p>
        </w:tc>
        <w:tc>
          <w:tcPr>
            <w:tcW w:w="2410" w:type="dxa"/>
            <w:tcBorders>
              <w:top w:val="single" w:sz="8" w:space="0" w:color="000000"/>
              <w:left w:val="nil"/>
              <w:bottom w:val="single" w:sz="8" w:space="0" w:color="000000"/>
              <w:right w:val="single" w:sz="8" w:space="0" w:color="000000"/>
            </w:tcBorders>
            <w:shd w:val="clear" w:color="auto" w:fill="auto"/>
            <w:vAlign w:val="center"/>
            <w:hideMark/>
          </w:tcPr>
          <w:p w:rsidR="00BC6644" w:rsidRPr="00EB63BB" w:rsidRDefault="00BC6644" w:rsidP="00BC6644">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$28,510,211,045.15</w:t>
            </w:r>
          </w:p>
        </w:tc>
      </w:tr>
    </w:tbl>
    <w:p w:rsidR="00BC6644" w:rsidRPr="00EB63BB" w:rsidRDefault="00BC6644">
      <w:pPr>
        <w:divId w:val="1875539963"/>
        <w:rPr>
          <w:rStyle w:val="Textoennegrita"/>
          <w:rFonts w:ascii="Lato" w:eastAsia="Times New Roman" w:hAnsi="Lato"/>
          <w:sz w:val="20"/>
          <w:szCs w:val="20"/>
        </w:rPr>
      </w:pPr>
    </w:p>
    <w:p w:rsidR="00BC6644" w:rsidRPr="00EB63BB" w:rsidRDefault="00BC6644">
      <w:pPr>
        <w:divId w:val="1875539963"/>
        <w:rPr>
          <w:rStyle w:val="Textoennegrita"/>
          <w:rFonts w:ascii="Lato" w:eastAsia="Times New Roman" w:hAnsi="Lato"/>
          <w:sz w:val="20"/>
          <w:szCs w:val="20"/>
        </w:rPr>
      </w:pPr>
    </w:p>
    <w:p w:rsidR="00BC6644" w:rsidRPr="00EB63BB" w:rsidRDefault="00BC6644">
      <w:pPr>
        <w:divId w:val="1875539963"/>
        <w:rPr>
          <w:rStyle w:val="Textoennegrita"/>
          <w:rFonts w:ascii="Lato" w:eastAsia="Times New Roman" w:hAnsi="Lato"/>
          <w:sz w:val="20"/>
          <w:szCs w:val="20"/>
        </w:rPr>
      </w:pPr>
    </w:p>
    <w:p w:rsidR="00B027B5" w:rsidRPr="00EB63BB" w:rsidRDefault="00B027B5">
      <w:pPr>
        <w:divId w:val="35980657"/>
        <w:rPr>
          <w:rFonts w:ascii="Lato" w:eastAsia="Times New Roman" w:hAnsi="Lato"/>
          <w:vanish/>
          <w:sz w:val="20"/>
          <w:szCs w:val="20"/>
        </w:rPr>
      </w:pPr>
      <w:bookmarkStart w:id="0" w:name="_GoBack"/>
      <w:bookmarkEnd w:id="0"/>
    </w:p>
    <w:p w:rsidR="00B027B5" w:rsidRPr="00EB63BB" w:rsidRDefault="00642EB6">
      <w:pPr>
        <w:divId w:val="175850710"/>
        <w:rPr>
          <w:rFonts w:ascii="Lato" w:eastAsia="Times New Roman" w:hAnsi="Lato"/>
          <w:sz w:val="20"/>
          <w:szCs w:val="20"/>
        </w:rPr>
      </w:pPr>
      <w:r w:rsidRPr="00EB63BB">
        <w:rPr>
          <w:rStyle w:val="Textoennegrita"/>
          <w:rFonts w:ascii="Lato" w:eastAsia="Times New Roman" w:hAnsi="Lato"/>
          <w:sz w:val="20"/>
          <w:szCs w:val="20"/>
        </w:rPr>
        <w:t>C) NOTAS DE MEMORIA</w:t>
      </w:r>
    </w:p>
    <w:p w:rsidR="00B027B5" w:rsidRPr="00EB63BB" w:rsidRDefault="00642EB6">
      <w:pPr>
        <w:divId w:val="1448160104"/>
        <w:rPr>
          <w:rFonts w:ascii="Lato" w:eastAsia="Times New Roman" w:hAnsi="Lato"/>
          <w:sz w:val="20"/>
          <w:szCs w:val="20"/>
        </w:rPr>
      </w:pPr>
      <w:r w:rsidRPr="00EB63BB">
        <w:rPr>
          <w:rFonts w:ascii="Lato" w:eastAsia="Times New Roman" w:hAnsi="Lato"/>
          <w:sz w:val="20"/>
          <w:szCs w:val="20"/>
        </w:rPr>
        <w:t>Los saldos de las cuentas de orden contables y presupuestales se presentan a continuación:</w:t>
      </w:r>
    </w:p>
    <w:p w:rsidR="00B027B5" w:rsidRPr="00EB63BB" w:rsidRDefault="00642EB6">
      <w:pPr>
        <w:divId w:val="1285427342"/>
        <w:rPr>
          <w:rFonts w:ascii="Lato" w:eastAsia="Times New Roman" w:hAnsi="Lato"/>
          <w:sz w:val="20"/>
          <w:szCs w:val="20"/>
        </w:rPr>
      </w:pPr>
      <w:r w:rsidRPr="00EB63BB">
        <w:rPr>
          <w:rFonts w:ascii="Lato" w:eastAsia="Times New Roman" w:hAnsi="Lato" w:cs="Times New Roman"/>
          <w:sz w:val="20"/>
          <w:szCs w:val="20"/>
        </w:rPr>
        <w:t>●</w:t>
      </w:r>
      <w:r w:rsidRPr="00EB63BB">
        <w:rPr>
          <w:rFonts w:ascii="Lato" w:eastAsia="Times New Roman" w:hAnsi="Lato"/>
          <w:sz w:val="20"/>
          <w:szCs w:val="20"/>
        </w:rPr>
        <w:t xml:space="preserve"> Cuentas contables.</w:t>
      </w:r>
    </w:p>
    <w:tbl>
      <w:tblPr>
        <w:tblW w:w="8100" w:type="dxa"/>
        <w:tblCellMar>
          <w:left w:w="70" w:type="dxa"/>
          <w:right w:w="70" w:type="dxa"/>
        </w:tblCellMar>
        <w:tblLook w:val="04A0" w:firstRow="1" w:lastRow="0" w:firstColumn="1" w:lastColumn="0" w:noHBand="0" w:noVBand="1"/>
      </w:tblPr>
      <w:tblGrid>
        <w:gridCol w:w="5620"/>
        <w:gridCol w:w="2480"/>
      </w:tblGrid>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CUENTAS DE ORDEN CONTABLES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VALORES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VALORES EN CUSTODIA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CUSTODIA DE VALORES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74,500.00</w:t>
            </w: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INSTRUMENTOS DE CRÉDITO PRESTADOS A FORMADORES DE MERCADO</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PRÉSTAMO DE INSTRUMENTOS DE CRÉDITO A FORMADORES DE MERCADO Y SU GARANTÍA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INSTRUMENTOS DE CRÉDITO RECIBIDOS EN GARANTÍA DE LOS FORMADORES DE MERCADO</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GARANTÍA DE CRÉDITOS RECIBIDOS DE LOS FORMADORES DE MERCADO</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EMISION DE OBLIGACIONES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AUTORIZACIÓN PARA LA EMISIÓN DE BONOS, TÍTULOS Y VALORES DE LA DEUDA PÚBLICA INTERNA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AUTORIZACIÓN PARA LA EMISIÓN DE BONOS, TÍTULOS Y VALORES DE LA DEUDA PÚBLICA EXTERNA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EMISIONES AUTORIZADAS DE LA DEUDA PÚBLICA INTERNA Y EXTERNA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SUSCRIPCIÓN DE CONTRATOS DE PRÉSTAMOS Y OTRAS OBLIGACIONES DE LA DEUDA PÚBLICA INTERNA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SUSCRIPCIÓN DE CONTRATOS DE PRÉSTAMOS Y OTRAS OBLIGACIONES DE LA DEUDA PÚBLICA EXTERNA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CONTRATOS DE PRÉSTAMOS Y OTRAS OBLIGACIONES DE LA DEUDA PÚBLICA INTERNA Y EXTERNA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552,611,615.56</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AVALES Y GARANTIAS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AVALES AUTORIZADOS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AVALES FIRMADOS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lastRenderedPageBreak/>
              <w:t>FIANZAS Y GARANTÍAS RECIBIDAS POR DEUDAS A COBRAR</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FIANZAS Y GARANTÍAS RECIBIDAS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19,000.10</w:t>
            </w: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FIANZAS OTORGADAS PARA RESPALDAR OBLIGACIONES NO FISCALES DEL GOBIERNO</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FIANZAS OTORGADAS DEL GOBIERNO PARA RESPALDAR OBLIGACIONES NO FISCALES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JUICIOS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DEMANDAS JUDICIAL EN PROCESO DE RESOLUCIÓN</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RESOLUCIÓN DE DEMANDAS EN PROCESO JUDICIAL</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INVERSION MEDIANTE PROYECTOS PARA PRESTACION DE SERVICIOS (PPS) Y SIMILARES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CONTRATOS PARA INVERSIÓN MEDIANTE PROYECTOS PARA PRESTACIÓN DE SERVICIOS (PPS) Y SIMILARES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765"/>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INVERSIÓN PÚBLICA CONTRATADA MEDIANTE PROYECTOS PARA PRESTACIÓN DE SERVICIOS (PPS) Y SIMILARES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BIENES EN CONCESIONADOS O EN COMODATO</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BIENES BAJO CONTRATO EN CONCESIÓN</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CONTRATO DE CONCESIÓN POR BIENES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BIENES BAJO CONTRATO EN COMODATO</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CONTRATO DE COMODATO POR BIENES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51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BIENES ARQUEOLÓGICOS, ARTÍSTICOS E HISTÓRICOS EN CUSTODIA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BIENES ARQUEOLÓGICOS EN CUSTODIA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CUSTODIA DE BIENES ARQUEOLÓGICOS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BIENES ARTÍSTICOS EN CUSTODIA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CUSTODIA DE BIENES ARTÍSTICOS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BIENES HISTÓRICOS EN CUSTODIA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15"/>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CUSTODIA DE BIENES HISTÓRICOS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53</w:t>
            </w:r>
          </w:p>
        </w:tc>
      </w:tr>
      <w:tr w:rsidR="0075488C" w:rsidRPr="00EB63BB" w:rsidTr="0075488C">
        <w:trPr>
          <w:divId w:val="1285427342"/>
          <w:trHeight w:val="33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TOTAL</w:t>
            </w:r>
          </w:p>
        </w:tc>
        <w:tc>
          <w:tcPr>
            <w:tcW w:w="2480" w:type="dxa"/>
            <w:tcBorders>
              <w:top w:val="single" w:sz="12" w:space="0" w:color="000000"/>
              <w:left w:val="nil"/>
              <w:bottom w:val="single" w:sz="12" w:space="0" w:color="000000"/>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552,705,168.66</w:t>
            </w:r>
          </w:p>
        </w:tc>
      </w:tr>
    </w:tbl>
    <w:p w:rsidR="0075488C" w:rsidRPr="00EB63BB" w:rsidRDefault="0075488C">
      <w:pPr>
        <w:divId w:val="1285427342"/>
        <w:rPr>
          <w:rFonts w:ascii="Lato" w:eastAsia="Times New Roman" w:hAnsi="Lato"/>
          <w:sz w:val="20"/>
          <w:szCs w:val="20"/>
        </w:rPr>
      </w:pPr>
    </w:p>
    <w:p w:rsidR="0075488C" w:rsidRPr="00EB63BB" w:rsidRDefault="0075488C">
      <w:pPr>
        <w:divId w:val="1285427342"/>
        <w:rPr>
          <w:rFonts w:ascii="Lato" w:eastAsia="Times New Roman" w:hAnsi="Lato"/>
          <w:sz w:val="20"/>
          <w:szCs w:val="20"/>
        </w:rPr>
      </w:pPr>
    </w:p>
    <w:tbl>
      <w:tblPr>
        <w:tblW w:w="8100" w:type="dxa"/>
        <w:tblCellMar>
          <w:left w:w="70" w:type="dxa"/>
          <w:right w:w="70" w:type="dxa"/>
        </w:tblCellMar>
        <w:tblLook w:val="04A0" w:firstRow="1" w:lastRow="0" w:firstColumn="1" w:lastColumn="0" w:noHBand="0" w:noVBand="1"/>
      </w:tblPr>
      <w:tblGrid>
        <w:gridCol w:w="5620"/>
        <w:gridCol w:w="2480"/>
      </w:tblGrid>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LEY DE INGRESOS ESTIMADA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66,407,949,735.00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LEY DE INGRESOS POR EJECUTAR</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35,886,047,327.27</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MODIFICACIONES A LA LEY DE INGRESOS ESTIMADA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LEY DE INGRESOS DEVENGADA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LEY DE INGRESOS RECAUDADA</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30,521,902,407.73</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r w:rsidRPr="00EB63BB">
              <w:rPr>
                <w:rFonts w:ascii="Lato" w:eastAsia="Times New Roman" w:hAnsi="Lato" w:cs="Calibri"/>
                <w:b/>
                <w:bCs/>
                <w:color w:val="000000"/>
                <w:sz w:val="20"/>
                <w:szCs w:val="20"/>
              </w:rPr>
              <w:t>PRESUPUESTO DE EGRESOS</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b/>
                <w:bCs/>
                <w:color w:val="000000"/>
                <w:sz w:val="20"/>
                <w:szCs w:val="20"/>
              </w:rPr>
            </w:pP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PRESUPUESTO DE EGRESOS APROBADO</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66,379,310,677.00</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MODIFICACIONES AL PRESUPUESTO DE EGRESOS APROBADO</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1,204,720,024.24</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PRESUPUESTO DE EGRESOS POR EJERCER</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38,114,610,790.74</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PRESUPUESTO DE EGRESOS COMPROMETIDO</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916,078,195.52</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PRESUPUESTO DE EGRESOS DEVENGADO</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814,834,772.81</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PRESUPUESTO DE EGRESOS EJERCIDO</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72,616,228.04</w:t>
            </w:r>
          </w:p>
        </w:tc>
      </w:tr>
      <w:tr w:rsidR="0075488C" w:rsidRPr="00EB63BB" w:rsidTr="0075488C">
        <w:trPr>
          <w:divId w:val="1285427342"/>
          <w:trHeight w:val="300"/>
        </w:trPr>
        <w:tc>
          <w:tcPr>
            <w:tcW w:w="562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rPr>
                <w:rFonts w:ascii="Lato" w:eastAsia="Times New Roman" w:hAnsi="Lato" w:cs="Calibri"/>
                <w:color w:val="000000"/>
                <w:sz w:val="20"/>
                <w:szCs w:val="20"/>
              </w:rPr>
            </w:pPr>
            <w:r w:rsidRPr="00EB63BB">
              <w:rPr>
                <w:rFonts w:ascii="Lato" w:eastAsia="Times New Roman" w:hAnsi="Lato" w:cs="Calibri"/>
                <w:color w:val="000000"/>
                <w:sz w:val="20"/>
                <w:szCs w:val="20"/>
              </w:rPr>
              <w:t>PRESUPUESTO DE EGRESOS PAGADO</w:t>
            </w:r>
          </w:p>
        </w:tc>
        <w:tc>
          <w:tcPr>
            <w:tcW w:w="2480" w:type="dxa"/>
            <w:tcBorders>
              <w:top w:val="nil"/>
              <w:left w:val="nil"/>
              <w:bottom w:val="nil"/>
              <w:right w:val="nil"/>
            </w:tcBorders>
            <w:shd w:val="clear" w:color="auto" w:fill="auto"/>
            <w:vAlign w:val="center"/>
            <w:hideMark/>
          </w:tcPr>
          <w:p w:rsidR="0075488C" w:rsidRPr="00EB63BB" w:rsidRDefault="0075488C" w:rsidP="0075488C">
            <w:pPr>
              <w:spacing w:after="0" w:line="240" w:lineRule="auto"/>
              <w:jc w:val="right"/>
              <w:rPr>
                <w:rFonts w:ascii="Lato" w:eastAsia="Times New Roman" w:hAnsi="Lato" w:cs="Calibri"/>
                <w:color w:val="000000"/>
                <w:sz w:val="20"/>
                <w:szCs w:val="20"/>
              </w:rPr>
            </w:pPr>
            <w:r w:rsidRPr="00EB63BB">
              <w:rPr>
                <w:rFonts w:ascii="Lato" w:eastAsia="Times New Roman" w:hAnsi="Lato" w:cs="Calibri"/>
                <w:color w:val="000000"/>
                <w:sz w:val="20"/>
                <w:szCs w:val="20"/>
              </w:rPr>
              <w:t>27,665,890,714.13</w:t>
            </w:r>
          </w:p>
        </w:tc>
      </w:tr>
    </w:tbl>
    <w:p w:rsidR="0075488C" w:rsidRPr="00EB63BB" w:rsidRDefault="0075488C">
      <w:pPr>
        <w:divId w:val="1285427342"/>
        <w:rPr>
          <w:rFonts w:ascii="Lato" w:eastAsia="Times New Roman" w:hAnsi="Lato"/>
          <w:sz w:val="20"/>
          <w:szCs w:val="20"/>
        </w:rPr>
      </w:pPr>
    </w:p>
    <w:p w:rsidR="0002693D" w:rsidRPr="00EB63BB" w:rsidRDefault="0002693D">
      <w:pPr>
        <w:divId w:val="1285427342"/>
        <w:rPr>
          <w:rFonts w:ascii="Lato" w:eastAsia="Times New Roman" w:hAnsi="Lato"/>
          <w:sz w:val="20"/>
          <w:szCs w:val="20"/>
        </w:rPr>
      </w:pPr>
    </w:p>
    <w:p w:rsidR="00B027B5" w:rsidRPr="00EB63BB" w:rsidRDefault="00642EB6">
      <w:pPr>
        <w:jc w:val="both"/>
        <w:divId w:val="35980657"/>
        <w:rPr>
          <w:rFonts w:ascii="Lato" w:eastAsia="Times New Roman" w:hAnsi="Lato"/>
          <w:sz w:val="20"/>
          <w:szCs w:val="20"/>
        </w:rPr>
      </w:pPr>
      <w:r w:rsidRPr="00EB63BB">
        <w:rPr>
          <w:rFonts w:ascii="Lato" w:eastAsia="Times New Roman" w:hAnsi="Lato"/>
          <w:sz w:val="20"/>
          <w:szCs w:val="20"/>
        </w:rPr>
        <w:t xml:space="preserve">Bajo protesta de decir verdad declaramos que los Estados Financieros y sus Notas son razonablemente correctos y </w:t>
      </w:r>
      <w:r w:rsidR="008C34AE" w:rsidRPr="00EB63BB">
        <w:rPr>
          <w:rFonts w:ascii="Lato" w:eastAsia="Times New Roman" w:hAnsi="Lato"/>
          <w:sz w:val="20"/>
          <w:szCs w:val="20"/>
        </w:rPr>
        <w:t xml:space="preserve">son </w:t>
      </w:r>
      <w:r w:rsidRPr="00EB63BB">
        <w:rPr>
          <w:rFonts w:ascii="Lato" w:eastAsia="Times New Roman" w:hAnsi="Lato"/>
          <w:sz w:val="20"/>
          <w:szCs w:val="20"/>
        </w:rPr>
        <w:t>responsabilidad del emisor.</w:t>
      </w:r>
    </w:p>
    <w:p w:rsidR="00642EB6" w:rsidRPr="00EB63BB" w:rsidRDefault="00642EB6">
      <w:pPr>
        <w:divId w:val="558326334"/>
        <w:rPr>
          <w:rFonts w:ascii="Lato" w:eastAsia="Times New Roman" w:hAnsi="Lato"/>
          <w:sz w:val="20"/>
          <w:szCs w:val="20"/>
        </w:rPr>
      </w:pPr>
    </w:p>
    <w:sectPr w:rsidR="00642EB6" w:rsidRPr="00EB63BB">
      <w:headerReference w:type="default" r:id="rId11"/>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A75" w:rsidRDefault="000D0A75" w:rsidP="00070B15">
      <w:pPr>
        <w:spacing w:after="0" w:line="240" w:lineRule="auto"/>
      </w:pPr>
      <w:r>
        <w:separator/>
      </w:r>
    </w:p>
  </w:endnote>
  <w:endnote w:type="continuationSeparator" w:id="0">
    <w:p w:rsidR="000D0A75" w:rsidRDefault="000D0A75" w:rsidP="00070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arlow">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oberana Sans">
    <w:panose1 w:val="00000000000000000000"/>
    <w:charset w:val="00"/>
    <w:family w:val="modern"/>
    <w:notTrueType/>
    <w:pitch w:val="variable"/>
    <w:sig w:usb0="800000AF" w:usb1="4000204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A75" w:rsidRDefault="000D0A75" w:rsidP="00070B15">
      <w:pPr>
        <w:spacing w:after="0" w:line="240" w:lineRule="auto"/>
      </w:pPr>
      <w:r>
        <w:separator/>
      </w:r>
    </w:p>
  </w:footnote>
  <w:footnote w:type="continuationSeparator" w:id="0">
    <w:p w:rsidR="000D0A75" w:rsidRDefault="000D0A75" w:rsidP="00070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650" w:rsidRDefault="008A1650">
    <w:pPr>
      <w:pStyle w:val="Encabezado"/>
    </w:pPr>
    <w:r>
      <w:rPr>
        <w:noProof/>
      </w:rPr>
      <w:drawing>
        <wp:inline distT="0" distB="0" distL="0" distR="0" wp14:anchorId="5A9C2F55">
          <wp:extent cx="2725420" cy="5486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5420" cy="5486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00C18"/>
    <w:multiLevelType w:val="hybridMultilevel"/>
    <w:tmpl w:val="23D2B816"/>
    <w:lvl w:ilvl="0" w:tplc="38708386">
      <w:start w:val="1"/>
      <w:numFmt w:val="lowerLetter"/>
      <w:lvlText w:val="%1)"/>
      <w:lvlJc w:val="left"/>
      <w:pPr>
        <w:ind w:left="1931" w:hanging="360"/>
      </w:pPr>
      <w:rPr>
        <w:rFonts w:hint="default"/>
        <w:color w:val="000000"/>
      </w:rPr>
    </w:lvl>
    <w:lvl w:ilvl="1" w:tplc="080A0019" w:tentative="1">
      <w:start w:val="1"/>
      <w:numFmt w:val="lowerLetter"/>
      <w:lvlText w:val="%2."/>
      <w:lvlJc w:val="left"/>
      <w:pPr>
        <w:ind w:left="2651" w:hanging="360"/>
      </w:pPr>
    </w:lvl>
    <w:lvl w:ilvl="2" w:tplc="080A001B" w:tentative="1">
      <w:start w:val="1"/>
      <w:numFmt w:val="lowerRoman"/>
      <w:lvlText w:val="%3."/>
      <w:lvlJc w:val="right"/>
      <w:pPr>
        <w:ind w:left="3371" w:hanging="180"/>
      </w:pPr>
    </w:lvl>
    <w:lvl w:ilvl="3" w:tplc="080A000F" w:tentative="1">
      <w:start w:val="1"/>
      <w:numFmt w:val="decimal"/>
      <w:lvlText w:val="%4."/>
      <w:lvlJc w:val="left"/>
      <w:pPr>
        <w:ind w:left="4091" w:hanging="360"/>
      </w:pPr>
    </w:lvl>
    <w:lvl w:ilvl="4" w:tplc="080A0019" w:tentative="1">
      <w:start w:val="1"/>
      <w:numFmt w:val="lowerLetter"/>
      <w:lvlText w:val="%5."/>
      <w:lvlJc w:val="left"/>
      <w:pPr>
        <w:ind w:left="4811" w:hanging="360"/>
      </w:pPr>
    </w:lvl>
    <w:lvl w:ilvl="5" w:tplc="080A001B" w:tentative="1">
      <w:start w:val="1"/>
      <w:numFmt w:val="lowerRoman"/>
      <w:lvlText w:val="%6."/>
      <w:lvlJc w:val="right"/>
      <w:pPr>
        <w:ind w:left="5531" w:hanging="180"/>
      </w:pPr>
    </w:lvl>
    <w:lvl w:ilvl="6" w:tplc="080A000F" w:tentative="1">
      <w:start w:val="1"/>
      <w:numFmt w:val="decimal"/>
      <w:lvlText w:val="%7."/>
      <w:lvlJc w:val="left"/>
      <w:pPr>
        <w:ind w:left="6251" w:hanging="360"/>
      </w:pPr>
    </w:lvl>
    <w:lvl w:ilvl="7" w:tplc="080A0019" w:tentative="1">
      <w:start w:val="1"/>
      <w:numFmt w:val="lowerLetter"/>
      <w:lvlText w:val="%8."/>
      <w:lvlJc w:val="left"/>
      <w:pPr>
        <w:ind w:left="6971" w:hanging="360"/>
      </w:pPr>
    </w:lvl>
    <w:lvl w:ilvl="8" w:tplc="080A001B" w:tentative="1">
      <w:start w:val="1"/>
      <w:numFmt w:val="lowerRoman"/>
      <w:lvlText w:val="%9."/>
      <w:lvlJc w:val="right"/>
      <w:pPr>
        <w:ind w:left="7691" w:hanging="180"/>
      </w:pPr>
    </w:lvl>
  </w:abstractNum>
  <w:abstractNum w:abstractNumId="1" w15:restartNumberingAfterBreak="0">
    <w:nsid w:val="2F760C53"/>
    <w:multiLevelType w:val="hybridMultilevel"/>
    <w:tmpl w:val="672ED804"/>
    <w:lvl w:ilvl="0" w:tplc="59C06C76">
      <w:start w:val="1"/>
      <w:numFmt w:val="decimal"/>
      <w:lvlText w:val="%1)"/>
      <w:lvlJc w:val="left"/>
      <w:pPr>
        <w:ind w:left="2345"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2CF30E4"/>
    <w:multiLevelType w:val="hybridMultilevel"/>
    <w:tmpl w:val="63C88314"/>
    <w:lvl w:ilvl="0" w:tplc="156E62CE">
      <w:start w:val="1"/>
      <w:numFmt w:val="lowerLetter"/>
      <w:lvlText w:val="%1)"/>
      <w:lvlJc w:val="left"/>
      <w:pPr>
        <w:ind w:left="765" w:hanging="360"/>
      </w:pPr>
      <w:rPr>
        <w:rFonts w:ascii="Barlow" w:eastAsia="Times New Roman" w:hAnsi="Barlow" w:cs="Arial"/>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6F5013AE"/>
    <w:multiLevelType w:val="hybridMultilevel"/>
    <w:tmpl w:val="E4E2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6F86C35"/>
    <w:multiLevelType w:val="hybridMultilevel"/>
    <w:tmpl w:val="A55C6504"/>
    <w:lvl w:ilvl="0" w:tplc="9F007178">
      <w:start w:val="1"/>
      <w:numFmt w:val="lowerLetter"/>
      <w:lvlText w:val="%1)"/>
      <w:lvlJc w:val="left"/>
      <w:pPr>
        <w:ind w:left="862" w:hanging="360"/>
      </w:pPr>
      <w:rPr>
        <w:rFonts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5" w15:restartNumberingAfterBreak="0">
    <w:nsid w:val="793B2F31"/>
    <w:multiLevelType w:val="hybridMultilevel"/>
    <w:tmpl w:val="440CD3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DA7"/>
    <w:rsid w:val="0001179A"/>
    <w:rsid w:val="0002693D"/>
    <w:rsid w:val="00060C5A"/>
    <w:rsid w:val="00062E5A"/>
    <w:rsid w:val="000706BE"/>
    <w:rsid w:val="00070B15"/>
    <w:rsid w:val="000D0A75"/>
    <w:rsid w:val="000D1B58"/>
    <w:rsid w:val="000E2316"/>
    <w:rsid w:val="000F156E"/>
    <w:rsid w:val="00105D69"/>
    <w:rsid w:val="00110201"/>
    <w:rsid w:val="0013403F"/>
    <w:rsid w:val="00140F26"/>
    <w:rsid w:val="00142D04"/>
    <w:rsid w:val="001478EA"/>
    <w:rsid w:val="00155E1E"/>
    <w:rsid w:val="00180B8C"/>
    <w:rsid w:val="0019034B"/>
    <w:rsid w:val="00190AE9"/>
    <w:rsid w:val="00196FD0"/>
    <w:rsid w:val="001C713F"/>
    <w:rsid w:val="001E6CB0"/>
    <w:rsid w:val="002008E9"/>
    <w:rsid w:val="00202631"/>
    <w:rsid w:val="00212B00"/>
    <w:rsid w:val="00217F7D"/>
    <w:rsid w:val="00234FAA"/>
    <w:rsid w:val="002362FB"/>
    <w:rsid w:val="00236E8A"/>
    <w:rsid w:val="0026750E"/>
    <w:rsid w:val="002B33B7"/>
    <w:rsid w:val="002C01E4"/>
    <w:rsid w:val="002D4BB7"/>
    <w:rsid w:val="002D6B5C"/>
    <w:rsid w:val="002E18F4"/>
    <w:rsid w:val="003003B4"/>
    <w:rsid w:val="00343AEF"/>
    <w:rsid w:val="00350080"/>
    <w:rsid w:val="00353846"/>
    <w:rsid w:val="0035743F"/>
    <w:rsid w:val="00357FCE"/>
    <w:rsid w:val="003633E5"/>
    <w:rsid w:val="0037119B"/>
    <w:rsid w:val="003857FD"/>
    <w:rsid w:val="003910FE"/>
    <w:rsid w:val="003925F1"/>
    <w:rsid w:val="003A7D15"/>
    <w:rsid w:val="003C767A"/>
    <w:rsid w:val="003C7BF8"/>
    <w:rsid w:val="003E3DE8"/>
    <w:rsid w:val="003F2B1C"/>
    <w:rsid w:val="003F38C2"/>
    <w:rsid w:val="00417BFC"/>
    <w:rsid w:val="004213FC"/>
    <w:rsid w:val="00442DAC"/>
    <w:rsid w:val="004A16EC"/>
    <w:rsid w:val="004B1370"/>
    <w:rsid w:val="004B4571"/>
    <w:rsid w:val="004C1928"/>
    <w:rsid w:val="004C4A5C"/>
    <w:rsid w:val="004D4176"/>
    <w:rsid w:val="004E1479"/>
    <w:rsid w:val="004E718C"/>
    <w:rsid w:val="004F7482"/>
    <w:rsid w:val="00501F7E"/>
    <w:rsid w:val="005273B3"/>
    <w:rsid w:val="005506AC"/>
    <w:rsid w:val="00554995"/>
    <w:rsid w:val="005663F8"/>
    <w:rsid w:val="005714AA"/>
    <w:rsid w:val="00572449"/>
    <w:rsid w:val="005865E4"/>
    <w:rsid w:val="005B7A28"/>
    <w:rsid w:val="005D188D"/>
    <w:rsid w:val="005D704D"/>
    <w:rsid w:val="00613AF9"/>
    <w:rsid w:val="00627DA4"/>
    <w:rsid w:val="00642EB6"/>
    <w:rsid w:val="00671540"/>
    <w:rsid w:val="00674F47"/>
    <w:rsid w:val="00680A88"/>
    <w:rsid w:val="00695E89"/>
    <w:rsid w:val="006B2792"/>
    <w:rsid w:val="006B65E8"/>
    <w:rsid w:val="006C743F"/>
    <w:rsid w:val="006D14EC"/>
    <w:rsid w:val="006F321D"/>
    <w:rsid w:val="00706DFA"/>
    <w:rsid w:val="00717B81"/>
    <w:rsid w:val="00740445"/>
    <w:rsid w:val="007421CC"/>
    <w:rsid w:val="0075488C"/>
    <w:rsid w:val="00761683"/>
    <w:rsid w:val="0076385E"/>
    <w:rsid w:val="007673B7"/>
    <w:rsid w:val="00772DE8"/>
    <w:rsid w:val="00775813"/>
    <w:rsid w:val="00786605"/>
    <w:rsid w:val="0079215E"/>
    <w:rsid w:val="007B2293"/>
    <w:rsid w:val="007B5583"/>
    <w:rsid w:val="007C2C41"/>
    <w:rsid w:val="007E040C"/>
    <w:rsid w:val="007E1DD3"/>
    <w:rsid w:val="007E6EE7"/>
    <w:rsid w:val="007F3AA5"/>
    <w:rsid w:val="00830FF6"/>
    <w:rsid w:val="008356C3"/>
    <w:rsid w:val="00841938"/>
    <w:rsid w:val="008472E2"/>
    <w:rsid w:val="00850C12"/>
    <w:rsid w:val="00866094"/>
    <w:rsid w:val="00883EF0"/>
    <w:rsid w:val="00894A14"/>
    <w:rsid w:val="008A1650"/>
    <w:rsid w:val="008A42E3"/>
    <w:rsid w:val="008B3CBB"/>
    <w:rsid w:val="008C34AE"/>
    <w:rsid w:val="008E0E58"/>
    <w:rsid w:val="008F53B5"/>
    <w:rsid w:val="00900E71"/>
    <w:rsid w:val="009238FE"/>
    <w:rsid w:val="00932815"/>
    <w:rsid w:val="00936128"/>
    <w:rsid w:val="00937424"/>
    <w:rsid w:val="0095130F"/>
    <w:rsid w:val="009565CC"/>
    <w:rsid w:val="009826F3"/>
    <w:rsid w:val="009A644F"/>
    <w:rsid w:val="009C53BB"/>
    <w:rsid w:val="009D5CA8"/>
    <w:rsid w:val="009F4FAC"/>
    <w:rsid w:val="00A20063"/>
    <w:rsid w:val="00A20CBE"/>
    <w:rsid w:val="00A4389E"/>
    <w:rsid w:val="00A467DD"/>
    <w:rsid w:val="00A77D17"/>
    <w:rsid w:val="00AC4B32"/>
    <w:rsid w:val="00AD122C"/>
    <w:rsid w:val="00B027B5"/>
    <w:rsid w:val="00B030F6"/>
    <w:rsid w:val="00B14574"/>
    <w:rsid w:val="00B148C4"/>
    <w:rsid w:val="00B1794E"/>
    <w:rsid w:val="00B33247"/>
    <w:rsid w:val="00B4533A"/>
    <w:rsid w:val="00B47B3D"/>
    <w:rsid w:val="00B541E0"/>
    <w:rsid w:val="00B61C51"/>
    <w:rsid w:val="00B923B0"/>
    <w:rsid w:val="00BA587A"/>
    <w:rsid w:val="00BB3A05"/>
    <w:rsid w:val="00BC3555"/>
    <w:rsid w:val="00BC6644"/>
    <w:rsid w:val="00BF0FA1"/>
    <w:rsid w:val="00C032A9"/>
    <w:rsid w:val="00C04EA0"/>
    <w:rsid w:val="00C57D30"/>
    <w:rsid w:val="00C842E0"/>
    <w:rsid w:val="00C902F1"/>
    <w:rsid w:val="00CA46BB"/>
    <w:rsid w:val="00CB5644"/>
    <w:rsid w:val="00CD2C56"/>
    <w:rsid w:val="00CE29FB"/>
    <w:rsid w:val="00CF0190"/>
    <w:rsid w:val="00CF4D48"/>
    <w:rsid w:val="00D01053"/>
    <w:rsid w:val="00D02794"/>
    <w:rsid w:val="00D3613A"/>
    <w:rsid w:val="00D4685E"/>
    <w:rsid w:val="00D57601"/>
    <w:rsid w:val="00D66A90"/>
    <w:rsid w:val="00D85414"/>
    <w:rsid w:val="00D914E0"/>
    <w:rsid w:val="00DA283B"/>
    <w:rsid w:val="00DA2E94"/>
    <w:rsid w:val="00DB51A8"/>
    <w:rsid w:val="00DD3602"/>
    <w:rsid w:val="00DF0B8D"/>
    <w:rsid w:val="00E0475C"/>
    <w:rsid w:val="00E361F2"/>
    <w:rsid w:val="00E609BD"/>
    <w:rsid w:val="00E75EE8"/>
    <w:rsid w:val="00E76791"/>
    <w:rsid w:val="00E815C4"/>
    <w:rsid w:val="00E937AC"/>
    <w:rsid w:val="00EB616F"/>
    <w:rsid w:val="00EB63BB"/>
    <w:rsid w:val="00EC7BB1"/>
    <w:rsid w:val="00F05F60"/>
    <w:rsid w:val="00F210B5"/>
    <w:rsid w:val="00F27849"/>
    <w:rsid w:val="00F30524"/>
    <w:rsid w:val="00F71C67"/>
    <w:rsid w:val="00F872A8"/>
    <w:rsid w:val="00F87581"/>
    <w:rsid w:val="00FB348A"/>
    <w:rsid w:val="00FC5DA7"/>
    <w:rsid w:val="00FF21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B45E5"/>
  <w15:docId w15:val="{A3E84890-AB42-46EC-96D4-BA8A60640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rPr>
  </w:style>
  <w:style w:type="character" w:styleId="Textoennegrita">
    <w:name w:val="Strong"/>
    <w:basedOn w:val="Fuentedeprrafopredeter"/>
    <w:uiPriority w:val="22"/>
    <w:qFormat/>
    <w:rPr>
      <w:b/>
      <w:bCs/>
    </w:rPr>
  </w:style>
  <w:style w:type="character" w:styleId="Hipervnculo">
    <w:name w:val="Hyperlink"/>
    <w:basedOn w:val="Fuentedeprrafopredeter"/>
    <w:uiPriority w:val="99"/>
    <w:unhideWhenUsed/>
    <w:rsid w:val="003925F1"/>
    <w:rPr>
      <w:color w:val="0563C1" w:themeColor="hyperlink"/>
      <w:u w:val="single"/>
    </w:rPr>
  </w:style>
  <w:style w:type="paragraph" w:styleId="Prrafodelista">
    <w:name w:val="List Paragraph"/>
    <w:basedOn w:val="Normal"/>
    <w:uiPriority w:val="34"/>
    <w:qFormat/>
    <w:rsid w:val="003925F1"/>
    <w:pPr>
      <w:spacing w:after="0" w:line="240" w:lineRule="auto"/>
      <w:ind w:left="720"/>
      <w:contextualSpacing/>
    </w:pPr>
    <w:rPr>
      <w:rFonts w:ascii="Calibri" w:eastAsiaTheme="minorHAnsi" w:hAnsi="Calibri" w:cs="Times New Roman"/>
      <w:lang w:eastAsia="en-US"/>
    </w:rPr>
  </w:style>
  <w:style w:type="paragraph" w:styleId="Textodeglobo">
    <w:name w:val="Balloon Text"/>
    <w:basedOn w:val="Normal"/>
    <w:link w:val="TextodegloboCar"/>
    <w:uiPriority w:val="99"/>
    <w:semiHidden/>
    <w:unhideWhenUsed/>
    <w:rsid w:val="00F3052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524"/>
    <w:rPr>
      <w:rFonts w:ascii="Segoe UI" w:hAnsi="Segoe UI" w:cs="Segoe UI"/>
      <w:sz w:val="18"/>
      <w:szCs w:val="18"/>
    </w:rPr>
  </w:style>
  <w:style w:type="table" w:styleId="Tabladecuadrcula1clara">
    <w:name w:val="Grid Table 1 Light"/>
    <w:basedOn w:val="Tablanormal"/>
    <w:uiPriority w:val="46"/>
    <w:rsid w:val="00F30524"/>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070B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0B15"/>
  </w:style>
  <w:style w:type="paragraph" w:styleId="Piedepgina">
    <w:name w:val="footer"/>
    <w:basedOn w:val="Normal"/>
    <w:link w:val="PiedepginaCar"/>
    <w:uiPriority w:val="99"/>
    <w:unhideWhenUsed/>
    <w:rsid w:val="00070B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0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80657">
      <w:marLeft w:val="0"/>
      <w:marRight w:val="0"/>
      <w:marTop w:val="0"/>
      <w:marBottom w:val="0"/>
      <w:divBdr>
        <w:top w:val="none" w:sz="0" w:space="0" w:color="auto"/>
        <w:left w:val="none" w:sz="0" w:space="0" w:color="auto"/>
        <w:bottom w:val="none" w:sz="0" w:space="0" w:color="auto"/>
        <w:right w:val="none" w:sz="0" w:space="0" w:color="auto"/>
      </w:divBdr>
      <w:divsChild>
        <w:div w:id="147788063">
          <w:marLeft w:val="0"/>
          <w:marRight w:val="0"/>
          <w:marTop w:val="0"/>
          <w:marBottom w:val="0"/>
          <w:divBdr>
            <w:top w:val="none" w:sz="0" w:space="0" w:color="auto"/>
            <w:left w:val="none" w:sz="0" w:space="0" w:color="auto"/>
            <w:bottom w:val="none" w:sz="0" w:space="0" w:color="auto"/>
            <w:right w:val="none" w:sz="0" w:space="0" w:color="auto"/>
          </w:divBdr>
        </w:div>
        <w:div w:id="973827586">
          <w:marLeft w:val="600"/>
          <w:marRight w:val="0"/>
          <w:marTop w:val="0"/>
          <w:marBottom w:val="0"/>
          <w:divBdr>
            <w:top w:val="none" w:sz="0" w:space="0" w:color="auto"/>
            <w:left w:val="none" w:sz="0" w:space="0" w:color="auto"/>
            <w:bottom w:val="none" w:sz="0" w:space="0" w:color="auto"/>
            <w:right w:val="none" w:sz="0" w:space="0" w:color="auto"/>
          </w:divBdr>
        </w:div>
        <w:div w:id="1506941947">
          <w:marLeft w:val="360"/>
          <w:marRight w:val="0"/>
          <w:marTop w:val="0"/>
          <w:marBottom w:val="0"/>
          <w:divBdr>
            <w:top w:val="none" w:sz="0" w:space="0" w:color="auto"/>
            <w:left w:val="none" w:sz="0" w:space="0" w:color="auto"/>
            <w:bottom w:val="none" w:sz="0" w:space="0" w:color="auto"/>
            <w:right w:val="none" w:sz="0" w:space="0" w:color="auto"/>
          </w:divBdr>
        </w:div>
        <w:div w:id="1768844726">
          <w:marLeft w:val="360"/>
          <w:marRight w:val="0"/>
          <w:marTop w:val="0"/>
          <w:marBottom w:val="0"/>
          <w:divBdr>
            <w:top w:val="none" w:sz="0" w:space="0" w:color="auto"/>
            <w:left w:val="none" w:sz="0" w:space="0" w:color="auto"/>
            <w:bottom w:val="none" w:sz="0" w:space="0" w:color="auto"/>
            <w:right w:val="none" w:sz="0" w:space="0" w:color="auto"/>
          </w:divBdr>
        </w:div>
        <w:div w:id="124860588">
          <w:marLeft w:val="360"/>
          <w:marRight w:val="0"/>
          <w:marTop w:val="0"/>
          <w:marBottom w:val="0"/>
          <w:divBdr>
            <w:top w:val="none" w:sz="0" w:space="0" w:color="auto"/>
            <w:left w:val="none" w:sz="0" w:space="0" w:color="auto"/>
            <w:bottom w:val="none" w:sz="0" w:space="0" w:color="auto"/>
            <w:right w:val="none" w:sz="0" w:space="0" w:color="auto"/>
          </w:divBdr>
        </w:div>
        <w:div w:id="614798515">
          <w:marLeft w:val="360"/>
          <w:marRight w:val="0"/>
          <w:marTop w:val="0"/>
          <w:marBottom w:val="0"/>
          <w:divBdr>
            <w:top w:val="none" w:sz="0" w:space="0" w:color="auto"/>
            <w:left w:val="none" w:sz="0" w:space="0" w:color="auto"/>
            <w:bottom w:val="none" w:sz="0" w:space="0" w:color="auto"/>
            <w:right w:val="none" w:sz="0" w:space="0" w:color="auto"/>
          </w:divBdr>
        </w:div>
        <w:div w:id="450440836">
          <w:marLeft w:val="600"/>
          <w:marRight w:val="0"/>
          <w:marTop w:val="0"/>
          <w:marBottom w:val="0"/>
          <w:divBdr>
            <w:top w:val="none" w:sz="0" w:space="0" w:color="auto"/>
            <w:left w:val="none" w:sz="0" w:space="0" w:color="auto"/>
            <w:bottom w:val="none" w:sz="0" w:space="0" w:color="auto"/>
            <w:right w:val="none" w:sz="0" w:space="0" w:color="auto"/>
          </w:divBdr>
        </w:div>
        <w:div w:id="222449376">
          <w:marLeft w:val="840"/>
          <w:marRight w:val="0"/>
          <w:marTop w:val="0"/>
          <w:marBottom w:val="0"/>
          <w:divBdr>
            <w:top w:val="none" w:sz="0" w:space="0" w:color="auto"/>
            <w:left w:val="none" w:sz="0" w:space="0" w:color="auto"/>
            <w:bottom w:val="none" w:sz="0" w:space="0" w:color="auto"/>
            <w:right w:val="none" w:sz="0" w:space="0" w:color="auto"/>
          </w:divBdr>
        </w:div>
        <w:div w:id="219483718">
          <w:marLeft w:val="840"/>
          <w:marRight w:val="0"/>
          <w:marTop w:val="0"/>
          <w:marBottom w:val="0"/>
          <w:divBdr>
            <w:top w:val="none" w:sz="0" w:space="0" w:color="auto"/>
            <w:left w:val="none" w:sz="0" w:space="0" w:color="auto"/>
            <w:bottom w:val="none" w:sz="0" w:space="0" w:color="auto"/>
            <w:right w:val="none" w:sz="0" w:space="0" w:color="auto"/>
          </w:divBdr>
        </w:div>
        <w:div w:id="487745486">
          <w:marLeft w:val="840"/>
          <w:marRight w:val="0"/>
          <w:marTop w:val="0"/>
          <w:marBottom w:val="0"/>
          <w:divBdr>
            <w:top w:val="none" w:sz="0" w:space="0" w:color="auto"/>
            <w:left w:val="none" w:sz="0" w:space="0" w:color="auto"/>
            <w:bottom w:val="none" w:sz="0" w:space="0" w:color="auto"/>
            <w:right w:val="none" w:sz="0" w:space="0" w:color="auto"/>
          </w:divBdr>
        </w:div>
        <w:div w:id="11341236">
          <w:marLeft w:val="840"/>
          <w:marRight w:val="0"/>
          <w:marTop w:val="0"/>
          <w:marBottom w:val="0"/>
          <w:divBdr>
            <w:top w:val="none" w:sz="0" w:space="0" w:color="auto"/>
            <w:left w:val="none" w:sz="0" w:space="0" w:color="auto"/>
            <w:bottom w:val="none" w:sz="0" w:space="0" w:color="auto"/>
            <w:right w:val="none" w:sz="0" w:space="0" w:color="auto"/>
          </w:divBdr>
        </w:div>
        <w:div w:id="974944331">
          <w:marLeft w:val="840"/>
          <w:marRight w:val="0"/>
          <w:marTop w:val="0"/>
          <w:marBottom w:val="0"/>
          <w:divBdr>
            <w:top w:val="none" w:sz="0" w:space="0" w:color="auto"/>
            <w:left w:val="none" w:sz="0" w:space="0" w:color="auto"/>
            <w:bottom w:val="none" w:sz="0" w:space="0" w:color="auto"/>
            <w:right w:val="none" w:sz="0" w:space="0" w:color="auto"/>
          </w:divBdr>
        </w:div>
        <w:div w:id="1952005597">
          <w:marLeft w:val="840"/>
          <w:marRight w:val="0"/>
          <w:marTop w:val="0"/>
          <w:marBottom w:val="0"/>
          <w:divBdr>
            <w:top w:val="none" w:sz="0" w:space="0" w:color="auto"/>
            <w:left w:val="none" w:sz="0" w:space="0" w:color="auto"/>
            <w:bottom w:val="none" w:sz="0" w:space="0" w:color="auto"/>
            <w:right w:val="none" w:sz="0" w:space="0" w:color="auto"/>
          </w:divBdr>
        </w:div>
        <w:div w:id="1527138292">
          <w:marLeft w:val="840"/>
          <w:marRight w:val="0"/>
          <w:marTop w:val="0"/>
          <w:marBottom w:val="0"/>
          <w:divBdr>
            <w:top w:val="none" w:sz="0" w:space="0" w:color="auto"/>
            <w:left w:val="none" w:sz="0" w:space="0" w:color="auto"/>
            <w:bottom w:val="none" w:sz="0" w:space="0" w:color="auto"/>
            <w:right w:val="none" w:sz="0" w:space="0" w:color="auto"/>
          </w:divBdr>
        </w:div>
        <w:div w:id="1778326657">
          <w:marLeft w:val="840"/>
          <w:marRight w:val="0"/>
          <w:marTop w:val="0"/>
          <w:marBottom w:val="0"/>
          <w:divBdr>
            <w:top w:val="none" w:sz="0" w:space="0" w:color="auto"/>
            <w:left w:val="none" w:sz="0" w:space="0" w:color="auto"/>
            <w:bottom w:val="none" w:sz="0" w:space="0" w:color="auto"/>
            <w:right w:val="none" w:sz="0" w:space="0" w:color="auto"/>
          </w:divBdr>
        </w:div>
        <w:div w:id="240680273">
          <w:marLeft w:val="840"/>
          <w:marRight w:val="0"/>
          <w:marTop w:val="0"/>
          <w:marBottom w:val="0"/>
          <w:divBdr>
            <w:top w:val="none" w:sz="0" w:space="0" w:color="auto"/>
            <w:left w:val="none" w:sz="0" w:space="0" w:color="auto"/>
            <w:bottom w:val="none" w:sz="0" w:space="0" w:color="auto"/>
            <w:right w:val="none" w:sz="0" w:space="0" w:color="auto"/>
          </w:divBdr>
        </w:div>
        <w:div w:id="950211653">
          <w:marLeft w:val="840"/>
          <w:marRight w:val="0"/>
          <w:marTop w:val="0"/>
          <w:marBottom w:val="0"/>
          <w:divBdr>
            <w:top w:val="none" w:sz="0" w:space="0" w:color="auto"/>
            <w:left w:val="none" w:sz="0" w:space="0" w:color="auto"/>
            <w:bottom w:val="none" w:sz="0" w:space="0" w:color="auto"/>
            <w:right w:val="none" w:sz="0" w:space="0" w:color="auto"/>
          </w:divBdr>
        </w:div>
        <w:div w:id="731586780">
          <w:marLeft w:val="840"/>
          <w:marRight w:val="0"/>
          <w:marTop w:val="0"/>
          <w:marBottom w:val="0"/>
          <w:divBdr>
            <w:top w:val="none" w:sz="0" w:space="0" w:color="auto"/>
            <w:left w:val="none" w:sz="0" w:space="0" w:color="auto"/>
            <w:bottom w:val="none" w:sz="0" w:space="0" w:color="auto"/>
            <w:right w:val="none" w:sz="0" w:space="0" w:color="auto"/>
          </w:divBdr>
        </w:div>
        <w:div w:id="944728511">
          <w:marLeft w:val="360"/>
          <w:marRight w:val="0"/>
          <w:marTop w:val="0"/>
          <w:marBottom w:val="0"/>
          <w:divBdr>
            <w:top w:val="none" w:sz="0" w:space="0" w:color="auto"/>
            <w:left w:val="none" w:sz="0" w:space="0" w:color="auto"/>
            <w:bottom w:val="none" w:sz="0" w:space="0" w:color="auto"/>
            <w:right w:val="none" w:sz="0" w:space="0" w:color="auto"/>
          </w:divBdr>
        </w:div>
        <w:div w:id="1658192765">
          <w:marLeft w:val="0"/>
          <w:marRight w:val="0"/>
          <w:marTop w:val="0"/>
          <w:marBottom w:val="0"/>
          <w:divBdr>
            <w:top w:val="none" w:sz="0" w:space="0" w:color="auto"/>
            <w:left w:val="none" w:sz="0" w:space="0" w:color="auto"/>
            <w:bottom w:val="none" w:sz="0" w:space="0" w:color="auto"/>
            <w:right w:val="none" w:sz="0" w:space="0" w:color="auto"/>
          </w:divBdr>
        </w:div>
        <w:div w:id="1605532005">
          <w:marLeft w:val="0"/>
          <w:marRight w:val="0"/>
          <w:marTop w:val="0"/>
          <w:marBottom w:val="0"/>
          <w:divBdr>
            <w:top w:val="none" w:sz="0" w:space="0" w:color="auto"/>
            <w:left w:val="none" w:sz="0" w:space="0" w:color="auto"/>
            <w:bottom w:val="none" w:sz="0" w:space="0" w:color="auto"/>
            <w:right w:val="none" w:sz="0" w:space="0" w:color="auto"/>
          </w:divBdr>
        </w:div>
        <w:div w:id="880364742">
          <w:marLeft w:val="0"/>
          <w:marRight w:val="0"/>
          <w:marTop w:val="0"/>
          <w:marBottom w:val="0"/>
          <w:divBdr>
            <w:top w:val="none" w:sz="0" w:space="0" w:color="auto"/>
            <w:left w:val="none" w:sz="0" w:space="0" w:color="auto"/>
            <w:bottom w:val="none" w:sz="0" w:space="0" w:color="auto"/>
            <w:right w:val="none" w:sz="0" w:space="0" w:color="auto"/>
          </w:divBdr>
        </w:div>
        <w:div w:id="1598060448">
          <w:marLeft w:val="0"/>
          <w:marRight w:val="0"/>
          <w:marTop w:val="0"/>
          <w:marBottom w:val="0"/>
          <w:divBdr>
            <w:top w:val="none" w:sz="0" w:space="0" w:color="auto"/>
            <w:left w:val="none" w:sz="0" w:space="0" w:color="auto"/>
            <w:bottom w:val="none" w:sz="0" w:space="0" w:color="auto"/>
            <w:right w:val="none" w:sz="0" w:space="0" w:color="auto"/>
          </w:divBdr>
        </w:div>
        <w:div w:id="1717898373">
          <w:marLeft w:val="0"/>
          <w:marRight w:val="0"/>
          <w:marTop w:val="0"/>
          <w:marBottom w:val="0"/>
          <w:divBdr>
            <w:top w:val="none" w:sz="0" w:space="0" w:color="auto"/>
            <w:left w:val="none" w:sz="0" w:space="0" w:color="auto"/>
            <w:bottom w:val="none" w:sz="0" w:space="0" w:color="auto"/>
            <w:right w:val="none" w:sz="0" w:space="0" w:color="auto"/>
          </w:divBdr>
        </w:div>
        <w:div w:id="1450978189">
          <w:marLeft w:val="0"/>
          <w:marRight w:val="0"/>
          <w:marTop w:val="0"/>
          <w:marBottom w:val="0"/>
          <w:divBdr>
            <w:top w:val="none" w:sz="0" w:space="0" w:color="auto"/>
            <w:left w:val="none" w:sz="0" w:space="0" w:color="auto"/>
            <w:bottom w:val="none" w:sz="0" w:space="0" w:color="auto"/>
            <w:right w:val="none" w:sz="0" w:space="0" w:color="auto"/>
          </w:divBdr>
        </w:div>
        <w:div w:id="1541017078">
          <w:marLeft w:val="0"/>
          <w:marRight w:val="0"/>
          <w:marTop w:val="0"/>
          <w:marBottom w:val="0"/>
          <w:divBdr>
            <w:top w:val="none" w:sz="0" w:space="0" w:color="auto"/>
            <w:left w:val="none" w:sz="0" w:space="0" w:color="auto"/>
            <w:bottom w:val="none" w:sz="0" w:space="0" w:color="auto"/>
            <w:right w:val="none" w:sz="0" w:space="0" w:color="auto"/>
          </w:divBdr>
        </w:div>
        <w:div w:id="1804158860">
          <w:marLeft w:val="600"/>
          <w:marRight w:val="0"/>
          <w:marTop w:val="0"/>
          <w:marBottom w:val="0"/>
          <w:divBdr>
            <w:top w:val="none" w:sz="0" w:space="0" w:color="auto"/>
            <w:left w:val="none" w:sz="0" w:space="0" w:color="auto"/>
            <w:bottom w:val="none" w:sz="0" w:space="0" w:color="auto"/>
            <w:right w:val="none" w:sz="0" w:space="0" w:color="auto"/>
          </w:divBdr>
        </w:div>
        <w:div w:id="1465807759">
          <w:marLeft w:val="360"/>
          <w:marRight w:val="0"/>
          <w:marTop w:val="0"/>
          <w:marBottom w:val="0"/>
          <w:divBdr>
            <w:top w:val="none" w:sz="0" w:space="0" w:color="auto"/>
            <w:left w:val="none" w:sz="0" w:space="0" w:color="auto"/>
            <w:bottom w:val="none" w:sz="0" w:space="0" w:color="auto"/>
            <w:right w:val="none" w:sz="0" w:space="0" w:color="auto"/>
          </w:divBdr>
        </w:div>
        <w:div w:id="1309087837">
          <w:marLeft w:val="360"/>
          <w:marRight w:val="0"/>
          <w:marTop w:val="0"/>
          <w:marBottom w:val="0"/>
          <w:divBdr>
            <w:top w:val="none" w:sz="0" w:space="0" w:color="auto"/>
            <w:left w:val="none" w:sz="0" w:space="0" w:color="auto"/>
            <w:bottom w:val="none" w:sz="0" w:space="0" w:color="auto"/>
            <w:right w:val="none" w:sz="0" w:space="0" w:color="auto"/>
          </w:divBdr>
        </w:div>
        <w:div w:id="662120614">
          <w:marLeft w:val="360"/>
          <w:marRight w:val="0"/>
          <w:marTop w:val="0"/>
          <w:marBottom w:val="0"/>
          <w:divBdr>
            <w:top w:val="none" w:sz="0" w:space="0" w:color="auto"/>
            <w:left w:val="none" w:sz="0" w:space="0" w:color="auto"/>
            <w:bottom w:val="none" w:sz="0" w:space="0" w:color="auto"/>
            <w:right w:val="none" w:sz="0" w:space="0" w:color="auto"/>
          </w:divBdr>
        </w:div>
        <w:div w:id="1840541655">
          <w:marLeft w:val="840"/>
          <w:marRight w:val="0"/>
          <w:marTop w:val="0"/>
          <w:marBottom w:val="0"/>
          <w:divBdr>
            <w:top w:val="none" w:sz="0" w:space="0" w:color="auto"/>
            <w:left w:val="none" w:sz="0" w:space="0" w:color="auto"/>
            <w:bottom w:val="none" w:sz="0" w:space="0" w:color="auto"/>
            <w:right w:val="none" w:sz="0" w:space="0" w:color="auto"/>
          </w:divBdr>
        </w:div>
        <w:div w:id="603223459">
          <w:marLeft w:val="840"/>
          <w:marRight w:val="0"/>
          <w:marTop w:val="0"/>
          <w:marBottom w:val="0"/>
          <w:divBdr>
            <w:top w:val="none" w:sz="0" w:space="0" w:color="auto"/>
            <w:left w:val="none" w:sz="0" w:space="0" w:color="auto"/>
            <w:bottom w:val="none" w:sz="0" w:space="0" w:color="auto"/>
            <w:right w:val="none" w:sz="0" w:space="0" w:color="auto"/>
          </w:divBdr>
        </w:div>
        <w:div w:id="137503026">
          <w:marLeft w:val="840"/>
          <w:marRight w:val="0"/>
          <w:marTop w:val="0"/>
          <w:marBottom w:val="0"/>
          <w:divBdr>
            <w:top w:val="none" w:sz="0" w:space="0" w:color="auto"/>
            <w:left w:val="none" w:sz="0" w:space="0" w:color="auto"/>
            <w:bottom w:val="none" w:sz="0" w:space="0" w:color="auto"/>
            <w:right w:val="none" w:sz="0" w:space="0" w:color="auto"/>
          </w:divBdr>
        </w:div>
        <w:div w:id="354505221">
          <w:marLeft w:val="840"/>
          <w:marRight w:val="0"/>
          <w:marTop w:val="0"/>
          <w:marBottom w:val="0"/>
          <w:divBdr>
            <w:top w:val="none" w:sz="0" w:space="0" w:color="auto"/>
            <w:left w:val="none" w:sz="0" w:space="0" w:color="auto"/>
            <w:bottom w:val="none" w:sz="0" w:space="0" w:color="auto"/>
            <w:right w:val="none" w:sz="0" w:space="0" w:color="auto"/>
          </w:divBdr>
        </w:div>
        <w:div w:id="905408786">
          <w:marLeft w:val="840"/>
          <w:marRight w:val="0"/>
          <w:marTop w:val="0"/>
          <w:marBottom w:val="0"/>
          <w:divBdr>
            <w:top w:val="none" w:sz="0" w:space="0" w:color="auto"/>
            <w:left w:val="none" w:sz="0" w:space="0" w:color="auto"/>
            <w:bottom w:val="none" w:sz="0" w:space="0" w:color="auto"/>
            <w:right w:val="none" w:sz="0" w:space="0" w:color="auto"/>
          </w:divBdr>
        </w:div>
        <w:div w:id="1859923263">
          <w:marLeft w:val="840"/>
          <w:marRight w:val="0"/>
          <w:marTop w:val="0"/>
          <w:marBottom w:val="0"/>
          <w:divBdr>
            <w:top w:val="none" w:sz="0" w:space="0" w:color="auto"/>
            <w:left w:val="none" w:sz="0" w:space="0" w:color="auto"/>
            <w:bottom w:val="none" w:sz="0" w:space="0" w:color="auto"/>
            <w:right w:val="none" w:sz="0" w:space="0" w:color="auto"/>
          </w:divBdr>
        </w:div>
        <w:div w:id="1639873980">
          <w:marLeft w:val="840"/>
          <w:marRight w:val="0"/>
          <w:marTop w:val="0"/>
          <w:marBottom w:val="0"/>
          <w:divBdr>
            <w:top w:val="none" w:sz="0" w:space="0" w:color="auto"/>
            <w:left w:val="none" w:sz="0" w:space="0" w:color="auto"/>
            <w:bottom w:val="none" w:sz="0" w:space="0" w:color="auto"/>
            <w:right w:val="none" w:sz="0" w:space="0" w:color="auto"/>
          </w:divBdr>
        </w:div>
        <w:div w:id="1433890449">
          <w:marLeft w:val="840"/>
          <w:marRight w:val="0"/>
          <w:marTop w:val="0"/>
          <w:marBottom w:val="0"/>
          <w:divBdr>
            <w:top w:val="none" w:sz="0" w:space="0" w:color="auto"/>
            <w:left w:val="none" w:sz="0" w:space="0" w:color="auto"/>
            <w:bottom w:val="none" w:sz="0" w:space="0" w:color="auto"/>
            <w:right w:val="none" w:sz="0" w:space="0" w:color="auto"/>
          </w:divBdr>
        </w:div>
        <w:div w:id="1359313710">
          <w:marLeft w:val="840"/>
          <w:marRight w:val="0"/>
          <w:marTop w:val="0"/>
          <w:marBottom w:val="0"/>
          <w:divBdr>
            <w:top w:val="none" w:sz="0" w:space="0" w:color="auto"/>
            <w:left w:val="none" w:sz="0" w:space="0" w:color="auto"/>
            <w:bottom w:val="none" w:sz="0" w:space="0" w:color="auto"/>
            <w:right w:val="none" w:sz="0" w:space="0" w:color="auto"/>
          </w:divBdr>
        </w:div>
        <w:div w:id="1399472854">
          <w:marLeft w:val="840"/>
          <w:marRight w:val="0"/>
          <w:marTop w:val="0"/>
          <w:marBottom w:val="0"/>
          <w:divBdr>
            <w:top w:val="none" w:sz="0" w:space="0" w:color="auto"/>
            <w:left w:val="none" w:sz="0" w:space="0" w:color="auto"/>
            <w:bottom w:val="none" w:sz="0" w:space="0" w:color="auto"/>
            <w:right w:val="none" w:sz="0" w:space="0" w:color="auto"/>
          </w:divBdr>
        </w:div>
        <w:div w:id="883906366">
          <w:marLeft w:val="840"/>
          <w:marRight w:val="0"/>
          <w:marTop w:val="0"/>
          <w:marBottom w:val="0"/>
          <w:divBdr>
            <w:top w:val="none" w:sz="0" w:space="0" w:color="auto"/>
            <w:left w:val="none" w:sz="0" w:space="0" w:color="auto"/>
            <w:bottom w:val="none" w:sz="0" w:space="0" w:color="auto"/>
            <w:right w:val="none" w:sz="0" w:space="0" w:color="auto"/>
          </w:divBdr>
        </w:div>
        <w:div w:id="151874290">
          <w:marLeft w:val="360"/>
          <w:marRight w:val="0"/>
          <w:marTop w:val="0"/>
          <w:marBottom w:val="0"/>
          <w:divBdr>
            <w:top w:val="none" w:sz="0" w:space="0" w:color="auto"/>
            <w:left w:val="none" w:sz="0" w:space="0" w:color="auto"/>
            <w:bottom w:val="none" w:sz="0" w:space="0" w:color="auto"/>
            <w:right w:val="none" w:sz="0" w:space="0" w:color="auto"/>
          </w:divBdr>
        </w:div>
        <w:div w:id="1942377297">
          <w:marLeft w:val="840"/>
          <w:marRight w:val="0"/>
          <w:marTop w:val="0"/>
          <w:marBottom w:val="0"/>
          <w:divBdr>
            <w:top w:val="none" w:sz="0" w:space="0" w:color="auto"/>
            <w:left w:val="none" w:sz="0" w:space="0" w:color="auto"/>
            <w:bottom w:val="none" w:sz="0" w:space="0" w:color="auto"/>
            <w:right w:val="none" w:sz="0" w:space="0" w:color="auto"/>
          </w:divBdr>
        </w:div>
        <w:div w:id="1671252528">
          <w:marLeft w:val="840"/>
          <w:marRight w:val="0"/>
          <w:marTop w:val="0"/>
          <w:marBottom w:val="0"/>
          <w:divBdr>
            <w:top w:val="none" w:sz="0" w:space="0" w:color="auto"/>
            <w:left w:val="none" w:sz="0" w:space="0" w:color="auto"/>
            <w:bottom w:val="none" w:sz="0" w:space="0" w:color="auto"/>
            <w:right w:val="none" w:sz="0" w:space="0" w:color="auto"/>
          </w:divBdr>
        </w:div>
        <w:div w:id="910888524">
          <w:marLeft w:val="840"/>
          <w:marRight w:val="0"/>
          <w:marTop w:val="0"/>
          <w:marBottom w:val="0"/>
          <w:divBdr>
            <w:top w:val="none" w:sz="0" w:space="0" w:color="auto"/>
            <w:left w:val="none" w:sz="0" w:space="0" w:color="auto"/>
            <w:bottom w:val="none" w:sz="0" w:space="0" w:color="auto"/>
            <w:right w:val="none" w:sz="0" w:space="0" w:color="auto"/>
          </w:divBdr>
        </w:div>
        <w:div w:id="839078184">
          <w:marLeft w:val="600"/>
          <w:marRight w:val="0"/>
          <w:marTop w:val="0"/>
          <w:marBottom w:val="0"/>
          <w:divBdr>
            <w:top w:val="none" w:sz="0" w:space="0" w:color="auto"/>
            <w:left w:val="none" w:sz="0" w:space="0" w:color="auto"/>
            <w:bottom w:val="none" w:sz="0" w:space="0" w:color="auto"/>
            <w:right w:val="none" w:sz="0" w:space="0" w:color="auto"/>
          </w:divBdr>
        </w:div>
        <w:div w:id="435560277">
          <w:marLeft w:val="360"/>
          <w:marRight w:val="0"/>
          <w:marTop w:val="0"/>
          <w:marBottom w:val="0"/>
          <w:divBdr>
            <w:top w:val="none" w:sz="0" w:space="0" w:color="auto"/>
            <w:left w:val="none" w:sz="0" w:space="0" w:color="auto"/>
            <w:bottom w:val="none" w:sz="0" w:space="0" w:color="auto"/>
            <w:right w:val="none" w:sz="0" w:space="0" w:color="auto"/>
          </w:divBdr>
        </w:div>
        <w:div w:id="303237954">
          <w:marLeft w:val="360"/>
          <w:marRight w:val="0"/>
          <w:marTop w:val="0"/>
          <w:marBottom w:val="0"/>
          <w:divBdr>
            <w:top w:val="none" w:sz="0" w:space="0" w:color="auto"/>
            <w:left w:val="none" w:sz="0" w:space="0" w:color="auto"/>
            <w:bottom w:val="none" w:sz="0" w:space="0" w:color="auto"/>
            <w:right w:val="none" w:sz="0" w:space="0" w:color="auto"/>
          </w:divBdr>
        </w:div>
        <w:div w:id="1612787440">
          <w:marLeft w:val="360"/>
          <w:marRight w:val="0"/>
          <w:marTop w:val="0"/>
          <w:marBottom w:val="0"/>
          <w:divBdr>
            <w:top w:val="none" w:sz="0" w:space="0" w:color="auto"/>
            <w:left w:val="none" w:sz="0" w:space="0" w:color="auto"/>
            <w:bottom w:val="none" w:sz="0" w:space="0" w:color="auto"/>
            <w:right w:val="none" w:sz="0" w:space="0" w:color="auto"/>
          </w:divBdr>
        </w:div>
        <w:div w:id="916672765">
          <w:marLeft w:val="360"/>
          <w:marRight w:val="0"/>
          <w:marTop w:val="0"/>
          <w:marBottom w:val="0"/>
          <w:divBdr>
            <w:top w:val="none" w:sz="0" w:space="0" w:color="auto"/>
            <w:left w:val="none" w:sz="0" w:space="0" w:color="auto"/>
            <w:bottom w:val="none" w:sz="0" w:space="0" w:color="auto"/>
            <w:right w:val="none" w:sz="0" w:space="0" w:color="auto"/>
          </w:divBdr>
        </w:div>
        <w:div w:id="287707100">
          <w:marLeft w:val="360"/>
          <w:marRight w:val="0"/>
          <w:marTop w:val="0"/>
          <w:marBottom w:val="0"/>
          <w:divBdr>
            <w:top w:val="none" w:sz="0" w:space="0" w:color="auto"/>
            <w:left w:val="none" w:sz="0" w:space="0" w:color="auto"/>
            <w:bottom w:val="none" w:sz="0" w:space="0" w:color="auto"/>
            <w:right w:val="none" w:sz="0" w:space="0" w:color="auto"/>
          </w:divBdr>
        </w:div>
        <w:div w:id="2131388808">
          <w:marLeft w:val="360"/>
          <w:marRight w:val="0"/>
          <w:marTop w:val="0"/>
          <w:marBottom w:val="0"/>
          <w:divBdr>
            <w:top w:val="none" w:sz="0" w:space="0" w:color="auto"/>
            <w:left w:val="none" w:sz="0" w:space="0" w:color="auto"/>
            <w:bottom w:val="none" w:sz="0" w:space="0" w:color="auto"/>
            <w:right w:val="none" w:sz="0" w:space="0" w:color="auto"/>
          </w:divBdr>
        </w:div>
        <w:div w:id="983967624">
          <w:marLeft w:val="360"/>
          <w:marRight w:val="0"/>
          <w:marTop w:val="0"/>
          <w:marBottom w:val="0"/>
          <w:divBdr>
            <w:top w:val="none" w:sz="0" w:space="0" w:color="auto"/>
            <w:left w:val="none" w:sz="0" w:space="0" w:color="auto"/>
            <w:bottom w:val="none" w:sz="0" w:space="0" w:color="auto"/>
            <w:right w:val="none" w:sz="0" w:space="0" w:color="auto"/>
          </w:divBdr>
        </w:div>
        <w:div w:id="334722253">
          <w:marLeft w:val="360"/>
          <w:marRight w:val="0"/>
          <w:marTop w:val="0"/>
          <w:marBottom w:val="0"/>
          <w:divBdr>
            <w:top w:val="none" w:sz="0" w:space="0" w:color="auto"/>
            <w:left w:val="none" w:sz="0" w:space="0" w:color="auto"/>
            <w:bottom w:val="none" w:sz="0" w:space="0" w:color="auto"/>
            <w:right w:val="none" w:sz="0" w:space="0" w:color="auto"/>
          </w:divBdr>
        </w:div>
        <w:div w:id="1999307494">
          <w:marLeft w:val="600"/>
          <w:marRight w:val="0"/>
          <w:marTop w:val="0"/>
          <w:marBottom w:val="0"/>
          <w:divBdr>
            <w:top w:val="none" w:sz="0" w:space="0" w:color="auto"/>
            <w:left w:val="none" w:sz="0" w:space="0" w:color="auto"/>
            <w:bottom w:val="none" w:sz="0" w:space="0" w:color="auto"/>
            <w:right w:val="none" w:sz="0" w:space="0" w:color="auto"/>
          </w:divBdr>
        </w:div>
        <w:div w:id="867375421">
          <w:marLeft w:val="360"/>
          <w:marRight w:val="0"/>
          <w:marTop w:val="0"/>
          <w:marBottom w:val="0"/>
          <w:divBdr>
            <w:top w:val="none" w:sz="0" w:space="0" w:color="auto"/>
            <w:left w:val="none" w:sz="0" w:space="0" w:color="auto"/>
            <w:bottom w:val="none" w:sz="0" w:space="0" w:color="auto"/>
            <w:right w:val="none" w:sz="0" w:space="0" w:color="auto"/>
          </w:divBdr>
        </w:div>
        <w:div w:id="1530020869">
          <w:marLeft w:val="360"/>
          <w:marRight w:val="0"/>
          <w:marTop w:val="0"/>
          <w:marBottom w:val="0"/>
          <w:divBdr>
            <w:top w:val="none" w:sz="0" w:space="0" w:color="auto"/>
            <w:left w:val="none" w:sz="0" w:space="0" w:color="auto"/>
            <w:bottom w:val="none" w:sz="0" w:space="0" w:color="auto"/>
            <w:right w:val="none" w:sz="0" w:space="0" w:color="auto"/>
          </w:divBdr>
        </w:div>
        <w:div w:id="189731539">
          <w:marLeft w:val="360"/>
          <w:marRight w:val="0"/>
          <w:marTop w:val="0"/>
          <w:marBottom w:val="0"/>
          <w:divBdr>
            <w:top w:val="none" w:sz="0" w:space="0" w:color="auto"/>
            <w:left w:val="none" w:sz="0" w:space="0" w:color="auto"/>
            <w:bottom w:val="none" w:sz="0" w:space="0" w:color="auto"/>
            <w:right w:val="none" w:sz="0" w:space="0" w:color="auto"/>
          </w:divBdr>
        </w:div>
        <w:div w:id="1030716161">
          <w:marLeft w:val="360"/>
          <w:marRight w:val="0"/>
          <w:marTop w:val="0"/>
          <w:marBottom w:val="0"/>
          <w:divBdr>
            <w:top w:val="none" w:sz="0" w:space="0" w:color="auto"/>
            <w:left w:val="none" w:sz="0" w:space="0" w:color="auto"/>
            <w:bottom w:val="none" w:sz="0" w:space="0" w:color="auto"/>
            <w:right w:val="none" w:sz="0" w:space="0" w:color="auto"/>
          </w:divBdr>
        </w:div>
        <w:div w:id="1906649099">
          <w:marLeft w:val="360"/>
          <w:marRight w:val="0"/>
          <w:marTop w:val="0"/>
          <w:marBottom w:val="0"/>
          <w:divBdr>
            <w:top w:val="none" w:sz="0" w:space="0" w:color="auto"/>
            <w:left w:val="none" w:sz="0" w:space="0" w:color="auto"/>
            <w:bottom w:val="none" w:sz="0" w:space="0" w:color="auto"/>
            <w:right w:val="none" w:sz="0" w:space="0" w:color="auto"/>
          </w:divBdr>
        </w:div>
        <w:div w:id="998772683">
          <w:marLeft w:val="360"/>
          <w:marRight w:val="0"/>
          <w:marTop w:val="0"/>
          <w:marBottom w:val="0"/>
          <w:divBdr>
            <w:top w:val="none" w:sz="0" w:space="0" w:color="auto"/>
            <w:left w:val="none" w:sz="0" w:space="0" w:color="auto"/>
            <w:bottom w:val="none" w:sz="0" w:space="0" w:color="auto"/>
            <w:right w:val="none" w:sz="0" w:space="0" w:color="auto"/>
          </w:divBdr>
        </w:div>
        <w:div w:id="1671330312">
          <w:marLeft w:val="0"/>
          <w:marRight w:val="0"/>
          <w:marTop w:val="0"/>
          <w:marBottom w:val="0"/>
          <w:divBdr>
            <w:top w:val="none" w:sz="0" w:space="0" w:color="auto"/>
            <w:left w:val="none" w:sz="0" w:space="0" w:color="auto"/>
            <w:bottom w:val="none" w:sz="0" w:space="0" w:color="auto"/>
            <w:right w:val="none" w:sz="0" w:space="0" w:color="auto"/>
          </w:divBdr>
        </w:div>
        <w:div w:id="1753164772">
          <w:marLeft w:val="600"/>
          <w:marRight w:val="0"/>
          <w:marTop w:val="0"/>
          <w:marBottom w:val="0"/>
          <w:divBdr>
            <w:top w:val="none" w:sz="0" w:space="0" w:color="auto"/>
            <w:left w:val="none" w:sz="0" w:space="0" w:color="auto"/>
            <w:bottom w:val="none" w:sz="0" w:space="0" w:color="auto"/>
            <w:right w:val="none" w:sz="0" w:space="0" w:color="auto"/>
          </w:divBdr>
        </w:div>
        <w:div w:id="1632175976">
          <w:marLeft w:val="0"/>
          <w:marRight w:val="0"/>
          <w:marTop w:val="0"/>
          <w:marBottom w:val="0"/>
          <w:divBdr>
            <w:top w:val="none" w:sz="0" w:space="0" w:color="auto"/>
            <w:left w:val="none" w:sz="0" w:space="0" w:color="auto"/>
            <w:bottom w:val="none" w:sz="0" w:space="0" w:color="auto"/>
            <w:right w:val="none" w:sz="0" w:space="0" w:color="auto"/>
          </w:divBdr>
        </w:div>
        <w:div w:id="150413539">
          <w:marLeft w:val="360"/>
          <w:marRight w:val="0"/>
          <w:marTop w:val="0"/>
          <w:marBottom w:val="0"/>
          <w:divBdr>
            <w:top w:val="none" w:sz="0" w:space="0" w:color="auto"/>
            <w:left w:val="none" w:sz="0" w:space="0" w:color="auto"/>
            <w:bottom w:val="none" w:sz="0" w:space="0" w:color="auto"/>
            <w:right w:val="none" w:sz="0" w:space="0" w:color="auto"/>
          </w:divBdr>
        </w:div>
        <w:div w:id="5595212">
          <w:marLeft w:val="600"/>
          <w:marRight w:val="0"/>
          <w:marTop w:val="0"/>
          <w:marBottom w:val="0"/>
          <w:divBdr>
            <w:top w:val="none" w:sz="0" w:space="0" w:color="auto"/>
            <w:left w:val="none" w:sz="0" w:space="0" w:color="auto"/>
            <w:bottom w:val="none" w:sz="0" w:space="0" w:color="auto"/>
            <w:right w:val="none" w:sz="0" w:space="0" w:color="auto"/>
          </w:divBdr>
        </w:div>
        <w:div w:id="1881286228">
          <w:marLeft w:val="0"/>
          <w:marRight w:val="0"/>
          <w:marTop w:val="0"/>
          <w:marBottom w:val="0"/>
          <w:divBdr>
            <w:top w:val="none" w:sz="0" w:space="0" w:color="auto"/>
            <w:left w:val="none" w:sz="0" w:space="0" w:color="auto"/>
            <w:bottom w:val="none" w:sz="0" w:space="0" w:color="auto"/>
            <w:right w:val="none" w:sz="0" w:space="0" w:color="auto"/>
          </w:divBdr>
        </w:div>
        <w:div w:id="500194032">
          <w:marLeft w:val="600"/>
          <w:marRight w:val="0"/>
          <w:marTop w:val="0"/>
          <w:marBottom w:val="0"/>
          <w:divBdr>
            <w:top w:val="none" w:sz="0" w:space="0" w:color="auto"/>
            <w:left w:val="none" w:sz="0" w:space="0" w:color="auto"/>
            <w:bottom w:val="none" w:sz="0" w:space="0" w:color="auto"/>
            <w:right w:val="none" w:sz="0" w:space="0" w:color="auto"/>
          </w:divBdr>
        </w:div>
        <w:div w:id="1413501537">
          <w:marLeft w:val="0"/>
          <w:marRight w:val="0"/>
          <w:marTop w:val="0"/>
          <w:marBottom w:val="0"/>
          <w:divBdr>
            <w:top w:val="none" w:sz="0" w:space="0" w:color="auto"/>
            <w:left w:val="none" w:sz="0" w:space="0" w:color="auto"/>
            <w:bottom w:val="none" w:sz="0" w:space="0" w:color="auto"/>
            <w:right w:val="none" w:sz="0" w:space="0" w:color="auto"/>
          </w:divBdr>
        </w:div>
        <w:div w:id="101727198">
          <w:marLeft w:val="0"/>
          <w:marRight w:val="0"/>
          <w:marTop w:val="0"/>
          <w:marBottom w:val="0"/>
          <w:divBdr>
            <w:top w:val="none" w:sz="0" w:space="0" w:color="auto"/>
            <w:left w:val="none" w:sz="0" w:space="0" w:color="auto"/>
            <w:bottom w:val="none" w:sz="0" w:space="0" w:color="auto"/>
            <w:right w:val="none" w:sz="0" w:space="0" w:color="auto"/>
          </w:divBdr>
        </w:div>
        <w:div w:id="1563128952">
          <w:marLeft w:val="600"/>
          <w:marRight w:val="0"/>
          <w:marTop w:val="0"/>
          <w:marBottom w:val="0"/>
          <w:divBdr>
            <w:top w:val="none" w:sz="0" w:space="0" w:color="auto"/>
            <w:left w:val="none" w:sz="0" w:space="0" w:color="auto"/>
            <w:bottom w:val="none" w:sz="0" w:space="0" w:color="auto"/>
            <w:right w:val="none" w:sz="0" w:space="0" w:color="auto"/>
          </w:divBdr>
        </w:div>
        <w:div w:id="86775812">
          <w:marLeft w:val="600"/>
          <w:marRight w:val="0"/>
          <w:marTop w:val="0"/>
          <w:marBottom w:val="0"/>
          <w:divBdr>
            <w:top w:val="none" w:sz="0" w:space="0" w:color="auto"/>
            <w:left w:val="none" w:sz="0" w:space="0" w:color="auto"/>
            <w:bottom w:val="none" w:sz="0" w:space="0" w:color="auto"/>
            <w:right w:val="none" w:sz="0" w:space="0" w:color="auto"/>
          </w:divBdr>
        </w:div>
        <w:div w:id="360130350">
          <w:marLeft w:val="600"/>
          <w:marRight w:val="0"/>
          <w:marTop w:val="0"/>
          <w:marBottom w:val="0"/>
          <w:divBdr>
            <w:top w:val="none" w:sz="0" w:space="0" w:color="auto"/>
            <w:left w:val="none" w:sz="0" w:space="0" w:color="auto"/>
            <w:bottom w:val="none" w:sz="0" w:space="0" w:color="auto"/>
            <w:right w:val="none" w:sz="0" w:space="0" w:color="auto"/>
          </w:divBdr>
        </w:div>
        <w:div w:id="335158689">
          <w:marLeft w:val="0"/>
          <w:marRight w:val="0"/>
          <w:marTop w:val="0"/>
          <w:marBottom w:val="0"/>
          <w:divBdr>
            <w:top w:val="none" w:sz="0" w:space="0" w:color="auto"/>
            <w:left w:val="none" w:sz="0" w:space="0" w:color="auto"/>
            <w:bottom w:val="none" w:sz="0" w:space="0" w:color="auto"/>
            <w:right w:val="none" w:sz="0" w:space="0" w:color="auto"/>
          </w:divBdr>
        </w:div>
        <w:div w:id="869801271">
          <w:marLeft w:val="600"/>
          <w:marRight w:val="0"/>
          <w:marTop w:val="0"/>
          <w:marBottom w:val="0"/>
          <w:divBdr>
            <w:top w:val="none" w:sz="0" w:space="0" w:color="auto"/>
            <w:left w:val="none" w:sz="0" w:space="0" w:color="auto"/>
            <w:bottom w:val="none" w:sz="0" w:space="0" w:color="auto"/>
            <w:right w:val="none" w:sz="0" w:space="0" w:color="auto"/>
          </w:divBdr>
        </w:div>
        <w:div w:id="1548644184">
          <w:marLeft w:val="0"/>
          <w:marRight w:val="0"/>
          <w:marTop w:val="0"/>
          <w:marBottom w:val="0"/>
          <w:divBdr>
            <w:top w:val="none" w:sz="0" w:space="0" w:color="auto"/>
            <w:left w:val="none" w:sz="0" w:space="0" w:color="auto"/>
            <w:bottom w:val="none" w:sz="0" w:space="0" w:color="auto"/>
            <w:right w:val="none" w:sz="0" w:space="0" w:color="auto"/>
          </w:divBdr>
        </w:div>
        <w:div w:id="1005206785">
          <w:marLeft w:val="600"/>
          <w:marRight w:val="0"/>
          <w:marTop w:val="0"/>
          <w:marBottom w:val="0"/>
          <w:divBdr>
            <w:top w:val="none" w:sz="0" w:space="0" w:color="auto"/>
            <w:left w:val="none" w:sz="0" w:space="0" w:color="auto"/>
            <w:bottom w:val="none" w:sz="0" w:space="0" w:color="auto"/>
            <w:right w:val="none" w:sz="0" w:space="0" w:color="auto"/>
          </w:divBdr>
        </w:div>
        <w:div w:id="1894077129">
          <w:marLeft w:val="0"/>
          <w:marRight w:val="0"/>
          <w:marTop w:val="0"/>
          <w:marBottom w:val="0"/>
          <w:divBdr>
            <w:top w:val="none" w:sz="0" w:space="0" w:color="auto"/>
            <w:left w:val="none" w:sz="0" w:space="0" w:color="auto"/>
            <w:bottom w:val="none" w:sz="0" w:space="0" w:color="auto"/>
            <w:right w:val="none" w:sz="0" w:space="0" w:color="auto"/>
          </w:divBdr>
        </w:div>
        <w:div w:id="298460995">
          <w:marLeft w:val="600"/>
          <w:marRight w:val="0"/>
          <w:marTop w:val="0"/>
          <w:marBottom w:val="0"/>
          <w:divBdr>
            <w:top w:val="none" w:sz="0" w:space="0" w:color="auto"/>
            <w:left w:val="none" w:sz="0" w:space="0" w:color="auto"/>
            <w:bottom w:val="none" w:sz="0" w:space="0" w:color="auto"/>
            <w:right w:val="none" w:sz="0" w:space="0" w:color="auto"/>
          </w:divBdr>
        </w:div>
        <w:div w:id="1328557285">
          <w:marLeft w:val="0"/>
          <w:marRight w:val="0"/>
          <w:marTop w:val="0"/>
          <w:marBottom w:val="0"/>
          <w:divBdr>
            <w:top w:val="none" w:sz="0" w:space="0" w:color="auto"/>
            <w:left w:val="none" w:sz="0" w:space="0" w:color="auto"/>
            <w:bottom w:val="none" w:sz="0" w:space="0" w:color="auto"/>
            <w:right w:val="none" w:sz="0" w:space="0" w:color="auto"/>
          </w:divBdr>
        </w:div>
        <w:div w:id="1822311813">
          <w:marLeft w:val="0"/>
          <w:marRight w:val="0"/>
          <w:marTop w:val="0"/>
          <w:marBottom w:val="0"/>
          <w:divBdr>
            <w:top w:val="none" w:sz="0" w:space="0" w:color="auto"/>
            <w:left w:val="none" w:sz="0" w:space="0" w:color="auto"/>
            <w:bottom w:val="none" w:sz="0" w:space="0" w:color="auto"/>
            <w:right w:val="none" w:sz="0" w:space="0" w:color="auto"/>
          </w:divBdr>
        </w:div>
        <w:div w:id="1963730332">
          <w:marLeft w:val="360"/>
          <w:marRight w:val="0"/>
          <w:marTop w:val="0"/>
          <w:marBottom w:val="0"/>
          <w:divBdr>
            <w:top w:val="none" w:sz="0" w:space="0" w:color="auto"/>
            <w:left w:val="none" w:sz="0" w:space="0" w:color="auto"/>
            <w:bottom w:val="none" w:sz="0" w:space="0" w:color="auto"/>
            <w:right w:val="none" w:sz="0" w:space="0" w:color="auto"/>
          </w:divBdr>
        </w:div>
        <w:div w:id="1563448455">
          <w:marLeft w:val="0"/>
          <w:marRight w:val="0"/>
          <w:marTop w:val="0"/>
          <w:marBottom w:val="0"/>
          <w:divBdr>
            <w:top w:val="none" w:sz="0" w:space="0" w:color="auto"/>
            <w:left w:val="none" w:sz="0" w:space="0" w:color="auto"/>
            <w:bottom w:val="none" w:sz="0" w:space="0" w:color="auto"/>
            <w:right w:val="none" w:sz="0" w:space="0" w:color="auto"/>
          </w:divBdr>
        </w:div>
        <w:div w:id="1550143729">
          <w:marLeft w:val="360"/>
          <w:marRight w:val="0"/>
          <w:marTop w:val="0"/>
          <w:marBottom w:val="0"/>
          <w:divBdr>
            <w:top w:val="none" w:sz="0" w:space="0" w:color="auto"/>
            <w:left w:val="none" w:sz="0" w:space="0" w:color="auto"/>
            <w:bottom w:val="none" w:sz="0" w:space="0" w:color="auto"/>
            <w:right w:val="none" w:sz="0" w:space="0" w:color="auto"/>
          </w:divBdr>
        </w:div>
        <w:div w:id="1210335461">
          <w:marLeft w:val="360"/>
          <w:marRight w:val="0"/>
          <w:marTop w:val="0"/>
          <w:marBottom w:val="0"/>
          <w:divBdr>
            <w:top w:val="none" w:sz="0" w:space="0" w:color="auto"/>
            <w:left w:val="none" w:sz="0" w:space="0" w:color="auto"/>
            <w:bottom w:val="none" w:sz="0" w:space="0" w:color="auto"/>
            <w:right w:val="none" w:sz="0" w:space="0" w:color="auto"/>
          </w:divBdr>
        </w:div>
        <w:div w:id="1769766445">
          <w:marLeft w:val="0"/>
          <w:marRight w:val="0"/>
          <w:marTop w:val="0"/>
          <w:marBottom w:val="0"/>
          <w:divBdr>
            <w:top w:val="none" w:sz="0" w:space="0" w:color="auto"/>
            <w:left w:val="none" w:sz="0" w:space="0" w:color="auto"/>
            <w:bottom w:val="none" w:sz="0" w:space="0" w:color="auto"/>
            <w:right w:val="none" w:sz="0" w:space="0" w:color="auto"/>
          </w:divBdr>
        </w:div>
        <w:div w:id="633095976">
          <w:marLeft w:val="0"/>
          <w:marRight w:val="0"/>
          <w:marTop w:val="0"/>
          <w:marBottom w:val="0"/>
          <w:divBdr>
            <w:top w:val="none" w:sz="0" w:space="0" w:color="auto"/>
            <w:left w:val="none" w:sz="0" w:space="0" w:color="auto"/>
            <w:bottom w:val="none" w:sz="0" w:space="0" w:color="auto"/>
            <w:right w:val="none" w:sz="0" w:space="0" w:color="auto"/>
          </w:divBdr>
        </w:div>
        <w:div w:id="1772701853">
          <w:marLeft w:val="0"/>
          <w:marRight w:val="0"/>
          <w:marTop w:val="0"/>
          <w:marBottom w:val="0"/>
          <w:divBdr>
            <w:top w:val="none" w:sz="0" w:space="0" w:color="auto"/>
            <w:left w:val="none" w:sz="0" w:space="0" w:color="auto"/>
            <w:bottom w:val="none" w:sz="0" w:space="0" w:color="auto"/>
            <w:right w:val="none" w:sz="0" w:space="0" w:color="auto"/>
          </w:divBdr>
        </w:div>
        <w:div w:id="285507153">
          <w:marLeft w:val="0"/>
          <w:marRight w:val="0"/>
          <w:marTop w:val="0"/>
          <w:marBottom w:val="0"/>
          <w:divBdr>
            <w:top w:val="none" w:sz="0" w:space="0" w:color="auto"/>
            <w:left w:val="none" w:sz="0" w:space="0" w:color="auto"/>
            <w:bottom w:val="none" w:sz="0" w:space="0" w:color="auto"/>
            <w:right w:val="none" w:sz="0" w:space="0" w:color="auto"/>
          </w:divBdr>
        </w:div>
        <w:div w:id="490562146">
          <w:marLeft w:val="0"/>
          <w:marRight w:val="0"/>
          <w:marTop w:val="0"/>
          <w:marBottom w:val="0"/>
          <w:divBdr>
            <w:top w:val="none" w:sz="0" w:space="0" w:color="auto"/>
            <w:left w:val="none" w:sz="0" w:space="0" w:color="auto"/>
            <w:bottom w:val="none" w:sz="0" w:space="0" w:color="auto"/>
            <w:right w:val="none" w:sz="0" w:space="0" w:color="auto"/>
          </w:divBdr>
        </w:div>
        <w:div w:id="2075615973">
          <w:marLeft w:val="0"/>
          <w:marRight w:val="0"/>
          <w:marTop w:val="0"/>
          <w:marBottom w:val="0"/>
          <w:divBdr>
            <w:top w:val="none" w:sz="0" w:space="0" w:color="auto"/>
            <w:left w:val="none" w:sz="0" w:space="0" w:color="auto"/>
            <w:bottom w:val="none" w:sz="0" w:space="0" w:color="auto"/>
            <w:right w:val="none" w:sz="0" w:space="0" w:color="auto"/>
          </w:divBdr>
        </w:div>
        <w:div w:id="224920396">
          <w:marLeft w:val="0"/>
          <w:marRight w:val="0"/>
          <w:marTop w:val="0"/>
          <w:marBottom w:val="0"/>
          <w:divBdr>
            <w:top w:val="none" w:sz="0" w:space="0" w:color="auto"/>
            <w:left w:val="none" w:sz="0" w:space="0" w:color="auto"/>
            <w:bottom w:val="none" w:sz="0" w:space="0" w:color="auto"/>
            <w:right w:val="none" w:sz="0" w:space="0" w:color="auto"/>
          </w:divBdr>
        </w:div>
        <w:div w:id="1937253371">
          <w:marLeft w:val="840"/>
          <w:marRight w:val="0"/>
          <w:marTop w:val="0"/>
          <w:marBottom w:val="0"/>
          <w:divBdr>
            <w:top w:val="none" w:sz="0" w:space="0" w:color="auto"/>
            <w:left w:val="none" w:sz="0" w:space="0" w:color="auto"/>
            <w:bottom w:val="none" w:sz="0" w:space="0" w:color="auto"/>
            <w:right w:val="none" w:sz="0" w:space="0" w:color="auto"/>
          </w:divBdr>
        </w:div>
        <w:div w:id="267129699">
          <w:marLeft w:val="0"/>
          <w:marRight w:val="0"/>
          <w:marTop w:val="0"/>
          <w:marBottom w:val="0"/>
          <w:divBdr>
            <w:top w:val="none" w:sz="0" w:space="0" w:color="auto"/>
            <w:left w:val="none" w:sz="0" w:space="0" w:color="auto"/>
            <w:bottom w:val="none" w:sz="0" w:space="0" w:color="auto"/>
            <w:right w:val="none" w:sz="0" w:space="0" w:color="auto"/>
          </w:divBdr>
        </w:div>
        <w:div w:id="288901259">
          <w:marLeft w:val="0"/>
          <w:marRight w:val="0"/>
          <w:marTop w:val="0"/>
          <w:marBottom w:val="0"/>
          <w:divBdr>
            <w:top w:val="none" w:sz="0" w:space="0" w:color="auto"/>
            <w:left w:val="none" w:sz="0" w:space="0" w:color="auto"/>
            <w:bottom w:val="none" w:sz="0" w:space="0" w:color="auto"/>
            <w:right w:val="none" w:sz="0" w:space="0" w:color="auto"/>
          </w:divBdr>
        </w:div>
        <w:div w:id="1210150512">
          <w:marLeft w:val="0"/>
          <w:marRight w:val="0"/>
          <w:marTop w:val="0"/>
          <w:marBottom w:val="0"/>
          <w:divBdr>
            <w:top w:val="none" w:sz="0" w:space="0" w:color="auto"/>
            <w:left w:val="none" w:sz="0" w:space="0" w:color="auto"/>
            <w:bottom w:val="none" w:sz="0" w:space="0" w:color="auto"/>
            <w:right w:val="none" w:sz="0" w:space="0" w:color="auto"/>
          </w:divBdr>
        </w:div>
        <w:div w:id="214893852">
          <w:marLeft w:val="0"/>
          <w:marRight w:val="0"/>
          <w:marTop w:val="0"/>
          <w:marBottom w:val="0"/>
          <w:divBdr>
            <w:top w:val="none" w:sz="0" w:space="0" w:color="auto"/>
            <w:left w:val="none" w:sz="0" w:space="0" w:color="auto"/>
            <w:bottom w:val="none" w:sz="0" w:space="0" w:color="auto"/>
            <w:right w:val="none" w:sz="0" w:space="0" w:color="auto"/>
          </w:divBdr>
        </w:div>
        <w:div w:id="250503183">
          <w:marLeft w:val="0"/>
          <w:marRight w:val="0"/>
          <w:marTop w:val="0"/>
          <w:marBottom w:val="0"/>
          <w:divBdr>
            <w:top w:val="none" w:sz="0" w:space="0" w:color="auto"/>
            <w:left w:val="none" w:sz="0" w:space="0" w:color="auto"/>
            <w:bottom w:val="none" w:sz="0" w:space="0" w:color="auto"/>
            <w:right w:val="none" w:sz="0" w:space="0" w:color="auto"/>
          </w:divBdr>
        </w:div>
        <w:div w:id="2058628070">
          <w:marLeft w:val="0"/>
          <w:marRight w:val="0"/>
          <w:marTop w:val="0"/>
          <w:marBottom w:val="0"/>
          <w:divBdr>
            <w:top w:val="none" w:sz="0" w:space="0" w:color="auto"/>
            <w:left w:val="none" w:sz="0" w:space="0" w:color="auto"/>
            <w:bottom w:val="none" w:sz="0" w:space="0" w:color="auto"/>
            <w:right w:val="none" w:sz="0" w:space="0" w:color="auto"/>
          </w:divBdr>
        </w:div>
        <w:div w:id="1004167065">
          <w:marLeft w:val="0"/>
          <w:marRight w:val="0"/>
          <w:marTop w:val="0"/>
          <w:marBottom w:val="0"/>
          <w:divBdr>
            <w:top w:val="none" w:sz="0" w:space="0" w:color="auto"/>
            <w:left w:val="none" w:sz="0" w:space="0" w:color="auto"/>
            <w:bottom w:val="none" w:sz="0" w:space="0" w:color="auto"/>
            <w:right w:val="none" w:sz="0" w:space="0" w:color="auto"/>
          </w:divBdr>
        </w:div>
        <w:div w:id="466581904">
          <w:marLeft w:val="0"/>
          <w:marRight w:val="0"/>
          <w:marTop w:val="0"/>
          <w:marBottom w:val="0"/>
          <w:divBdr>
            <w:top w:val="none" w:sz="0" w:space="0" w:color="auto"/>
            <w:left w:val="none" w:sz="0" w:space="0" w:color="auto"/>
            <w:bottom w:val="none" w:sz="0" w:space="0" w:color="auto"/>
            <w:right w:val="none" w:sz="0" w:space="0" w:color="auto"/>
          </w:divBdr>
        </w:div>
        <w:div w:id="965433991">
          <w:marLeft w:val="0"/>
          <w:marRight w:val="0"/>
          <w:marTop w:val="0"/>
          <w:marBottom w:val="0"/>
          <w:divBdr>
            <w:top w:val="none" w:sz="0" w:space="0" w:color="auto"/>
            <w:left w:val="none" w:sz="0" w:space="0" w:color="auto"/>
            <w:bottom w:val="none" w:sz="0" w:space="0" w:color="auto"/>
            <w:right w:val="none" w:sz="0" w:space="0" w:color="auto"/>
          </w:divBdr>
        </w:div>
        <w:div w:id="844902777">
          <w:marLeft w:val="0"/>
          <w:marRight w:val="0"/>
          <w:marTop w:val="0"/>
          <w:marBottom w:val="0"/>
          <w:divBdr>
            <w:top w:val="none" w:sz="0" w:space="0" w:color="auto"/>
            <w:left w:val="none" w:sz="0" w:space="0" w:color="auto"/>
            <w:bottom w:val="none" w:sz="0" w:space="0" w:color="auto"/>
            <w:right w:val="none" w:sz="0" w:space="0" w:color="auto"/>
          </w:divBdr>
        </w:div>
        <w:div w:id="101583162">
          <w:marLeft w:val="0"/>
          <w:marRight w:val="0"/>
          <w:marTop w:val="0"/>
          <w:marBottom w:val="0"/>
          <w:divBdr>
            <w:top w:val="none" w:sz="0" w:space="0" w:color="auto"/>
            <w:left w:val="none" w:sz="0" w:space="0" w:color="auto"/>
            <w:bottom w:val="none" w:sz="0" w:space="0" w:color="auto"/>
            <w:right w:val="none" w:sz="0" w:space="0" w:color="auto"/>
          </w:divBdr>
        </w:div>
        <w:div w:id="1090468263">
          <w:marLeft w:val="0"/>
          <w:marRight w:val="0"/>
          <w:marTop w:val="0"/>
          <w:marBottom w:val="0"/>
          <w:divBdr>
            <w:top w:val="none" w:sz="0" w:space="0" w:color="auto"/>
            <w:left w:val="none" w:sz="0" w:space="0" w:color="auto"/>
            <w:bottom w:val="none" w:sz="0" w:space="0" w:color="auto"/>
            <w:right w:val="none" w:sz="0" w:space="0" w:color="auto"/>
          </w:divBdr>
        </w:div>
        <w:div w:id="1875539963">
          <w:marLeft w:val="0"/>
          <w:marRight w:val="0"/>
          <w:marTop w:val="0"/>
          <w:marBottom w:val="0"/>
          <w:divBdr>
            <w:top w:val="none" w:sz="0" w:space="0" w:color="auto"/>
            <w:left w:val="none" w:sz="0" w:space="0" w:color="auto"/>
            <w:bottom w:val="none" w:sz="0" w:space="0" w:color="auto"/>
            <w:right w:val="none" w:sz="0" w:space="0" w:color="auto"/>
          </w:divBdr>
        </w:div>
        <w:div w:id="175850710">
          <w:marLeft w:val="360"/>
          <w:marRight w:val="0"/>
          <w:marTop w:val="0"/>
          <w:marBottom w:val="0"/>
          <w:divBdr>
            <w:top w:val="none" w:sz="0" w:space="0" w:color="auto"/>
            <w:left w:val="none" w:sz="0" w:space="0" w:color="auto"/>
            <w:bottom w:val="none" w:sz="0" w:space="0" w:color="auto"/>
            <w:right w:val="none" w:sz="0" w:space="0" w:color="auto"/>
          </w:divBdr>
        </w:div>
        <w:div w:id="1448160104">
          <w:marLeft w:val="840"/>
          <w:marRight w:val="0"/>
          <w:marTop w:val="0"/>
          <w:marBottom w:val="0"/>
          <w:divBdr>
            <w:top w:val="none" w:sz="0" w:space="0" w:color="auto"/>
            <w:left w:val="none" w:sz="0" w:space="0" w:color="auto"/>
            <w:bottom w:val="none" w:sz="0" w:space="0" w:color="auto"/>
            <w:right w:val="none" w:sz="0" w:space="0" w:color="auto"/>
          </w:divBdr>
        </w:div>
        <w:div w:id="1285427342">
          <w:marLeft w:val="840"/>
          <w:marRight w:val="0"/>
          <w:marTop w:val="0"/>
          <w:marBottom w:val="0"/>
          <w:divBdr>
            <w:top w:val="none" w:sz="0" w:space="0" w:color="auto"/>
            <w:left w:val="none" w:sz="0" w:space="0" w:color="auto"/>
            <w:bottom w:val="none" w:sz="0" w:space="0" w:color="auto"/>
            <w:right w:val="none" w:sz="0" w:space="0" w:color="auto"/>
          </w:divBdr>
        </w:div>
        <w:div w:id="5583263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anxico.org.mx/publicaciones-y-prensa/informes-trimestrales/informes-trimestrales-precios.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disciplinafinanciera.hacienda.gob.mx/es/DISCIPLINA_FINANCIERA/Entidades_Federativas_2026" TargetMode="External"/><Relationship Id="rId4" Type="http://schemas.openxmlformats.org/officeDocument/2006/relationships/settings" Target="settings.xml"/><Relationship Id="rId9" Type="http://schemas.openxmlformats.org/officeDocument/2006/relationships/hyperlink" Target="https://contaduria.uady.mx/fca-investigacion/iee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54EF6-7431-4A09-A03C-9D066426A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9350</Words>
  <Characters>51428</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Victoria Pacheco Cardeña</dc:creator>
  <cp:keywords/>
  <dc:description/>
  <cp:lastModifiedBy>Laura V. Pacheco Cardeña</cp:lastModifiedBy>
  <cp:revision>2</cp:revision>
  <cp:lastPrinted>2026-04-07T00:17:00Z</cp:lastPrinted>
  <dcterms:created xsi:type="dcterms:W3CDTF">2026-07-29T01:18:00Z</dcterms:created>
  <dcterms:modified xsi:type="dcterms:W3CDTF">2026-07-29T01:18:00Z</dcterms:modified>
</cp:coreProperties>
</file>