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969" w:rsidRDefault="00A04969">
      <w:pPr>
        <w:divId w:val="460267441"/>
        <w:rPr>
          <w:rFonts w:ascii="Barlow" w:eastAsia="Times New Roman" w:hAnsi="Barlow"/>
          <w:sz w:val="20"/>
          <w:szCs w:val="20"/>
        </w:rPr>
      </w:pPr>
    </w:p>
    <w:p w:rsidR="00A04969" w:rsidRPr="00270A04" w:rsidRDefault="00347F2A">
      <w:pPr>
        <w:jc w:val="center"/>
        <w:divId w:val="310063571"/>
        <w:rPr>
          <w:rFonts w:ascii="Lato" w:eastAsia="Times New Roman" w:hAnsi="Lato"/>
          <w:sz w:val="20"/>
          <w:szCs w:val="20"/>
        </w:rPr>
      </w:pPr>
      <w:r w:rsidRPr="00270A04">
        <w:rPr>
          <w:rStyle w:val="Textoennegrita"/>
          <w:rFonts w:ascii="Lato" w:eastAsia="Times New Roman" w:hAnsi="Lato" w:cs="Calibri"/>
          <w:sz w:val="20"/>
          <w:szCs w:val="20"/>
        </w:rPr>
        <w:t>Ente Público: PODER EJECUTIVO</w:t>
      </w:r>
    </w:p>
    <w:p w:rsidR="00A04969" w:rsidRPr="00270A04" w:rsidRDefault="00347F2A">
      <w:pPr>
        <w:jc w:val="center"/>
        <w:divId w:val="310063571"/>
        <w:rPr>
          <w:rFonts w:ascii="Lato" w:eastAsia="Times New Roman" w:hAnsi="Lato"/>
          <w:sz w:val="20"/>
          <w:szCs w:val="20"/>
        </w:rPr>
      </w:pPr>
      <w:r w:rsidRPr="00270A04">
        <w:rPr>
          <w:rStyle w:val="Textoennegrita"/>
          <w:rFonts w:ascii="Lato" w:eastAsia="Times New Roman" w:hAnsi="Lato" w:cs="Calibri"/>
          <w:sz w:val="20"/>
          <w:szCs w:val="20"/>
        </w:rPr>
        <w:t>Notas a los estados financieros</w:t>
      </w:r>
    </w:p>
    <w:p w:rsidR="00A04969" w:rsidRPr="00270A04" w:rsidRDefault="00347F2A">
      <w:pPr>
        <w:jc w:val="center"/>
        <w:divId w:val="310063571"/>
        <w:rPr>
          <w:rFonts w:ascii="Lato" w:eastAsia="Times New Roman" w:hAnsi="Lato"/>
          <w:sz w:val="20"/>
          <w:szCs w:val="20"/>
        </w:rPr>
      </w:pPr>
      <w:r w:rsidRPr="00270A04">
        <w:rPr>
          <w:rStyle w:val="Textoennegrita"/>
          <w:rFonts w:ascii="Lato" w:eastAsia="Times New Roman" w:hAnsi="Lato" w:cs="Calibri"/>
          <w:sz w:val="20"/>
          <w:szCs w:val="20"/>
        </w:rPr>
        <w:t>Al 30 de septiembre de 2024.</w:t>
      </w:r>
    </w:p>
    <w:p w:rsidR="00A04969" w:rsidRPr="00270A04" w:rsidRDefault="00347F2A">
      <w:pPr>
        <w:jc w:val="center"/>
        <w:divId w:val="310063571"/>
        <w:rPr>
          <w:rFonts w:ascii="Lato" w:eastAsia="Times New Roman" w:hAnsi="Lato"/>
          <w:sz w:val="20"/>
          <w:szCs w:val="20"/>
        </w:rPr>
      </w:pPr>
      <w:r w:rsidRPr="00270A04">
        <w:rPr>
          <w:rStyle w:val="Textoennegrita"/>
          <w:rFonts w:ascii="Lato" w:eastAsia="Times New Roman" w:hAnsi="Lato" w:cs="Calibri"/>
          <w:sz w:val="20"/>
          <w:szCs w:val="20"/>
        </w:rPr>
        <w:t>(Pesos)</w:t>
      </w:r>
    </w:p>
    <w:p w:rsidR="00A04969" w:rsidRPr="00270A04" w:rsidRDefault="00347F2A" w:rsidP="001D71F0">
      <w:pPr>
        <w:autoSpaceDE w:val="0"/>
        <w:autoSpaceDN w:val="0"/>
        <w:adjustRightInd w:val="0"/>
        <w:spacing w:line="360" w:lineRule="auto"/>
        <w:jc w:val="both"/>
        <w:divId w:val="1712344262"/>
        <w:rPr>
          <w:rFonts w:ascii="Lato" w:hAnsi="Lato" w:cs="Arial"/>
          <w:sz w:val="20"/>
          <w:szCs w:val="20"/>
        </w:rPr>
      </w:pPr>
      <w:r w:rsidRPr="00270A04">
        <w:rPr>
          <w:rFonts w:ascii="Lato" w:hAnsi="Lato" w:cs="Arial"/>
          <w:b/>
          <w:bCs/>
          <w:sz w:val="20"/>
          <w:szCs w:val="20"/>
        </w:rPr>
        <w:t>Con el propósito de dar cumplimiento a los artículos 44, 45, 46, 47, 49, 52, y 53 de la Ley General de Contabilidad Gubernamental, artículo 31 fracciones XXVI y XXXII del Código de Ad</w:t>
      </w:r>
      <w:r w:rsidR="00374291" w:rsidRPr="00270A04">
        <w:rPr>
          <w:rFonts w:ascii="Lato" w:hAnsi="Lato" w:cs="Arial"/>
          <w:b/>
          <w:bCs/>
          <w:sz w:val="20"/>
          <w:szCs w:val="20"/>
        </w:rPr>
        <w:t>ministración Pública de Yucatán</w:t>
      </w:r>
      <w:r w:rsidRPr="00270A04">
        <w:rPr>
          <w:rFonts w:ascii="Lato" w:hAnsi="Lato" w:cs="Arial"/>
          <w:b/>
          <w:bCs/>
          <w:sz w:val="20"/>
          <w:szCs w:val="20"/>
        </w:rPr>
        <w:t>, el Poder Ejecutivo del Estado de Yucatán, ha preparado los Estados Financieros incluyendo las operaciones efectuadas al 30 de septiembre de 2024.</w:t>
      </w:r>
    </w:p>
    <w:p w:rsidR="00A04969" w:rsidRPr="00270A04" w:rsidRDefault="00347F2A">
      <w:pPr>
        <w:divId w:val="1719471099"/>
        <w:rPr>
          <w:rFonts w:ascii="Lato" w:eastAsia="Times New Roman" w:hAnsi="Lato"/>
          <w:sz w:val="20"/>
          <w:szCs w:val="20"/>
        </w:rPr>
      </w:pPr>
      <w:r w:rsidRPr="00270A04">
        <w:rPr>
          <w:rStyle w:val="Textoennegrita"/>
          <w:rFonts w:ascii="Lato" w:eastAsia="Times New Roman" w:hAnsi="Lato"/>
          <w:sz w:val="20"/>
          <w:szCs w:val="20"/>
        </w:rPr>
        <w:t>A) NOTAS DE GESTIÓN ADMINISTRATIVA</w:t>
      </w:r>
    </w:p>
    <w:p w:rsidR="00A04969" w:rsidRPr="00270A04" w:rsidRDefault="00347F2A">
      <w:pPr>
        <w:divId w:val="856575876"/>
        <w:rPr>
          <w:rFonts w:ascii="Lato" w:eastAsia="Times New Roman" w:hAnsi="Lato"/>
          <w:sz w:val="20"/>
          <w:szCs w:val="20"/>
        </w:rPr>
      </w:pPr>
      <w:r w:rsidRPr="00270A04">
        <w:rPr>
          <w:rStyle w:val="Textoennegrita"/>
          <w:rFonts w:ascii="Lato" w:eastAsia="Times New Roman" w:hAnsi="Lato"/>
          <w:sz w:val="20"/>
          <w:szCs w:val="20"/>
        </w:rPr>
        <w:t>1.-Autorización e Historia</w:t>
      </w:r>
    </w:p>
    <w:p w:rsidR="00A04969" w:rsidRPr="00270A04" w:rsidRDefault="00347F2A" w:rsidP="00E713A1">
      <w:pPr>
        <w:autoSpaceDE w:val="0"/>
        <w:autoSpaceDN w:val="0"/>
        <w:adjustRightInd w:val="0"/>
        <w:spacing w:line="360" w:lineRule="auto"/>
        <w:jc w:val="both"/>
        <w:divId w:val="537089348"/>
        <w:rPr>
          <w:rFonts w:ascii="Lato" w:hAnsi="Lato" w:cs="Arial"/>
          <w:sz w:val="20"/>
          <w:szCs w:val="20"/>
        </w:rPr>
      </w:pPr>
      <w:r w:rsidRPr="00270A04">
        <w:rPr>
          <w:rFonts w:ascii="Lato" w:hAnsi="Lato" w:cs="Arial"/>
          <w:b/>
          <w:bCs/>
          <w:sz w:val="20"/>
          <w:szCs w:val="20"/>
        </w:rPr>
        <w:t xml:space="preserve">a) Fecha de creación del ente. </w:t>
      </w:r>
    </w:p>
    <w:p w:rsidR="00A04969" w:rsidRPr="00270A04" w:rsidRDefault="00347F2A" w:rsidP="00E713A1">
      <w:pPr>
        <w:autoSpaceDE w:val="0"/>
        <w:autoSpaceDN w:val="0"/>
        <w:adjustRightInd w:val="0"/>
        <w:spacing w:line="360" w:lineRule="auto"/>
        <w:jc w:val="both"/>
        <w:divId w:val="977757782"/>
        <w:rPr>
          <w:rFonts w:ascii="Lato" w:hAnsi="Lato" w:cs="Arial"/>
          <w:sz w:val="20"/>
          <w:szCs w:val="20"/>
        </w:rPr>
      </w:pPr>
      <w:r w:rsidRPr="00270A04">
        <w:rPr>
          <w:rFonts w:ascii="Lato" w:hAnsi="Lato" w:cs="Arial"/>
          <w:sz w:val="20"/>
          <w:szCs w:val="20"/>
        </w:rPr>
        <w:t>La fecha del Registro Federal de Contribuyentes de la Secretaría, corresponde al 12 de mayo de 1984, con base en la Ley Orgánica del Poder Ejecutivo del Estado de Yucatán de fecha 10 de mayo de 1984.</w:t>
      </w:r>
    </w:p>
    <w:p w:rsidR="00A04969" w:rsidRPr="00270A04" w:rsidRDefault="00347F2A">
      <w:pPr>
        <w:divId w:val="528035325"/>
        <w:rPr>
          <w:rFonts w:ascii="Lato" w:eastAsia="Times New Roman" w:hAnsi="Lato"/>
          <w:sz w:val="20"/>
          <w:szCs w:val="20"/>
        </w:rPr>
      </w:pPr>
      <w:r w:rsidRPr="00270A04">
        <w:rPr>
          <w:rStyle w:val="Textoennegrita"/>
          <w:rFonts w:ascii="Lato" w:eastAsia="Times New Roman" w:hAnsi="Lato"/>
          <w:sz w:val="20"/>
          <w:szCs w:val="20"/>
        </w:rPr>
        <w:t>b) Principales cambios en su estructura.</w:t>
      </w:r>
    </w:p>
    <w:p w:rsidR="00A04969" w:rsidRPr="00270A04" w:rsidRDefault="00347F2A" w:rsidP="00E713A1">
      <w:pPr>
        <w:autoSpaceDE w:val="0"/>
        <w:autoSpaceDN w:val="0"/>
        <w:adjustRightInd w:val="0"/>
        <w:spacing w:line="360" w:lineRule="auto"/>
        <w:jc w:val="both"/>
        <w:divId w:val="1516646716"/>
        <w:rPr>
          <w:rFonts w:ascii="Lato" w:hAnsi="Lato" w:cs="Arial"/>
          <w:sz w:val="20"/>
          <w:szCs w:val="20"/>
        </w:rPr>
      </w:pPr>
      <w:r w:rsidRPr="00270A04">
        <w:rPr>
          <w:rFonts w:ascii="Lato" w:hAnsi="Lato" w:cs="Arial"/>
          <w:sz w:val="20"/>
          <w:szCs w:val="20"/>
        </w:rPr>
        <w:t>Las modificaciones a la estructura de la administración Pública centralizada del Gobierno del Estado de Yucatán, surgen por nuevas disposiciones legales, la Ley Orgánica del Poder Ejecutivo del Estado se abroga, dando lugar a la “Ley Orgánica de la Administración Pública del Estado de Yucatán” a los 8 días del mes de Marzo del año de mil novecientos ochenta y ocho, esta última se abroga al entrar en vigor “ El Código de la Administración Pública de Yucatán” (CAPY) el 1º de Enero del 2008, la última actualización se publicó el 22 de Abril de 2019.</w:t>
      </w:r>
    </w:p>
    <w:p w:rsidR="00854F79" w:rsidRPr="00270A04" w:rsidRDefault="00854F79" w:rsidP="00E713A1">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 xml:space="preserve">En el decreto número 28 de fecha 1 de enero del 2013 se reforman, derogan y adicionan diversas disposiciones del Reglamento del Código de la Administración Pública de Yucatán. La última actualización se publicó el 13 de octubre de 2022. </w:t>
      </w:r>
    </w:p>
    <w:p w:rsidR="00854F79" w:rsidRPr="00270A04" w:rsidRDefault="00854F79" w:rsidP="00E713A1">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lastRenderedPageBreak/>
        <w:t xml:space="preserve">Se realizó la reestructuración de la Administración Pública con el mismo propósito de racionalizar el gasto público, optimizar el presupuesto e incrementar la eficiencia. Las modificaciones consistieron en robustecer áreas sustantivas y desaparecer organismos cuyas funciones podían ser realizadas por otros, adelgazando así la estructura gubernamental. </w:t>
      </w:r>
    </w:p>
    <w:p w:rsidR="00854F79" w:rsidRPr="00270A04" w:rsidRDefault="00854F79" w:rsidP="00E713A1">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En el ejercicio 2023 la Fiscalía General del Estado, pasó a ser un organismo autónomo y dejó de ser una dependencia de la administración Pública centralizada del Gobierno del Estado de Yucatán.</w:t>
      </w:r>
    </w:p>
    <w:p w:rsidR="00854F79" w:rsidRPr="00270A04" w:rsidRDefault="00854F79" w:rsidP="00854F79">
      <w:pPr>
        <w:divId w:val="1869564581"/>
        <w:rPr>
          <w:rFonts w:ascii="Lato" w:eastAsia="Times New Roman" w:hAnsi="Lato"/>
          <w:sz w:val="20"/>
          <w:szCs w:val="20"/>
        </w:rPr>
      </w:pPr>
      <w:r w:rsidRPr="00270A04">
        <w:rPr>
          <w:rStyle w:val="Textoennegrita"/>
          <w:rFonts w:ascii="Lato" w:eastAsia="Times New Roman" w:hAnsi="Lato"/>
          <w:sz w:val="20"/>
          <w:szCs w:val="20"/>
        </w:rPr>
        <w:t>2.-Panorama Económico y Financiero</w:t>
      </w:r>
    </w:p>
    <w:p w:rsidR="00854F79" w:rsidRPr="00270A04" w:rsidRDefault="00854F79" w:rsidP="00854F79">
      <w:pPr>
        <w:divId w:val="1869564581"/>
        <w:rPr>
          <w:rStyle w:val="Textoennegrita"/>
          <w:rFonts w:ascii="Lato" w:eastAsia="Times New Roman" w:hAnsi="Lato"/>
          <w:sz w:val="20"/>
          <w:szCs w:val="20"/>
        </w:rPr>
      </w:pPr>
    </w:p>
    <w:p w:rsidR="00854F79" w:rsidRPr="00270A04" w:rsidRDefault="00854F79" w:rsidP="00854F79">
      <w:pPr>
        <w:divId w:val="1869564581"/>
        <w:rPr>
          <w:rStyle w:val="Textoennegrita"/>
          <w:rFonts w:ascii="Lato" w:eastAsia="Times New Roman" w:hAnsi="Lato"/>
          <w:sz w:val="20"/>
          <w:szCs w:val="20"/>
        </w:rPr>
      </w:pPr>
      <w:r w:rsidRPr="00270A04">
        <w:rPr>
          <w:rStyle w:val="Textoennegrita"/>
          <w:rFonts w:ascii="Lato" w:eastAsia="Times New Roman" w:hAnsi="Lato"/>
          <w:sz w:val="20"/>
          <w:szCs w:val="20"/>
        </w:rPr>
        <w:t>2.1 Panorama económico nacional</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 xml:space="preserve">De acuerdo a la información publicada en la página web oficial del Banco de México en su informe trimestral abril – junio 2024 publicado el 28 de agosto 2024 en el cual advierte que las cifras son de carácter preliminar y están sujetas a revisiones indica en el tercer trimestre. </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En el segundo trimestre de 2024 prevaleció la marcada debilidad que la actividad económica nacional ha exhibido desde el cuarto trimestre de 2023. En particular, luego de la ligera contracción observada en el último trimestre del año pasado (variación trimestral de -0.06%) y el avance marginal registrado en el primer trimestre del año en curso (variación trimestral de 0.11%), en el periodo abril-junio el PIB creció a una tasa trimestral de 0.16% (aumento anual de 2.1% con series sin ajuste estacional y de 1.0% con cifras desestacionalizadas).</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Desde una perspectiva sectorial, el desempeño económico durante el segundo trimestre de 2024 fue reflejo, principalmente, de la atonía de las actividades secundarias y de la pérdida de dinamismo de las actividades terciarias. Si bien las actividades secundarias presentaron un avance de 0.26% respecto del primer trimestre, este fue insuficiente para revertir las caídas observadas en los dos trimestres anteriores. A su vez, el crecimiento trimestral de 0.14% de los servicios representó un claro menor dinamismo que el exhibido en los primeros tres trimestres de 2023. Finalmente, las actividades primarias retrocedieron 0.24% en relación con el trimestre previo.</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 xml:space="preserve">Durante el periodo abril-junio de 2024, el mercado laboral continuó mostrando fortaleza, si bien con ciertas señales de moderación. Con datos desestacionalizados, en dicho trimestre tanto la tasa de desocupación nacional como la urbana se situaron en niveles similares a los registrados en el primer trimestre, de modo que permanecieron en niveles históricamente bajos. La tasa de desocupación nacional se ubicó en 2.7% y la tasa de </w:t>
      </w:r>
      <w:r w:rsidRPr="00270A04">
        <w:rPr>
          <w:rFonts w:ascii="Lato" w:hAnsi="Lato" w:cs="Arial"/>
          <w:sz w:val="20"/>
          <w:szCs w:val="20"/>
        </w:rPr>
        <w:lastRenderedPageBreak/>
        <w:t>desocupación urbana en 3.4%. Aunque se mantuvieron en niveles bajos, las tasas de subocupación y de desocupación extendida exhibieron incrementos respecto del trimestre previo. La primera se situó en 7.4% y la segunda en 10.1%. La tasa de participación laboral y la razón de ocupación a población en edad de trabajar retrocedieron respecto del trimestre previo. Con cifras ajustadas por estacionalidad, la tasa de participación se ubicó en 60.2% de la población de 15 años y más, y la razón de ocupación a población en edad de trabajar en 58.6%.</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En el segundo trimestre de 2024 y principios del tercero con datos desestacionalizados el empleo formal afiliado al IMSS continuó perdiendo dinamismo. Ello ha reflejado, principalmente, un estancamiento prolongado en el empleo de las manufacturas y un menor crecimiento del empleo en la construcción. En el periodo abril-junio, la tasa de informalidad laboral se mantuvo en un nivel similar al del primer trimestre. Dicha tasa se situó en 54.3% con cifras desestacionalizadas, tasa que se compara con la de 54.4% del trimestre anterior. Por su parte, la tasa de ocupación en el sector informal se ubicó en 28.0% de la población ocupada. Este nivel se compara con el observado el trimestre previo de 27.9%.</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Respecto de los indicadores del mercado laboral por género, en el periodo abril-junio de 2024 la tasa de desocupación con cifras desestacionalizadas fue de 2.7% tanto para hombres como para mujeres. La tasa de participación y la razón de ocupación a población en edad de trabajar de los hombres han presentado cambios acotados en los trimestres recientes. En el segundo trimestre de 2024, dichos indicadores se situaron en 76.2 y 74.1%, respectivamente. En el caso de las mujeres, en el trimestre la tasa de participación se ubicó en 46.3% y su razón de ocupación a población en edad de trabajar en 45.0%. Ambos indicadores disminuyeron respecto del trimestre previo, aunque permanecieron en niveles relativamente elevados.</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La inflación general anual pasó de 4.57 a 4.77% entre el primer y el segundo trimestre de 2024 y alcanzó 5.57% en julio. Este desempeño fue resultado enteramente del incremento de la inflación no subyacente. En la primera quincena de agosto, la inflación general anual se redujo a 5.16% al moderarse la inflación no subyacente. La inflación subyacente, la cual refleja de mejor forma la tendencia de mediano plazo de la inflación, mantuvo una tendencia descendente a lo largo de todo el periodo que se reporta.</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 xml:space="preserve">En mayor detalle, la inflación subyacente se redujo de 4.65 a 4.23% entre el primer y el segundo trimestre de 2024 y se situó en 3.98% en la primera quincena de agosto. Este comportamiento a la baja continuó reflejando el desvanecimiento de los choques asociados con la pandemia y el conflicto en Ucrania, así como las acciones de política monetaria implementadas. En el interior del índice subyacente, la inflación de las mercancías siguió reduciéndose. La inflación de los servicios mantuvo niveles elevados sin presentar un claro punto de inflexión a la baja. Por su parte, la inflación no </w:t>
      </w:r>
      <w:r w:rsidRPr="00270A04">
        <w:rPr>
          <w:rFonts w:ascii="Lato" w:hAnsi="Lato" w:cs="Arial"/>
          <w:sz w:val="20"/>
          <w:szCs w:val="20"/>
        </w:rPr>
        <w:lastRenderedPageBreak/>
        <w:t>subyacente se incrementó de 4.31 a 6.46% entre esos trimestres, alcanzando 10.36% en julio. Esta trayectoria al alza fue resultado del aumento en la inflación de los energéticos y de los agropecuarios. En el primer caso, destacó el incremento en las variaciones del precio del gas L.P. derivadas del comportamiento de sus referencias internacionales. La inflación de los agropecuarios, por su parte, estuvo impulsada por las mayores variaciones de los precios de las frutas y verduras que resultaron presionados por choques de oferta. En la primera quincena de agosto, la inflación no subyacente descendió a 8.80% ante cierta reversión de los choques que la habían afectado.</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Ante las presiones de los precios del índice no subyacente, la tendencia de las variaciones mensuales ajustadas por estacionalidad y anualizadas del índice general (media móvil de tres observaciones) exhibió una trayectoria ascendente durante el segundo trimestre de 2024, si bien se moderó en el margen. Asimismo, la proporción de la canasta del Índice Nacional de Precios al Consumidor (INPC) con variaciones de precios ajustadas por estacionalidad y anualizadas mayores a 10% presentó cierto aumento en el inicio del segundo trimestre de 2024, aunque dicha proporción se ha ido reduciendo y se situó en 10% en su lectura más reciente. A su vez, la proporción de esa canasta con variaciones de precios menores o iguales a 3% se redujo entre trimestres y registró 23% en la primera quincena de agosto de 2024. Sin embargo, como reflejo de que los choques a la inflación se han concentrado en algunos productos del componente no subyacente, el Indicador de Media Truncada para la inflación general continuó disminuyendo en la mayor parte del segundo trimestre de 2024 y se situó en 4.30% en la primera quincena de agosto. Este Indicador mantiene niveles inferiores a los datos sin truncar desde diciembre de 2023.</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En lo que concierne al Índice Nacional de Precios Productor (INPP) de producción total, excluyendo petróleo, su variación anual promedio subió de 1.53% en el primer trimestre de 2024 a 3.49% en el segundo trimestre del mismo año, ubicándose en 5.33% en julio de 2024. En el interior de este indicador, la variación anual promedio del componente de mercancías y servicios finales aumentó entre los trimestres mencionados, al pasar de 2.30 a 3.64%, situándose en 5.26% en el séptimo mes de este año. En lo que se refiere al subíndice de mercancías y servicios de exportación, su variación anual promedio subió de -0.67 a 2.79% en los trimestres referidos, y registró una variación anual de 6.54% en julio. El subíndice de precios de bienes y servicios intermedios mostró un alza en su tasa de variación anual promedio, de -0.44 a 3.09% durante el mismo periodo trimestral, para ubicarse en 5.49% en julio. Conjuntamente, la variación anual del subíndice de precios productor de bienes finales para consumo interno disminuyó entre los trimestres mencionados,</w:t>
      </w:r>
      <w:r w:rsidRPr="00270A04">
        <w:rPr>
          <w:rFonts w:ascii="Lato" w:hAnsi="Lato"/>
          <w:sz w:val="20"/>
          <w:szCs w:val="20"/>
        </w:rPr>
        <w:t xml:space="preserve"> </w:t>
      </w:r>
      <w:r w:rsidRPr="00270A04">
        <w:rPr>
          <w:rFonts w:ascii="Lato" w:hAnsi="Lato" w:cs="Arial"/>
          <w:sz w:val="20"/>
          <w:szCs w:val="20"/>
        </w:rPr>
        <w:t>al pasar de 4.11 a 3.64%, al tiempo que en julio se ubicó en 3.67%. Este subíndice es de particular relevancia pues es el que tiene un mayor poder predictivo sobre la evolución de los precios de las mercancías al consumidor incluidas en el subíndice subyacente.</w:t>
      </w:r>
    </w:p>
    <w:p w:rsidR="00854F79" w:rsidRPr="00270A04" w:rsidRDefault="00854F79" w:rsidP="00854F79">
      <w:pPr>
        <w:divId w:val="1869564581"/>
        <w:rPr>
          <w:rStyle w:val="Textoennegrita"/>
          <w:rFonts w:ascii="Lato" w:eastAsia="Times New Roman" w:hAnsi="Lato"/>
          <w:sz w:val="20"/>
          <w:szCs w:val="20"/>
        </w:rPr>
      </w:pPr>
      <w:r w:rsidRPr="00270A04">
        <w:rPr>
          <w:rStyle w:val="Textoennegrita"/>
          <w:rFonts w:ascii="Lato" w:eastAsia="Times New Roman" w:hAnsi="Lato"/>
          <w:sz w:val="20"/>
          <w:szCs w:val="20"/>
        </w:rPr>
        <w:lastRenderedPageBreak/>
        <w:t>2.2 Panorama económico local</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Conforme al Boletín Año X Vol. 9 Indicadores Económicos del Estado de Yucatán publicado en la página oficial de la Universidad Autónoma del Estado de Yucatán (UADY) Facultad de Contaduría y Administración con cifras al mes de agosto 2024:</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La inflación mensual en Mérida fue de 0.58% en julio de 2024, resultando un ligero aumento en la inflación en comparación con el mes junio de 2024.</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Los precios en Mérida han acumulado durante el año 2024 2.28%, mientras que para agosto a nivel nacional ha acumulado 2.75 puntos porcentuales.</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La inflación anualizada de Mérida, al mes de julio de 2024, fue de 5.89%, un punto menor a la variación anual de la región que fue de 5.90% y mayor a la inflación anualizada nacional al mes de agosto con 4.99%.</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El empleo formal en el Estado de Yucatán al mes de agosto del 2024 registra 437,587 asegurados en el IMSS; lo anterior indica un aumento de 0.92% en el número de trabajadores asegurados. Los trabajadores asegurados permanentes también registran un aumento con respecto al mes de julio de 2024 en un 0.89%.</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El salario mínimo real de agosto de 2024 es de $183.02 observándose una disminución en el poder adquisitivo de 1 centavos.</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Por sector de actividad y con series desestacionalizadas, durante el segundo trimestre de 2024 a nivel estatal la productividad laboral con base en horas trabajadas en los establecimientos manufactureros tuvo una variación de 4.1%, mientras que en las empresas de comercio al por mayor se observó una variación negativa con respecto al mismo trimestre del año anterior de -4.2%, sin embargo, en las empresas de comercio al por menor tuvieron una variación positiva de 0.5 puntos porcentuales.</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Durante el segundo trimestre de 2024, la tasa de participación económica fue de 65.9 % de la población en edad para trabajar, cifra inferior en -0.28 de punto porcentual del segundo trimestre de 2023.</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La tasa de participación económica masculina fue de 79.3 %, cifra menor a la del segundo trimestre de 2023 en -0.38 de punto porcentual. La tasa femenina fue de 53.6 %, cifra inferior en -0.36 de punto porcentual, en comparación con el mismo trimestre del año anterior.</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lastRenderedPageBreak/>
        <w:t>La ocupación laboral en la industria manufacturera en el estado, durante el segundo trimestre de 2024, fue de 182,277 empleados, sin embargo, la mayor ocupación laboral se concentra en Comercio y Otros servicios con 218,530 y 469,871, respectivamente.</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El costo unitario de la mano de obra trabajada en los establecimientos manufactureros de Yucatán tuvo una variación negativa de -1.7%, mientras que las empresas comerciales al mayoreo mostraron una variación positiva de 12.5%, y las empresas comerciales al por menor presentan una variación positiva de 5.7%.</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El Costo Unitario de la Mano de Obra Nacional por hora trabajada en los establecimientos manufactureros tuvo una variación de 0.8% en el segundo trimestre de 2024 frente al mismo trimestre del año anterior. Con base en el personal ocupado total, el Costo Unitario de la Mano de Obra en las empresas comerciales dedicadas al mayoreo muestra una variación de 15.0% y en las empresas de comercio al menudeo una variación de 7.3%.</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Las ventas al mayoreo en Yucatán en julio de 2024 indicaron una variación de -1.3%, con lo que se observa cinco meses consecutivos con índices negativos; las ventas al por menor registran una variación de 1.6% en igual período.</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El precio de las viviendas con crédito hipotecario de la media nacional fue de 9.5% en el segundo trimestre del año 2024; el estado de Yucatán se ubicó por debajo del promedio nacional con 9.6%. Se observa que 19 estados tuvieron porcentajes arriba del promedio nacional y 14 estados por debajo del promedio nacional. Se identifican algunos cambios respecto a los estados con los índices más altos y los más bajos respecto a los trimestres anteriores, sin embargo, Baja California Sur continúa siendo el estado con el mayor índice alcanzando 14.7%.</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Se observa que la percepción de inseguridad en Mérida para el mes de junio de 2024 fue de 22.0%, ubicándose por debajo del promedio nacional con un 59.4%; así mismo resalta que su comportamiento desde el primer trimestre de 2022 al primer trimestre de 2024, se observan percepciones con incrementos y disminuciones pero que las tasas del I trimestre de 2024 son menores al porcentaje de cierre del año 2023.</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t>De acuerdo con el INEGI, en su Encuesta Nacional de Victimización y Percepción sobre Seguridad Pública (ENVIPE), 2023 y 2024, se observar que los Estados con mayor tasa de incidencia delictiva por cada 100,000 habitantes son la Ciudad de México, Estado de México y Aguascalientes. Por el lado contrario los Estados con menos incidencia delictiva se encuentra Chiapas, Durango y Oaxaca. Yucatán se ubica en la posición 16.</w:t>
      </w:r>
    </w:p>
    <w:p w:rsidR="00854F79" w:rsidRPr="00270A04" w:rsidRDefault="00854F79" w:rsidP="00854F79">
      <w:pPr>
        <w:autoSpaceDE w:val="0"/>
        <w:autoSpaceDN w:val="0"/>
        <w:adjustRightInd w:val="0"/>
        <w:spacing w:line="360" w:lineRule="auto"/>
        <w:jc w:val="both"/>
        <w:divId w:val="1869564581"/>
        <w:rPr>
          <w:rFonts w:ascii="Lato" w:hAnsi="Lato" w:cs="Arial"/>
          <w:sz w:val="20"/>
          <w:szCs w:val="20"/>
        </w:rPr>
      </w:pPr>
      <w:r w:rsidRPr="00270A04">
        <w:rPr>
          <w:rFonts w:ascii="Lato" w:hAnsi="Lato" w:cs="Arial"/>
          <w:sz w:val="20"/>
          <w:szCs w:val="20"/>
        </w:rPr>
        <w:lastRenderedPageBreak/>
        <w:t>Durante julio de 2024, el porcentaje general de ocupación hotelera en el Estado de Yucatán se ubicó en 56.8%, lo cual presentó una disminución con respecto el mismo mes del año anterior. De igual manera, se observa una disminución en las cifras de llegada de turistas nacionales y turistas internacionales a la ciudad de Mérida en el mes de julio 2024 respecto a julio 2023.</w:t>
      </w:r>
    </w:p>
    <w:p w:rsidR="00E713A1" w:rsidRPr="00270A04" w:rsidRDefault="00E713A1" w:rsidP="00E713A1">
      <w:pPr>
        <w:autoSpaceDE w:val="0"/>
        <w:autoSpaceDN w:val="0"/>
        <w:adjustRightInd w:val="0"/>
        <w:spacing w:line="360" w:lineRule="auto"/>
        <w:jc w:val="both"/>
        <w:divId w:val="570427540"/>
        <w:rPr>
          <w:rFonts w:ascii="Lato" w:hAnsi="Lato" w:cs="Arial"/>
          <w:sz w:val="20"/>
          <w:szCs w:val="20"/>
        </w:rPr>
      </w:pPr>
      <w:r w:rsidRPr="00270A04">
        <w:rPr>
          <w:rFonts w:ascii="Lato" w:hAnsi="Lato" w:cs="Arial"/>
          <w:sz w:val="20"/>
          <w:szCs w:val="20"/>
        </w:rPr>
        <w:t>Con información del segundo trimestre 2024 Yucatán se ha catalogado con un endeudamiento sostenible, como resultado de la evaluación realizada por el Sistema de Alertas, a través de los indicadores establecidos para tal fin, en los que se puede observar que la Deuda Pública y Obligaciones representa el 33.9% sobre Ingresos de Libre Disposición, así como el  Servicio de la Deuda y de Obligaciones sobre los Ingresos de Libre Disposición representa el 5.2% y las Obligaciones a Corto Plazo y Proveedores y Contratistas sobre Ingresos Totales es de -5.1%.”</w:t>
      </w:r>
    </w:p>
    <w:p w:rsidR="00E713A1" w:rsidRPr="00270A04" w:rsidRDefault="00E713A1" w:rsidP="00E713A1">
      <w:pPr>
        <w:autoSpaceDE w:val="0"/>
        <w:autoSpaceDN w:val="0"/>
        <w:adjustRightInd w:val="0"/>
        <w:spacing w:line="360" w:lineRule="auto"/>
        <w:jc w:val="both"/>
        <w:divId w:val="570427540"/>
        <w:rPr>
          <w:rFonts w:ascii="Lato" w:hAnsi="Lato" w:cs="Arial"/>
          <w:sz w:val="20"/>
          <w:szCs w:val="20"/>
        </w:rPr>
      </w:pPr>
    </w:p>
    <w:p w:rsidR="00A04969" w:rsidRPr="00270A04" w:rsidRDefault="00347F2A">
      <w:pPr>
        <w:divId w:val="853376021"/>
        <w:rPr>
          <w:rFonts w:ascii="Lato" w:eastAsia="Times New Roman" w:hAnsi="Lato"/>
          <w:sz w:val="20"/>
          <w:szCs w:val="20"/>
        </w:rPr>
      </w:pPr>
      <w:r w:rsidRPr="00270A04">
        <w:rPr>
          <w:rStyle w:val="Textoennegrita"/>
          <w:rFonts w:ascii="Lato" w:eastAsia="Times New Roman" w:hAnsi="Lato"/>
          <w:sz w:val="20"/>
          <w:szCs w:val="20"/>
        </w:rPr>
        <w:t>3.- Organización y Objeto Social</w:t>
      </w:r>
    </w:p>
    <w:p w:rsidR="00A04969" w:rsidRPr="00270A04" w:rsidRDefault="00347F2A">
      <w:pPr>
        <w:divId w:val="1658343263"/>
        <w:rPr>
          <w:rFonts w:ascii="Lato" w:eastAsia="Times New Roman" w:hAnsi="Lato"/>
          <w:sz w:val="20"/>
          <w:szCs w:val="20"/>
        </w:rPr>
      </w:pPr>
      <w:r w:rsidRPr="00270A04">
        <w:rPr>
          <w:rStyle w:val="Textoennegrita"/>
          <w:rFonts w:ascii="Lato" w:eastAsia="Times New Roman" w:hAnsi="Lato"/>
          <w:sz w:val="20"/>
          <w:szCs w:val="20"/>
        </w:rPr>
        <w:t>a) Objeto social.</w:t>
      </w:r>
    </w:p>
    <w:p w:rsidR="00A04969" w:rsidRPr="00270A04" w:rsidRDefault="00347F2A" w:rsidP="00E713A1">
      <w:pPr>
        <w:autoSpaceDE w:val="0"/>
        <w:autoSpaceDN w:val="0"/>
        <w:adjustRightInd w:val="0"/>
        <w:spacing w:line="360" w:lineRule="auto"/>
        <w:jc w:val="both"/>
        <w:divId w:val="95448529"/>
        <w:rPr>
          <w:rFonts w:ascii="Lato" w:hAnsi="Lato" w:cs="Arial"/>
          <w:sz w:val="20"/>
          <w:szCs w:val="20"/>
        </w:rPr>
      </w:pPr>
      <w:r w:rsidRPr="00270A04">
        <w:rPr>
          <w:rFonts w:ascii="Lato" w:hAnsi="Lato" w:cs="Arial"/>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rsidR="00A04969" w:rsidRPr="00270A04" w:rsidRDefault="00347F2A">
      <w:pPr>
        <w:divId w:val="427166146"/>
        <w:rPr>
          <w:rFonts w:ascii="Lato" w:eastAsia="Times New Roman" w:hAnsi="Lato"/>
          <w:sz w:val="20"/>
          <w:szCs w:val="20"/>
        </w:rPr>
      </w:pPr>
      <w:r w:rsidRPr="00270A04">
        <w:rPr>
          <w:rStyle w:val="Textoennegrita"/>
          <w:rFonts w:ascii="Lato" w:eastAsia="Times New Roman" w:hAnsi="Lato"/>
          <w:sz w:val="20"/>
          <w:szCs w:val="20"/>
        </w:rPr>
        <w:t>b) Principal actividad</w:t>
      </w:r>
    </w:p>
    <w:p w:rsidR="00A04969" w:rsidRPr="00270A04" w:rsidRDefault="00347F2A" w:rsidP="00E713A1">
      <w:pPr>
        <w:autoSpaceDE w:val="0"/>
        <w:autoSpaceDN w:val="0"/>
        <w:adjustRightInd w:val="0"/>
        <w:spacing w:line="360" w:lineRule="auto"/>
        <w:jc w:val="both"/>
        <w:divId w:val="1629510035"/>
        <w:rPr>
          <w:rFonts w:ascii="Lato" w:hAnsi="Lato" w:cs="Arial"/>
          <w:sz w:val="20"/>
          <w:szCs w:val="20"/>
        </w:rPr>
      </w:pPr>
      <w:r w:rsidRPr="00270A04">
        <w:rPr>
          <w:rFonts w:ascii="Lato" w:hAnsi="Lato" w:cs="Arial"/>
          <w:sz w:val="20"/>
          <w:szCs w:val="20"/>
        </w:rPr>
        <w:t>La administración Pública centralizada del Estado, es la parte del Poder Ejecutivo cuya responsabilidad es la realización de actos administrativos, jurídicos y materiales, para la prestación de los servicios públicos, para satisfacer las necesidades colectivas.</w:t>
      </w:r>
    </w:p>
    <w:p w:rsidR="00A04969" w:rsidRPr="00270A04" w:rsidRDefault="00347F2A">
      <w:pPr>
        <w:divId w:val="2082562235"/>
        <w:rPr>
          <w:rFonts w:ascii="Lato" w:eastAsia="Times New Roman" w:hAnsi="Lato"/>
          <w:sz w:val="20"/>
          <w:szCs w:val="20"/>
        </w:rPr>
      </w:pPr>
      <w:r w:rsidRPr="00270A04">
        <w:rPr>
          <w:rStyle w:val="Textoennegrita"/>
          <w:rFonts w:ascii="Lato" w:eastAsia="Times New Roman" w:hAnsi="Lato"/>
          <w:sz w:val="20"/>
          <w:szCs w:val="20"/>
        </w:rPr>
        <w:t>c) Ejercicio Fiscal 2024.</w:t>
      </w:r>
    </w:p>
    <w:p w:rsidR="00A04969" w:rsidRPr="00270A04" w:rsidRDefault="00347F2A" w:rsidP="00E713A1">
      <w:pPr>
        <w:autoSpaceDE w:val="0"/>
        <w:autoSpaceDN w:val="0"/>
        <w:adjustRightInd w:val="0"/>
        <w:spacing w:line="360" w:lineRule="auto"/>
        <w:jc w:val="both"/>
        <w:divId w:val="496577010"/>
        <w:rPr>
          <w:rFonts w:ascii="Lato" w:hAnsi="Lato" w:cs="Arial"/>
          <w:sz w:val="20"/>
          <w:szCs w:val="20"/>
        </w:rPr>
      </w:pPr>
      <w:r w:rsidRPr="00270A04">
        <w:rPr>
          <w:rFonts w:ascii="Lato" w:hAnsi="Lato" w:cs="Arial"/>
          <w:sz w:val="20"/>
          <w:szCs w:val="20"/>
        </w:rPr>
        <w:t>Las cifras contenidas en los Estados Financieros y que se mencionan en estas notas se presentan al 30 de septiembre del Ejercicio Fiscal 2024.</w:t>
      </w:r>
    </w:p>
    <w:p w:rsidR="00A04969" w:rsidRPr="00270A04" w:rsidRDefault="00347F2A">
      <w:pPr>
        <w:divId w:val="884953437"/>
        <w:rPr>
          <w:rFonts w:ascii="Lato" w:eastAsia="Times New Roman" w:hAnsi="Lato"/>
          <w:sz w:val="20"/>
          <w:szCs w:val="20"/>
        </w:rPr>
      </w:pPr>
      <w:r w:rsidRPr="00270A04">
        <w:rPr>
          <w:rStyle w:val="Textoennegrita"/>
          <w:rFonts w:ascii="Lato" w:eastAsia="Times New Roman" w:hAnsi="Lato"/>
          <w:sz w:val="20"/>
          <w:szCs w:val="20"/>
        </w:rPr>
        <w:t>d) Régimen Jurídico</w:t>
      </w:r>
    </w:p>
    <w:p w:rsidR="00A04969" w:rsidRPr="00270A04" w:rsidRDefault="00347F2A" w:rsidP="00E713A1">
      <w:pPr>
        <w:autoSpaceDE w:val="0"/>
        <w:autoSpaceDN w:val="0"/>
        <w:adjustRightInd w:val="0"/>
        <w:spacing w:line="360" w:lineRule="auto"/>
        <w:jc w:val="both"/>
        <w:divId w:val="216623835"/>
        <w:rPr>
          <w:rFonts w:ascii="Lato" w:hAnsi="Lato" w:cs="Arial"/>
          <w:sz w:val="20"/>
          <w:szCs w:val="20"/>
        </w:rPr>
      </w:pPr>
      <w:r w:rsidRPr="00270A04">
        <w:rPr>
          <w:rFonts w:ascii="Lato" w:hAnsi="Lato" w:cs="Arial"/>
          <w:sz w:val="20"/>
          <w:szCs w:val="20"/>
        </w:rPr>
        <w:t>El Poder Ejecutivo está regulado por lo siguiente:</w:t>
      </w:r>
    </w:p>
    <w:p w:rsidR="00A04969" w:rsidRPr="00270A04" w:rsidRDefault="00347F2A" w:rsidP="00E713A1">
      <w:pPr>
        <w:autoSpaceDE w:val="0"/>
        <w:autoSpaceDN w:val="0"/>
        <w:adjustRightInd w:val="0"/>
        <w:spacing w:line="360" w:lineRule="auto"/>
        <w:jc w:val="both"/>
        <w:divId w:val="1827357285"/>
        <w:rPr>
          <w:rFonts w:ascii="Lato" w:hAnsi="Lato" w:cs="Arial"/>
          <w:sz w:val="20"/>
          <w:szCs w:val="20"/>
        </w:rPr>
      </w:pPr>
      <w:r w:rsidRPr="00270A04">
        <w:rPr>
          <w:rFonts w:ascii="Lato" w:hAnsi="Lato" w:cs="Times New Roman"/>
          <w:sz w:val="20"/>
          <w:szCs w:val="20"/>
        </w:rPr>
        <w:lastRenderedPageBreak/>
        <w:t>●</w:t>
      </w:r>
      <w:r w:rsidRPr="00270A04">
        <w:rPr>
          <w:rFonts w:ascii="Lato" w:hAnsi="Lato" w:cs="Arial"/>
          <w:sz w:val="20"/>
          <w:szCs w:val="20"/>
        </w:rPr>
        <w:t xml:space="preserve"> La Constitución de los Estados Unidos Mexicanos.</w:t>
      </w:r>
    </w:p>
    <w:p w:rsidR="00A04969" w:rsidRPr="00270A04" w:rsidRDefault="00347F2A" w:rsidP="00E713A1">
      <w:pPr>
        <w:autoSpaceDE w:val="0"/>
        <w:autoSpaceDN w:val="0"/>
        <w:adjustRightInd w:val="0"/>
        <w:spacing w:line="360" w:lineRule="auto"/>
        <w:jc w:val="both"/>
        <w:divId w:val="858472896"/>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La Constitución Política del Estado de Yucatán.</w:t>
      </w:r>
    </w:p>
    <w:p w:rsidR="00A04969" w:rsidRPr="00270A04" w:rsidRDefault="00347F2A" w:rsidP="00E713A1">
      <w:pPr>
        <w:autoSpaceDE w:val="0"/>
        <w:autoSpaceDN w:val="0"/>
        <w:adjustRightInd w:val="0"/>
        <w:spacing w:line="360" w:lineRule="auto"/>
        <w:jc w:val="both"/>
        <w:divId w:val="2065642270"/>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La Ley General de Contabilidad Gubernamental.</w:t>
      </w:r>
    </w:p>
    <w:p w:rsidR="00A04969" w:rsidRPr="00270A04" w:rsidRDefault="00347F2A" w:rsidP="00E713A1">
      <w:pPr>
        <w:autoSpaceDE w:val="0"/>
        <w:autoSpaceDN w:val="0"/>
        <w:adjustRightInd w:val="0"/>
        <w:spacing w:line="360" w:lineRule="auto"/>
        <w:jc w:val="both"/>
        <w:divId w:val="292181289"/>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El Código de la Administración Pública del Estado de Yucatán.</w:t>
      </w:r>
    </w:p>
    <w:p w:rsidR="00A04969" w:rsidRPr="00270A04" w:rsidRDefault="00347F2A" w:rsidP="00E713A1">
      <w:pPr>
        <w:autoSpaceDE w:val="0"/>
        <w:autoSpaceDN w:val="0"/>
        <w:adjustRightInd w:val="0"/>
        <w:spacing w:line="360" w:lineRule="auto"/>
        <w:jc w:val="both"/>
        <w:divId w:val="861287305"/>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El Reglamento de la Administración Pública del Estado de Yucatán.</w:t>
      </w:r>
    </w:p>
    <w:p w:rsidR="00A04969" w:rsidRPr="00270A04" w:rsidRDefault="00347F2A" w:rsidP="00E713A1">
      <w:pPr>
        <w:autoSpaceDE w:val="0"/>
        <w:autoSpaceDN w:val="0"/>
        <w:adjustRightInd w:val="0"/>
        <w:spacing w:line="360" w:lineRule="auto"/>
        <w:jc w:val="both"/>
        <w:divId w:val="570653587"/>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La Ley del Presupuesto y Contabilidad Gubernamental del Estado de Yucatán y su reglamento.</w:t>
      </w:r>
    </w:p>
    <w:p w:rsidR="00A04969" w:rsidRPr="00270A04" w:rsidRDefault="00347F2A" w:rsidP="00E713A1">
      <w:pPr>
        <w:autoSpaceDE w:val="0"/>
        <w:autoSpaceDN w:val="0"/>
        <w:adjustRightInd w:val="0"/>
        <w:spacing w:line="360" w:lineRule="auto"/>
        <w:jc w:val="both"/>
        <w:divId w:val="1368530692"/>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La Ley de Responsabilidades de los Servidores Públicos del Estado de Yucatán.</w:t>
      </w:r>
    </w:p>
    <w:p w:rsidR="00A04969" w:rsidRPr="00270A04" w:rsidRDefault="00347F2A" w:rsidP="00E713A1">
      <w:pPr>
        <w:autoSpaceDE w:val="0"/>
        <w:autoSpaceDN w:val="0"/>
        <w:adjustRightInd w:val="0"/>
        <w:spacing w:line="360" w:lineRule="auto"/>
        <w:jc w:val="both"/>
        <w:divId w:val="2106027556"/>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La Ley Federal de Responsabilidades de los Servidores Públicos</w:t>
      </w:r>
    </w:p>
    <w:p w:rsidR="00A04969" w:rsidRPr="00270A04" w:rsidRDefault="00347F2A" w:rsidP="00E713A1">
      <w:pPr>
        <w:autoSpaceDE w:val="0"/>
        <w:autoSpaceDN w:val="0"/>
        <w:adjustRightInd w:val="0"/>
        <w:spacing w:line="360" w:lineRule="auto"/>
        <w:jc w:val="both"/>
        <w:divId w:val="1908756729"/>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La Ley de Adquisiciones, Arrendamientos y Prestación de Servicios relacionados con Bienes Muebles.</w:t>
      </w:r>
    </w:p>
    <w:p w:rsidR="00A04969" w:rsidRPr="00270A04" w:rsidRDefault="00347F2A" w:rsidP="00E713A1">
      <w:pPr>
        <w:autoSpaceDE w:val="0"/>
        <w:autoSpaceDN w:val="0"/>
        <w:adjustRightInd w:val="0"/>
        <w:spacing w:line="360" w:lineRule="auto"/>
        <w:jc w:val="both"/>
        <w:divId w:val="1900433226"/>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La Ley de Fiscalización de la Cuenta Pública del Estado de Yucatán y su reglamento.</w:t>
      </w:r>
    </w:p>
    <w:p w:rsidR="00A04969" w:rsidRPr="00270A04" w:rsidRDefault="00347F2A" w:rsidP="00E713A1">
      <w:pPr>
        <w:autoSpaceDE w:val="0"/>
        <w:autoSpaceDN w:val="0"/>
        <w:adjustRightInd w:val="0"/>
        <w:spacing w:line="360" w:lineRule="auto"/>
        <w:jc w:val="both"/>
        <w:divId w:val="1911848623"/>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Ley de Disciplina Financiera de las Entidades Federativas y Municipios</w:t>
      </w:r>
    </w:p>
    <w:p w:rsidR="00A04969" w:rsidRPr="00270A04" w:rsidRDefault="00347F2A">
      <w:pPr>
        <w:divId w:val="1552958529"/>
        <w:rPr>
          <w:rFonts w:ascii="Lato" w:eastAsia="Times New Roman" w:hAnsi="Lato"/>
          <w:sz w:val="20"/>
          <w:szCs w:val="20"/>
        </w:rPr>
      </w:pPr>
      <w:r w:rsidRPr="00270A04">
        <w:rPr>
          <w:rStyle w:val="Textoennegrita"/>
          <w:rFonts w:ascii="Lato" w:eastAsia="Times New Roman" w:hAnsi="Lato"/>
          <w:sz w:val="20"/>
          <w:szCs w:val="20"/>
        </w:rPr>
        <w:t xml:space="preserve">e) Consideraciones fiscales del ente: </w:t>
      </w:r>
    </w:p>
    <w:p w:rsidR="00A04969" w:rsidRPr="00270A04" w:rsidRDefault="00347F2A" w:rsidP="00AD610C">
      <w:pPr>
        <w:autoSpaceDE w:val="0"/>
        <w:autoSpaceDN w:val="0"/>
        <w:adjustRightInd w:val="0"/>
        <w:spacing w:line="360" w:lineRule="auto"/>
        <w:jc w:val="both"/>
        <w:divId w:val="1697081362"/>
        <w:rPr>
          <w:rFonts w:ascii="Lato" w:hAnsi="Lato" w:cs="Arial"/>
          <w:sz w:val="20"/>
          <w:szCs w:val="20"/>
        </w:rPr>
      </w:pPr>
      <w:r w:rsidRPr="00270A04">
        <w:rPr>
          <w:rFonts w:ascii="Lato" w:hAnsi="Lato" w:cs="Arial"/>
          <w:sz w:val="20"/>
          <w:szCs w:val="20"/>
        </w:rPr>
        <w:t xml:space="preserve">El Poder Ejecutivo es un organismo de la Administración Pública General; el cual inicia operaciones ante las oficinas de la Secretaria de Hacienda Federal el 1 de febrero de 1970. Las obligaciones fiscales de la administración Pública centralizada del Estado son las siguientes: </w:t>
      </w:r>
    </w:p>
    <w:p w:rsidR="00A04969" w:rsidRPr="00270A04" w:rsidRDefault="00347F2A" w:rsidP="00AD610C">
      <w:pPr>
        <w:autoSpaceDE w:val="0"/>
        <w:autoSpaceDN w:val="0"/>
        <w:adjustRightInd w:val="0"/>
        <w:spacing w:line="360" w:lineRule="auto"/>
        <w:jc w:val="both"/>
        <w:divId w:val="323896004"/>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Declaración y pago provisional mensual de retenciones de Impuestos Sobre la Renta (ISR) por sueldos y salarios.</w:t>
      </w:r>
    </w:p>
    <w:p w:rsidR="00A04969" w:rsidRPr="00270A04" w:rsidRDefault="00347F2A" w:rsidP="00AD610C">
      <w:pPr>
        <w:autoSpaceDE w:val="0"/>
        <w:autoSpaceDN w:val="0"/>
        <w:adjustRightInd w:val="0"/>
        <w:spacing w:line="360" w:lineRule="auto"/>
        <w:jc w:val="both"/>
        <w:divId w:val="97799381"/>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Declaración y pago provisional mensual de Impuestos Sobre la Renta (ISR) por retenciones realizadas por Servicios Profesionales.</w:t>
      </w:r>
    </w:p>
    <w:p w:rsidR="00A04969" w:rsidRPr="00270A04" w:rsidRDefault="00347F2A" w:rsidP="00AD610C">
      <w:pPr>
        <w:autoSpaceDE w:val="0"/>
        <w:autoSpaceDN w:val="0"/>
        <w:adjustRightInd w:val="0"/>
        <w:spacing w:line="360" w:lineRule="auto"/>
        <w:jc w:val="both"/>
        <w:divId w:val="407576918"/>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xml:space="preserve"> Declaración y pago provisional mensual de Impuesto Sobre la Renta (ISR) por retenciones realizadas por pagos de Rentas de Bienes Inmuebles.</w:t>
      </w:r>
    </w:p>
    <w:p w:rsidR="00AD610C" w:rsidRPr="00270A04" w:rsidRDefault="00347F2A" w:rsidP="00AD610C">
      <w:pPr>
        <w:autoSpaceDE w:val="0"/>
        <w:autoSpaceDN w:val="0"/>
        <w:adjustRightInd w:val="0"/>
        <w:spacing w:line="360" w:lineRule="auto"/>
        <w:jc w:val="both"/>
        <w:divId w:val="36249799"/>
        <w:rPr>
          <w:rFonts w:ascii="Lato" w:hAnsi="Lato" w:cs="Arial"/>
          <w:sz w:val="20"/>
          <w:szCs w:val="20"/>
        </w:rPr>
      </w:pPr>
      <w:r w:rsidRPr="00270A04">
        <w:rPr>
          <w:rFonts w:ascii="Lato" w:hAnsi="Lato" w:cs="Times New Roman"/>
          <w:sz w:val="20"/>
          <w:szCs w:val="20"/>
        </w:rPr>
        <w:lastRenderedPageBreak/>
        <w:t>●</w:t>
      </w:r>
      <w:r w:rsidRPr="00270A04">
        <w:rPr>
          <w:rFonts w:ascii="Lato" w:hAnsi="Lato" w:cs="Arial"/>
          <w:sz w:val="20"/>
          <w:szCs w:val="20"/>
        </w:rPr>
        <w:t xml:space="preserve"> Presentar la declaración informativa mensual de operaciones con terceros.</w:t>
      </w:r>
    </w:p>
    <w:p w:rsidR="00A04969" w:rsidRPr="00270A04" w:rsidRDefault="00347F2A" w:rsidP="00AD610C">
      <w:pPr>
        <w:ind w:firstLine="284"/>
        <w:divId w:val="36249799"/>
        <w:rPr>
          <w:rFonts w:ascii="Lato" w:eastAsia="Times New Roman" w:hAnsi="Lato"/>
          <w:sz w:val="20"/>
          <w:szCs w:val="20"/>
        </w:rPr>
      </w:pPr>
      <w:r w:rsidRPr="00270A04">
        <w:rPr>
          <w:rStyle w:val="Textoennegrita"/>
          <w:rFonts w:ascii="Lato" w:eastAsia="Times New Roman" w:hAnsi="Lato"/>
          <w:sz w:val="20"/>
          <w:szCs w:val="20"/>
        </w:rPr>
        <w:t>f) Estructura Organizacional Básica.</w:t>
      </w:r>
    </w:p>
    <w:p w:rsidR="00A04969" w:rsidRPr="00270A04" w:rsidRDefault="00347F2A" w:rsidP="008450CC">
      <w:pPr>
        <w:autoSpaceDE w:val="0"/>
        <w:autoSpaceDN w:val="0"/>
        <w:adjustRightInd w:val="0"/>
        <w:spacing w:line="360" w:lineRule="auto"/>
        <w:jc w:val="both"/>
        <w:divId w:val="1616406187"/>
        <w:rPr>
          <w:rFonts w:ascii="Lato" w:hAnsi="Lato" w:cs="Arial"/>
          <w:sz w:val="20"/>
          <w:szCs w:val="20"/>
        </w:rPr>
      </w:pPr>
      <w:r w:rsidRPr="00270A04">
        <w:rPr>
          <w:rFonts w:ascii="Lato" w:hAnsi="Lato" w:cs="Arial"/>
          <w:sz w:val="20"/>
          <w:szCs w:val="20"/>
        </w:rPr>
        <w:t xml:space="preserve">El Reglamento del Código de la Administración Pública de Yucatán, tiene por objeto establecer la Organización y facultades de las Dependencias y Entidades que conforman la Administración Pública del Estado de Yucatán. </w:t>
      </w:r>
    </w:p>
    <w:p w:rsidR="00A04969" w:rsidRPr="00270A04" w:rsidRDefault="00347F2A">
      <w:pPr>
        <w:ind w:firstLine="600"/>
        <w:divId w:val="1461460127"/>
        <w:rPr>
          <w:rFonts w:ascii="Lato" w:eastAsia="Times New Roman" w:hAnsi="Lato"/>
          <w:sz w:val="20"/>
          <w:szCs w:val="20"/>
        </w:rPr>
      </w:pPr>
      <w:r w:rsidRPr="00270A04">
        <w:rPr>
          <w:rStyle w:val="Textoennegrita"/>
          <w:rFonts w:ascii="Lato" w:eastAsia="Times New Roman" w:hAnsi="Lato"/>
          <w:sz w:val="20"/>
          <w:szCs w:val="20"/>
        </w:rPr>
        <w:t>g) Fideicomisos, mandatos y análogos de los cuales es fideicomitente o fiduciario.</w:t>
      </w:r>
    </w:p>
    <w:p w:rsidR="0093095F" w:rsidRPr="00270A04" w:rsidRDefault="00347F2A">
      <w:pPr>
        <w:divId w:val="80879206"/>
        <w:rPr>
          <w:rFonts w:ascii="Lato" w:eastAsia="Times New Roman" w:hAnsi="Lato"/>
          <w:sz w:val="20"/>
          <w:szCs w:val="20"/>
        </w:rPr>
      </w:pPr>
      <w:r w:rsidRPr="00270A04">
        <w:rPr>
          <w:rFonts w:ascii="Lato" w:eastAsia="Times New Roman" w:hAnsi="Lato"/>
          <w:sz w:val="20"/>
          <w:szCs w:val="20"/>
        </w:rPr>
        <w:t>Los fideicomisos del Gobierno del Estado que se manejaron al 30 de septiembre de 2024 son los siguientes:</w:t>
      </w:r>
    </w:p>
    <w:tbl>
      <w:tblPr>
        <w:tblW w:w="7760" w:type="dxa"/>
        <w:tblCellMar>
          <w:left w:w="70" w:type="dxa"/>
          <w:right w:w="70" w:type="dxa"/>
        </w:tblCellMar>
        <w:tblLook w:val="04A0" w:firstRow="1" w:lastRow="0" w:firstColumn="1" w:lastColumn="0" w:noHBand="0" w:noVBand="1"/>
      </w:tblPr>
      <w:tblGrid>
        <w:gridCol w:w="820"/>
        <w:gridCol w:w="6940"/>
      </w:tblGrid>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DE APORTACION PARA LA SEGURIDAD PUBLICA ( FASP)</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PARA LA ATENCIÓN DE EMERGENCIAS Y DESASTRES DEL ESTADO (FAED)</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iii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DE FOMENTO AGROPECUARIO DEL ESTADO DE YUCATAN (FOFAY)</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iv</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DE APOYO A LA PRODUCTIVIDAD AGROPECUARIA DEL ESTADO DE YUCATAN (FOPROYUC)</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v</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DE CREDITO AGROPECUARIO Y PESQUERO DEL ESTADO DE YUCATAN (FOCAPY)</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vi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DE MICROCREDITOS DEL ESTADO DE YUCATAN (FOMICY)</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vii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YUCATECO PARA LA DIGNIFICACION Y DESARROLLO INTEGRAL DE LOS TRABAJADORES DE LA CONSTRUCCION (FYDITRAC)</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viii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METROPOLITANO DE YUCATAN</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ix</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INTEGRAL PARA EL DESARROLLO ECONOMICO DE YUCATAN (FIDEY)</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F/0007 PROTEGO CASA DE BOLSA DIV FIDUCIARIA</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F/0019 PROTEGO CASA DE BOLSA SA DE CV FID</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F/0002 PROTEGO CASA DE BOLSA DIV FIDUCIARIA</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xiii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PARA LA CONSOLIDACIÓN Y FOMENTO DEL EMPLEO PERMANENTE EN EL ESTADO DE YUCATAN</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xiv</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PROGRAMA DE BECAS NACIONALES PARA LA EDUCACIÓN SUPERIOR DE MANUTENCIÓN PARA EL ESTADO DE YUCATÁN</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lastRenderedPageBreak/>
              <w:t>xv</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VIVIENDA MAGISTERIO (NUM 2112177)</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xvi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PARA EMPRENDEDORES DE YUCATÁN</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xvii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DE PROMOCIÓN Y FOMENTO A LAS EMPRESAS EN EL ESTADO DE YUCATÁN (FOPROFEY)</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xviii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SISTEMA INTEGRAL DE TRANSPORTE DE LA ZONA METROPOLITANA DE MÉRIDA YUCATÁN (SIT-MÉRIDA)</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xix</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ESTATAL DE MOVILIDAD</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ESTATAL DE AYUDA, ASISTENCIA Y REPARACION INTEGRAL</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DE ALTO RENDIMIENTO DEPORTIVO YUCATÁN.</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PARA LA PROMOCIÓN TURÍSTICA DEL ESTADO DE YUCATÁN</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xxiii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F/0199 EVERCORE CASA DE BOLSA SA DE CV DIV. FIDUCIARIA</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xxiv</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NO. F/4109088</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xxv</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F/4109146</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xxvi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No. F/4130480</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xxvii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F/2460492</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xxviii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FONDO DE BECAS FRANCISCO REPETTO MILAN</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xxix</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FONDO DE PARTICIPACION CIUDADANA</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xxx</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JUSTICIA PENAL DE YUCATAN</w:t>
            </w:r>
          </w:p>
        </w:tc>
      </w:tr>
      <w:tr w:rsidR="008450CC" w:rsidRPr="00270A04" w:rsidTr="008450CC">
        <w:trPr>
          <w:divId w:val="80879206"/>
          <w:trHeight w:val="108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xxxi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TRASLATIVO DE DOMINIO Y DESARROLLO DE LA INVESTIGACION, EXTENSION Y FOMENTO A LA ACTIVIDAD AGROPECUARIA DE LA FACULTAD DE MEDICINA VETERINARIA Y ZOOTECNIA DE LA UNIVERSIDAD AUTONOMA DE YUCATAN.</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xxxii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SISTEMA INTEGRADO DE TRANSPORTE DE LA ZONA METROPOLITANA DE MÉRIDA YUCATÁN ETAPA 2</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xxxiii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F/0173</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xxxiv</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F/0198 EVERCORE CASA DE BOLSA SA DE CV, DIV. FIDUCIARIA</w:t>
            </w:r>
          </w:p>
        </w:tc>
      </w:tr>
      <w:tr w:rsidR="008450CC" w:rsidRPr="00270A04" w:rsidTr="008450CC">
        <w:trPr>
          <w:divId w:val="80879206"/>
          <w:trHeight w:val="54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xxxv</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PARA EL DESARROLLO REGIONAL DEL SUR SURESTE 2050. FIDESUR</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lastRenderedPageBreak/>
              <w:t>xxxvi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DE INVERSION Y ADIMINISTRACION No. F/4137634 BBVA</w:t>
            </w:r>
          </w:p>
        </w:tc>
      </w:tr>
      <w:tr w:rsidR="008450CC" w:rsidRPr="00270A04" w:rsidTr="008450CC">
        <w:trPr>
          <w:divId w:val="80879206"/>
          <w:trHeight w:val="300"/>
        </w:trPr>
        <w:tc>
          <w:tcPr>
            <w:tcW w:w="82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jc w:val="center"/>
              <w:rPr>
                <w:rFonts w:ascii="Lato" w:eastAsia="Times New Roman" w:hAnsi="Lato" w:cs="Calibri"/>
                <w:color w:val="000000"/>
                <w:sz w:val="20"/>
                <w:szCs w:val="20"/>
              </w:rPr>
            </w:pPr>
            <w:r w:rsidRPr="00270A04">
              <w:rPr>
                <w:rFonts w:ascii="Lato" w:eastAsia="Times New Roman" w:hAnsi="Lato" w:cs="Calibri"/>
                <w:color w:val="000000"/>
                <w:sz w:val="20"/>
                <w:szCs w:val="20"/>
              </w:rPr>
              <w:t>xxxvii</w:t>
            </w:r>
          </w:p>
        </w:tc>
        <w:tc>
          <w:tcPr>
            <w:tcW w:w="6940" w:type="dxa"/>
            <w:tcBorders>
              <w:top w:val="nil"/>
              <w:left w:val="nil"/>
              <w:bottom w:val="nil"/>
              <w:right w:val="nil"/>
            </w:tcBorders>
            <w:shd w:val="clear" w:color="auto" w:fill="auto"/>
            <w:vAlign w:val="center"/>
            <w:hideMark/>
          </w:tcPr>
          <w:p w:rsidR="008450CC" w:rsidRPr="00270A04" w:rsidRDefault="008450CC" w:rsidP="008450CC">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DE INVERSION Y ADIMINISTRACION No. F/4142634</w:t>
            </w:r>
          </w:p>
        </w:tc>
      </w:tr>
    </w:tbl>
    <w:p w:rsidR="008450CC" w:rsidRPr="00270A04" w:rsidRDefault="008450CC">
      <w:pPr>
        <w:divId w:val="80879206"/>
        <w:rPr>
          <w:rFonts w:ascii="Lato" w:eastAsia="Times New Roman" w:hAnsi="Lato"/>
          <w:sz w:val="20"/>
          <w:szCs w:val="20"/>
        </w:rPr>
      </w:pPr>
    </w:p>
    <w:p w:rsidR="00A04969" w:rsidRPr="00270A04" w:rsidRDefault="00347F2A">
      <w:pPr>
        <w:divId w:val="80496791"/>
        <w:rPr>
          <w:rFonts w:ascii="Lato" w:eastAsia="Times New Roman" w:hAnsi="Lato"/>
          <w:sz w:val="20"/>
          <w:szCs w:val="20"/>
        </w:rPr>
      </w:pPr>
      <w:r w:rsidRPr="00270A04">
        <w:rPr>
          <w:rStyle w:val="Textoennegrita"/>
          <w:rFonts w:ascii="Lato" w:eastAsia="Times New Roman" w:hAnsi="Lato"/>
          <w:sz w:val="20"/>
          <w:szCs w:val="20"/>
        </w:rPr>
        <w:t>4.- Bases para la Preparación de Estados Financieros.</w:t>
      </w:r>
    </w:p>
    <w:p w:rsidR="00A04969" w:rsidRPr="00270A04" w:rsidRDefault="00347F2A" w:rsidP="00B17322">
      <w:pPr>
        <w:autoSpaceDE w:val="0"/>
        <w:autoSpaceDN w:val="0"/>
        <w:adjustRightInd w:val="0"/>
        <w:spacing w:line="360" w:lineRule="auto"/>
        <w:jc w:val="both"/>
        <w:divId w:val="1508015563"/>
        <w:rPr>
          <w:rFonts w:ascii="Lato" w:hAnsi="Lato" w:cs="Arial"/>
          <w:sz w:val="20"/>
          <w:szCs w:val="20"/>
        </w:rPr>
      </w:pPr>
      <w:r w:rsidRPr="00270A04">
        <w:rPr>
          <w:rFonts w:ascii="Lato" w:hAnsi="Lato" w:cs="Arial"/>
          <w:sz w:val="20"/>
          <w:szCs w:val="20"/>
        </w:rPr>
        <w:t xml:space="preserve">a)         En la preparación de los Estados Financieros del Poder Ejecutivo, se observó con lo establecido en la Ley General de Contabilidad Gubernamental, la Ley de Presupuesto y Contabilidad Gubernamental del Estado de Yucatán y demás disposiciones emitidas para tal efecto por el Consejo Nacional de Armonización Contable (CONAC). </w:t>
      </w:r>
    </w:p>
    <w:p w:rsidR="00A04969" w:rsidRPr="00270A04" w:rsidRDefault="00347F2A" w:rsidP="00B17322">
      <w:pPr>
        <w:autoSpaceDE w:val="0"/>
        <w:autoSpaceDN w:val="0"/>
        <w:adjustRightInd w:val="0"/>
        <w:spacing w:line="360" w:lineRule="auto"/>
        <w:jc w:val="both"/>
        <w:divId w:val="290214324"/>
        <w:rPr>
          <w:rFonts w:ascii="Lato" w:hAnsi="Lato" w:cs="Arial"/>
          <w:sz w:val="20"/>
          <w:szCs w:val="20"/>
        </w:rPr>
      </w:pPr>
      <w:r w:rsidRPr="00270A04">
        <w:rPr>
          <w:rFonts w:ascii="Lato" w:hAnsi="Lato" w:cs="Arial"/>
          <w:sz w:val="20"/>
          <w:szCs w:val="20"/>
        </w:rPr>
        <w:t>b)         La base de medición utilizada en el registro de las operaciones para la elaboración de los Estados Financieros es a Costo histórico.</w:t>
      </w:r>
    </w:p>
    <w:p w:rsidR="00A04969" w:rsidRPr="00270A04" w:rsidRDefault="00347F2A" w:rsidP="00B17322">
      <w:pPr>
        <w:autoSpaceDE w:val="0"/>
        <w:autoSpaceDN w:val="0"/>
        <w:adjustRightInd w:val="0"/>
        <w:spacing w:line="360" w:lineRule="auto"/>
        <w:jc w:val="both"/>
        <w:divId w:val="34282578"/>
        <w:rPr>
          <w:rFonts w:ascii="Lato" w:hAnsi="Lato" w:cs="Arial"/>
          <w:sz w:val="20"/>
          <w:szCs w:val="20"/>
        </w:rPr>
      </w:pPr>
      <w:r w:rsidRPr="00270A04">
        <w:rPr>
          <w:rFonts w:ascii="Lato" w:hAnsi="Lato" w:cs="Arial"/>
          <w:sz w:val="20"/>
          <w:szCs w:val="20"/>
        </w:rPr>
        <w:t>c)         Postulados básicos de la Contabilidad gubernamental aprobados por la CONAC y Publicados en el Diario Oficial del Estado para su difusión.</w:t>
      </w:r>
    </w:p>
    <w:p w:rsidR="00A04969" w:rsidRPr="00270A04" w:rsidRDefault="00347F2A">
      <w:pPr>
        <w:divId w:val="81492107"/>
        <w:rPr>
          <w:rFonts w:ascii="Lato" w:eastAsia="Times New Roman" w:hAnsi="Lato"/>
          <w:sz w:val="20"/>
          <w:szCs w:val="20"/>
        </w:rPr>
      </w:pPr>
      <w:r w:rsidRPr="00270A04">
        <w:rPr>
          <w:rFonts w:ascii="Lato" w:eastAsia="Times New Roman" w:hAnsi="Lato"/>
          <w:sz w:val="20"/>
          <w:szCs w:val="20"/>
        </w:rPr>
        <w:t>a)         Sustancia Económica</w:t>
      </w:r>
    </w:p>
    <w:p w:rsidR="00A04969" w:rsidRPr="00270A04" w:rsidRDefault="00347F2A">
      <w:pPr>
        <w:divId w:val="193924389"/>
        <w:rPr>
          <w:rFonts w:ascii="Lato" w:eastAsia="Times New Roman" w:hAnsi="Lato"/>
          <w:sz w:val="20"/>
          <w:szCs w:val="20"/>
        </w:rPr>
      </w:pPr>
      <w:r w:rsidRPr="00270A04">
        <w:rPr>
          <w:rFonts w:ascii="Lato" w:eastAsia="Times New Roman" w:hAnsi="Lato"/>
          <w:sz w:val="20"/>
          <w:szCs w:val="20"/>
        </w:rPr>
        <w:t>b)         Entes Públicos</w:t>
      </w:r>
    </w:p>
    <w:p w:rsidR="00A04969" w:rsidRPr="00270A04" w:rsidRDefault="00347F2A">
      <w:pPr>
        <w:divId w:val="1463383169"/>
        <w:rPr>
          <w:rFonts w:ascii="Lato" w:eastAsia="Times New Roman" w:hAnsi="Lato"/>
          <w:sz w:val="20"/>
          <w:szCs w:val="20"/>
        </w:rPr>
      </w:pPr>
      <w:r w:rsidRPr="00270A04">
        <w:rPr>
          <w:rFonts w:ascii="Lato" w:eastAsia="Times New Roman" w:hAnsi="Lato"/>
          <w:sz w:val="20"/>
          <w:szCs w:val="20"/>
        </w:rPr>
        <w:t>c)         Existencia Permanente</w:t>
      </w:r>
    </w:p>
    <w:p w:rsidR="00A04969" w:rsidRPr="00270A04" w:rsidRDefault="00347F2A">
      <w:pPr>
        <w:divId w:val="554050840"/>
        <w:rPr>
          <w:rFonts w:ascii="Lato" w:eastAsia="Times New Roman" w:hAnsi="Lato"/>
          <w:sz w:val="20"/>
          <w:szCs w:val="20"/>
        </w:rPr>
      </w:pPr>
      <w:r w:rsidRPr="00270A04">
        <w:rPr>
          <w:rFonts w:ascii="Lato" w:eastAsia="Times New Roman" w:hAnsi="Lato"/>
          <w:sz w:val="20"/>
          <w:szCs w:val="20"/>
        </w:rPr>
        <w:t>d)         Revelación Suficiente</w:t>
      </w:r>
    </w:p>
    <w:p w:rsidR="00A04969" w:rsidRPr="00270A04" w:rsidRDefault="00347F2A">
      <w:pPr>
        <w:divId w:val="165830780"/>
        <w:rPr>
          <w:rFonts w:ascii="Lato" w:eastAsia="Times New Roman" w:hAnsi="Lato"/>
          <w:sz w:val="20"/>
          <w:szCs w:val="20"/>
        </w:rPr>
      </w:pPr>
      <w:r w:rsidRPr="00270A04">
        <w:rPr>
          <w:rFonts w:ascii="Lato" w:eastAsia="Times New Roman" w:hAnsi="Lato"/>
          <w:sz w:val="20"/>
          <w:szCs w:val="20"/>
        </w:rPr>
        <w:t>e)         Importancia Relativa</w:t>
      </w:r>
    </w:p>
    <w:p w:rsidR="00A04969" w:rsidRPr="00270A04" w:rsidRDefault="00347F2A">
      <w:pPr>
        <w:divId w:val="732771404"/>
        <w:rPr>
          <w:rFonts w:ascii="Lato" w:eastAsia="Times New Roman" w:hAnsi="Lato"/>
          <w:sz w:val="20"/>
          <w:szCs w:val="20"/>
        </w:rPr>
      </w:pPr>
      <w:r w:rsidRPr="00270A04">
        <w:rPr>
          <w:rFonts w:ascii="Lato" w:eastAsia="Times New Roman" w:hAnsi="Lato"/>
          <w:sz w:val="20"/>
          <w:szCs w:val="20"/>
        </w:rPr>
        <w:t>f)         Registro e Integración Presupuestaria</w:t>
      </w:r>
    </w:p>
    <w:p w:rsidR="00A04969" w:rsidRPr="00270A04" w:rsidRDefault="00347F2A">
      <w:pPr>
        <w:divId w:val="1563906004"/>
        <w:rPr>
          <w:rFonts w:ascii="Lato" w:eastAsia="Times New Roman" w:hAnsi="Lato"/>
          <w:sz w:val="20"/>
          <w:szCs w:val="20"/>
        </w:rPr>
      </w:pPr>
      <w:r w:rsidRPr="00270A04">
        <w:rPr>
          <w:rFonts w:ascii="Lato" w:eastAsia="Times New Roman" w:hAnsi="Lato"/>
          <w:sz w:val="20"/>
          <w:szCs w:val="20"/>
        </w:rPr>
        <w:t>g)         Consolidación de la Información Financiera</w:t>
      </w:r>
    </w:p>
    <w:p w:rsidR="00A04969" w:rsidRPr="00270A04" w:rsidRDefault="00347F2A">
      <w:pPr>
        <w:divId w:val="136385327"/>
        <w:rPr>
          <w:rFonts w:ascii="Lato" w:eastAsia="Times New Roman" w:hAnsi="Lato"/>
          <w:sz w:val="20"/>
          <w:szCs w:val="20"/>
        </w:rPr>
      </w:pPr>
      <w:r w:rsidRPr="00270A04">
        <w:rPr>
          <w:rFonts w:ascii="Lato" w:eastAsia="Times New Roman" w:hAnsi="Lato"/>
          <w:sz w:val="20"/>
          <w:szCs w:val="20"/>
        </w:rPr>
        <w:t>h)         Devengo Contable</w:t>
      </w:r>
    </w:p>
    <w:p w:rsidR="00A04969" w:rsidRPr="00270A04" w:rsidRDefault="00347F2A">
      <w:pPr>
        <w:divId w:val="167790221"/>
        <w:rPr>
          <w:rFonts w:ascii="Lato" w:eastAsia="Times New Roman" w:hAnsi="Lato"/>
          <w:sz w:val="20"/>
          <w:szCs w:val="20"/>
        </w:rPr>
      </w:pPr>
      <w:r w:rsidRPr="00270A04">
        <w:rPr>
          <w:rFonts w:ascii="Lato" w:eastAsia="Times New Roman" w:hAnsi="Lato"/>
          <w:sz w:val="20"/>
          <w:szCs w:val="20"/>
        </w:rPr>
        <w:t>i)         Valuación</w:t>
      </w:r>
    </w:p>
    <w:p w:rsidR="00A04969" w:rsidRPr="00270A04" w:rsidRDefault="00347F2A">
      <w:pPr>
        <w:divId w:val="456141731"/>
        <w:rPr>
          <w:rFonts w:ascii="Lato" w:eastAsia="Times New Roman" w:hAnsi="Lato"/>
          <w:sz w:val="20"/>
          <w:szCs w:val="20"/>
        </w:rPr>
      </w:pPr>
      <w:r w:rsidRPr="00270A04">
        <w:rPr>
          <w:rFonts w:ascii="Lato" w:eastAsia="Times New Roman" w:hAnsi="Lato"/>
          <w:sz w:val="20"/>
          <w:szCs w:val="20"/>
        </w:rPr>
        <w:t>j)         Dualidad Económica</w:t>
      </w:r>
    </w:p>
    <w:p w:rsidR="00A04969" w:rsidRPr="00270A04" w:rsidRDefault="00347F2A">
      <w:pPr>
        <w:divId w:val="694307977"/>
        <w:rPr>
          <w:rFonts w:ascii="Lato" w:eastAsia="Times New Roman" w:hAnsi="Lato"/>
          <w:sz w:val="20"/>
          <w:szCs w:val="20"/>
        </w:rPr>
      </w:pPr>
      <w:r w:rsidRPr="00270A04">
        <w:rPr>
          <w:rFonts w:ascii="Lato" w:eastAsia="Times New Roman" w:hAnsi="Lato"/>
          <w:sz w:val="20"/>
          <w:szCs w:val="20"/>
        </w:rPr>
        <w:t>k)         Consistencia</w:t>
      </w:r>
    </w:p>
    <w:p w:rsidR="00A04969" w:rsidRPr="00270A04" w:rsidRDefault="00347F2A">
      <w:pPr>
        <w:divId w:val="1021051673"/>
        <w:rPr>
          <w:rFonts w:ascii="Lato" w:eastAsia="Times New Roman" w:hAnsi="Lato"/>
          <w:sz w:val="20"/>
          <w:szCs w:val="20"/>
        </w:rPr>
      </w:pPr>
      <w:r w:rsidRPr="00270A04">
        <w:rPr>
          <w:rFonts w:ascii="Lato" w:eastAsia="Times New Roman" w:hAnsi="Lato"/>
          <w:sz w:val="20"/>
          <w:szCs w:val="20"/>
        </w:rPr>
        <w:lastRenderedPageBreak/>
        <w:t>d)         En forma supletoria a las Normas de la Ley General de Contabilidad Gubernamental y a las emitidas por la CONAC aplicaron las siguientes:</w:t>
      </w:r>
    </w:p>
    <w:p w:rsidR="00A04969" w:rsidRPr="00270A04" w:rsidRDefault="00347F2A" w:rsidP="00F81826">
      <w:pPr>
        <w:autoSpaceDE w:val="0"/>
        <w:autoSpaceDN w:val="0"/>
        <w:adjustRightInd w:val="0"/>
        <w:spacing w:line="360" w:lineRule="auto"/>
        <w:jc w:val="both"/>
        <w:divId w:val="1455439181"/>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Normatividad emitida por las unidades administrativas o instancias competentes en materia de Contabilidad Gubernamental.</w:t>
      </w:r>
    </w:p>
    <w:p w:rsidR="00A04969" w:rsidRPr="00270A04" w:rsidRDefault="00347F2A" w:rsidP="00F81826">
      <w:pPr>
        <w:autoSpaceDE w:val="0"/>
        <w:autoSpaceDN w:val="0"/>
        <w:adjustRightInd w:val="0"/>
        <w:spacing w:line="360" w:lineRule="auto"/>
        <w:jc w:val="both"/>
        <w:divId w:val="1462116421"/>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Las Normas Internacionales de Contabilidad para el sector público (NICSP) emitidas por la junta de Normas Internacionales de Contabilidad del Sector Público.</w:t>
      </w:r>
    </w:p>
    <w:p w:rsidR="00A04969" w:rsidRPr="00270A04" w:rsidRDefault="00347F2A" w:rsidP="00F81826">
      <w:pPr>
        <w:autoSpaceDE w:val="0"/>
        <w:autoSpaceDN w:val="0"/>
        <w:adjustRightInd w:val="0"/>
        <w:spacing w:line="360" w:lineRule="auto"/>
        <w:jc w:val="both"/>
        <w:divId w:val="400258028"/>
        <w:rPr>
          <w:rFonts w:ascii="Lato" w:hAnsi="Lato" w:cs="Arial"/>
          <w:sz w:val="20"/>
          <w:szCs w:val="20"/>
        </w:rPr>
      </w:pPr>
      <w:r w:rsidRPr="00270A04">
        <w:rPr>
          <w:rFonts w:ascii="Lato" w:hAnsi="Lato" w:cs="Times New Roman"/>
          <w:sz w:val="20"/>
          <w:szCs w:val="20"/>
        </w:rPr>
        <w:t>●</w:t>
      </w:r>
      <w:r w:rsidRPr="00270A04">
        <w:rPr>
          <w:rFonts w:ascii="Lato" w:hAnsi="Lato" w:cs="Arial"/>
          <w:sz w:val="20"/>
          <w:szCs w:val="20"/>
        </w:rPr>
        <w:t>         Las normas de información financiera del Consejo Mexicano para la investigación y Desarrollo de normas de Información Financiera A.C. (CINIF).</w:t>
      </w:r>
    </w:p>
    <w:p w:rsidR="00F81826" w:rsidRPr="00270A04" w:rsidRDefault="00347F2A" w:rsidP="00F81826">
      <w:pPr>
        <w:ind w:left="600"/>
        <w:divId w:val="1734161546"/>
        <w:rPr>
          <w:rFonts w:ascii="Lato" w:eastAsia="Times New Roman" w:hAnsi="Lato"/>
          <w:sz w:val="20"/>
          <w:szCs w:val="20"/>
        </w:rPr>
      </w:pPr>
      <w:r w:rsidRPr="00270A04">
        <w:rPr>
          <w:rStyle w:val="Textoennegrita"/>
          <w:rFonts w:ascii="Lato" w:eastAsia="Times New Roman" w:hAnsi="Lato"/>
          <w:sz w:val="20"/>
          <w:szCs w:val="20"/>
        </w:rPr>
        <w:t>5.- Políticas de Contabilidad Significativas.</w:t>
      </w:r>
    </w:p>
    <w:p w:rsidR="00A04969" w:rsidRPr="00270A04" w:rsidRDefault="00347F2A" w:rsidP="00263AC5">
      <w:pPr>
        <w:spacing w:line="360" w:lineRule="auto"/>
        <w:ind w:left="600"/>
        <w:divId w:val="1734161546"/>
        <w:rPr>
          <w:rFonts w:ascii="Lato" w:eastAsia="Times New Roman" w:hAnsi="Lato"/>
          <w:sz w:val="20"/>
          <w:szCs w:val="20"/>
        </w:rPr>
      </w:pPr>
      <w:r w:rsidRPr="00270A04">
        <w:rPr>
          <w:rFonts w:ascii="Lato" w:hAnsi="Lato" w:cs="Times New Roman"/>
          <w:sz w:val="20"/>
          <w:szCs w:val="20"/>
        </w:rPr>
        <w:t xml:space="preserve">a) Los Estados Financieros del Poder Ejecutivo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A04969" w:rsidRPr="00270A04" w:rsidRDefault="00347F2A" w:rsidP="00263AC5">
      <w:pPr>
        <w:autoSpaceDE w:val="0"/>
        <w:autoSpaceDN w:val="0"/>
        <w:adjustRightInd w:val="0"/>
        <w:spacing w:line="360" w:lineRule="auto"/>
        <w:ind w:left="840"/>
        <w:jc w:val="both"/>
        <w:divId w:val="27032737"/>
        <w:rPr>
          <w:rFonts w:ascii="Lato" w:hAnsi="Lato" w:cs="Times New Roman"/>
          <w:sz w:val="20"/>
          <w:szCs w:val="20"/>
        </w:rPr>
      </w:pPr>
      <w:r w:rsidRPr="00270A04">
        <w:rPr>
          <w:rFonts w:ascii="Lato" w:hAnsi="Lato" w:cs="Times New Roman"/>
          <w:sz w:val="20"/>
          <w:szCs w:val="20"/>
        </w:rPr>
        <w:t>b) El Poder Ejecutivo del Gobierno del Estado, no realizó operaciones en el extranjero.</w:t>
      </w:r>
    </w:p>
    <w:p w:rsidR="00A04969" w:rsidRPr="00270A04" w:rsidRDefault="00347F2A" w:rsidP="00263AC5">
      <w:pPr>
        <w:autoSpaceDE w:val="0"/>
        <w:autoSpaceDN w:val="0"/>
        <w:adjustRightInd w:val="0"/>
        <w:spacing w:line="360" w:lineRule="auto"/>
        <w:ind w:left="840"/>
        <w:jc w:val="both"/>
        <w:divId w:val="1420636422"/>
        <w:rPr>
          <w:rFonts w:ascii="Lato" w:hAnsi="Lato" w:cs="Times New Roman"/>
          <w:sz w:val="20"/>
          <w:szCs w:val="20"/>
        </w:rPr>
      </w:pPr>
      <w:r w:rsidRPr="00270A04">
        <w:rPr>
          <w:rFonts w:ascii="Lato" w:hAnsi="Lato" w:cs="Times New Roman"/>
          <w:sz w:val="20"/>
          <w:szCs w:val="20"/>
        </w:rPr>
        <w:t>c) La inversión en acciones en empresas de participación Estatal se encuentra registrada a valor histórico.</w:t>
      </w:r>
    </w:p>
    <w:p w:rsidR="00A04969" w:rsidRPr="00270A04" w:rsidRDefault="00347F2A" w:rsidP="00263AC5">
      <w:pPr>
        <w:autoSpaceDE w:val="0"/>
        <w:autoSpaceDN w:val="0"/>
        <w:adjustRightInd w:val="0"/>
        <w:spacing w:line="360" w:lineRule="auto"/>
        <w:ind w:left="840"/>
        <w:jc w:val="both"/>
        <w:divId w:val="1002514780"/>
        <w:rPr>
          <w:rFonts w:ascii="Lato" w:hAnsi="Lato" w:cs="Times New Roman"/>
          <w:sz w:val="20"/>
          <w:szCs w:val="20"/>
        </w:rPr>
      </w:pPr>
      <w:r w:rsidRPr="00270A04">
        <w:rPr>
          <w:rFonts w:ascii="Lato" w:hAnsi="Lato" w:cs="Times New Roman"/>
          <w:sz w:val="20"/>
          <w:szCs w:val="20"/>
        </w:rPr>
        <w:t>d) Las Dependencias del Sector Centralizado que forman el Poder Ejecutivo del Gobierno del Estado, no cuentan con inventarios de mercancías para venta, por lo que no se cuenta con registro en almacenes.</w:t>
      </w:r>
    </w:p>
    <w:p w:rsidR="00A04969" w:rsidRPr="00270A04" w:rsidRDefault="00347F2A" w:rsidP="00263AC5">
      <w:pPr>
        <w:autoSpaceDE w:val="0"/>
        <w:autoSpaceDN w:val="0"/>
        <w:adjustRightInd w:val="0"/>
        <w:spacing w:line="360" w:lineRule="auto"/>
        <w:ind w:left="840"/>
        <w:jc w:val="both"/>
        <w:divId w:val="1002509878"/>
        <w:rPr>
          <w:rFonts w:ascii="Lato" w:hAnsi="Lato" w:cs="Times New Roman"/>
          <w:sz w:val="20"/>
          <w:szCs w:val="20"/>
        </w:rPr>
      </w:pPr>
      <w:r w:rsidRPr="00270A04">
        <w:rPr>
          <w:rFonts w:ascii="Lato" w:hAnsi="Lato" w:cs="Times New Roman"/>
          <w:sz w:val="20"/>
          <w:szCs w:val="20"/>
        </w:rPr>
        <w:t>e) El cálculo de la reserva actuarial, la realiza el Instituto de Seguridad de los Trabajadores al Servicio del Estado, órgano descentralizado del Sector Central.</w:t>
      </w:r>
    </w:p>
    <w:p w:rsidR="00A04969" w:rsidRPr="00270A04" w:rsidRDefault="00347F2A" w:rsidP="00263AC5">
      <w:pPr>
        <w:autoSpaceDE w:val="0"/>
        <w:autoSpaceDN w:val="0"/>
        <w:adjustRightInd w:val="0"/>
        <w:spacing w:line="360" w:lineRule="auto"/>
        <w:ind w:left="840"/>
        <w:jc w:val="both"/>
        <w:divId w:val="811096617"/>
        <w:rPr>
          <w:rFonts w:ascii="Lato" w:hAnsi="Lato" w:cs="Times New Roman"/>
          <w:sz w:val="20"/>
          <w:szCs w:val="20"/>
        </w:rPr>
      </w:pPr>
      <w:r w:rsidRPr="00270A04">
        <w:rPr>
          <w:rFonts w:ascii="Lato" w:hAnsi="Lato" w:cs="Times New Roman"/>
          <w:sz w:val="20"/>
          <w:szCs w:val="20"/>
        </w:rPr>
        <w:t>f) Los Estados financieros no presentan registros de creación o aumento de reservas.</w:t>
      </w:r>
    </w:p>
    <w:p w:rsidR="00A04969" w:rsidRPr="00270A04" w:rsidRDefault="00347F2A" w:rsidP="00263AC5">
      <w:pPr>
        <w:autoSpaceDE w:val="0"/>
        <w:autoSpaceDN w:val="0"/>
        <w:adjustRightInd w:val="0"/>
        <w:spacing w:line="360" w:lineRule="auto"/>
        <w:ind w:left="840"/>
        <w:jc w:val="both"/>
        <w:divId w:val="2133281614"/>
        <w:rPr>
          <w:rFonts w:ascii="Lato" w:hAnsi="Lato" w:cs="Times New Roman"/>
          <w:sz w:val="20"/>
          <w:szCs w:val="20"/>
        </w:rPr>
      </w:pPr>
      <w:r w:rsidRPr="00270A04">
        <w:rPr>
          <w:rFonts w:ascii="Lato" w:hAnsi="Lato" w:cs="Times New Roman"/>
          <w:sz w:val="20"/>
          <w:szCs w:val="20"/>
        </w:rPr>
        <w:t>g) No se realizaron cambios contables durante el segundo trimestre del ejercicio actual.</w:t>
      </w:r>
    </w:p>
    <w:p w:rsidR="00A04969" w:rsidRPr="00270A04" w:rsidRDefault="00347F2A" w:rsidP="00263AC5">
      <w:pPr>
        <w:autoSpaceDE w:val="0"/>
        <w:autoSpaceDN w:val="0"/>
        <w:adjustRightInd w:val="0"/>
        <w:spacing w:line="360" w:lineRule="auto"/>
        <w:ind w:left="840"/>
        <w:jc w:val="both"/>
        <w:divId w:val="341128308"/>
        <w:rPr>
          <w:rFonts w:ascii="Lato" w:hAnsi="Lato" w:cs="Times New Roman"/>
          <w:sz w:val="20"/>
          <w:szCs w:val="20"/>
        </w:rPr>
      </w:pPr>
      <w:r w:rsidRPr="00270A04">
        <w:rPr>
          <w:rFonts w:ascii="Lato" w:hAnsi="Lato" w:cs="Times New Roman"/>
          <w:sz w:val="20"/>
          <w:szCs w:val="20"/>
        </w:rPr>
        <w:lastRenderedPageBreak/>
        <w:t>h) Respecto a las correcciones de errores, reclasificaciones, depuración y cancelación de saldos, estos se ven reflejados en la cuenta de Hacienda Pública.</w:t>
      </w:r>
    </w:p>
    <w:p w:rsidR="00263AC5" w:rsidRPr="00270A04" w:rsidRDefault="00347F2A" w:rsidP="00263AC5">
      <w:pPr>
        <w:divId w:val="47194278"/>
        <w:rPr>
          <w:rFonts w:ascii="Lato" w:eastAsia="Times New Roman" w:hAnsi="Lato"/>
          <w:b/>
          <w:bCs/>
          <w:sz w:val="20"/>
          <w:szCs w:val="20"/>
        </w:rPr>
      </w:pPr>
      <w:r w:rsidRPr="00270A04">
        <w:rPr>
          <w:rStyle w:val="Textoennegrita"/>
          <w:rFonts w:ascii="Lato" w:eastAsia="Times New Roman" w:hAnsi="Lato"/>
          <w:sz w:val="20"/>
          <w:szCs w:val="20"/>
        </w:rPr>
        <w:t xml:space="preserve">6.- Posición en Moneda Extranjera y Protección por Riesgo Cambiario. </w:t>
      </w:r>
    </w:p>
    <w:p w:rsidR="00263AC5" w:rsidRPr="00270A04" w:rsidRDefault="00263AC5" w:rsidP="00263AC5">
      <w:pPr>
        <w:divId w:val="47194278"/>
        <w:rPr>
          <w:rFonts w:ascii="Lato" w:hAnsi="Lato" w:cs="Calibri"/>
          <w:sz w:val="20"/>
          <w:szCs w:val="20"/>
          <w:lang w:eastAsia="en-US"/>
        </w:rPr>
      </w:pPr>
      <w:r w:rsidRPr="00270A04">
        <w:rPr>
          <w:rFonts w:ascii="Lato" w:hAnsi="Lato" w:cs="Calibri"/>
          <w:sz w:val="20"/>
          <w:szCs w:val="20"/>
          <w:lang w:eastAsia="en-US"/>
        </w:rPr>
        <w:t>a) La administración Pública centralizada del Estado al 30 de septiembre de 2024, tiene la siguiente cuenta bancaria en Dólares americanos.</w:t>
      </w:r>
    </w:p>
    <w:p w:rsidR="00263AC5" w:rsidRPr="00270A04" w:rsidRDefault="00263AC5" w:rsidP="00263AC5">
      <w:pPr>
        <w:divId w:val="47194278"/>
        <w:rPr>
          <w:rFonts w:ascii="Lato" w:hAnsi="Lato" w:cs="Calibri"/>
          <w:sz w:val="20"/>
          <w:szCs w:val="20"/>
          <w:lang w:eastAsia="en-US"/>
        </w:rPr>
      </w:pPr>
      <w:r w:rsidRPr="00270A04">
        <w:rPr>
          <w:rFonts w:ascii="Lato" w:hAnsi="Lato" w:cs="Calibri"/>
          <w:sz w:val="20"/>
          <w:szCs w:val="20"/>
          <w:lang w:eastAsia="en-US"/>
        </w:rPr>
        <w:t>Banorte Cta. 00602285906 con un saldo contable de $ 0.00 Dólares.</w:t>
      </w:r>
    </w:p>
    <w:p w:rsidR="00263AC5" w:rsidRPr="00270A04" w:rsidRDefault="00263AC5" w:rsidP="00263AC5">
      <w:pPr>
        <w:divId w:val="47194278"/>
        <w:rPr>
          <w:rFonts w:ascii="Lato" w:hAnsi="Lato" w:cs="Calibri"/>
          <w:sz w:val="20"/>
          <w:szCs w:val="20"/>
          <w:lang w:eastAsia="en-US"/>
        </w:rPr>
      </w:pPr>
      <w:r w:rsidRPr="00270A04">
        <w:rPr>
          <w:rFonts w:ascii="Lato" w:hAnsi="Lato" w:cs="Calibri"/>
          <w:sz w:val="20"/>
          <w:szCs w:val="20"/>
          <w:lang w:eastAsia="en-US"/>
        </w:rPr>
        <w:t>b) Al 30 de septiembre de 2024, el Poder Ejecutivo del Gobierno del Estado no tiene pasivos en moneda extranjera.</w:t>
      </w:r>
    </w:p>
    <w:p w:rsidR="00263AC5" w:rsidRPr="00270A04" w:rsidRDefault="00263AC5" w:rsidP="00263AC5">
      <w:pPr>
        <w:divId w:val="47194278"/>
        <w:rPr>
          <w:rFonts w:ascii="Lato" w:hAnsi="Lato" w:cs="Calibri"/>
          <w:sz w:val="20"/>
          <w:szCs w:val="20"/>
          <w:lang w:eastAsia="en-US"/>
        </w:rPr>
      </w:pPr>
      <w:r w:rsidRPr="00270A04">
        <w:rPr>
          <w:rFonts w:ascii="Lato" w:hAnsi="Lato" w:cs="Calibri"/>
          <w:sz w:val="20"/>
          <w:szCs w:val="20"/>
          <w:lang w:eastAsia="en-US"/>
        </w:rPr>
        <w:t>c) Derivado de que el Poder Ejecutivo únicamente tiene una cuenta en moneda extranjera, la cual no ha tenido movimiento la posición en moneda extranjera es estable.</w:t>
      </w:r>
    </w:p>
    <w:p w:rsidR="00263AC5" w:rsidRPr="00270A04" w:rsidRDefault="00263AC5" w:rsidP="00263AC5">
      <w:pPr>
        <w:divId w:val="47194278"/>
        <w:rPr>
          <w:rFonts w:ascii="Lato" w:hAnsi="Lato" w:cs="Calibri"/>
          <w:sz w:val="20"/>
          <w:szCs w:val="20"/>
          <w:lang w:eastAsia="en-US"/>
        </w:rPr>
      </w:pPr>
      <w:r w:rsidRPr="00270A04">
        <w:rPr>
          <w:rFonts w:ascii="Lato" w:hAnsi="Lato" w:cs="Calibri"/>
          <w:sz w:val="20"/>
          <w:szCs w:val="20"/>
          <w:lang w:eastAsia="en-US"/>
        </w:rPr>
        <w:t>d) El Tipo de cambio al 30 de septiembre de 2024 a la compra es de $19.6697 según el diario oficial.</w:t>
      </w:r>
    </w:p>
    <w:p w:rsidR="00263AC5" w:rsidRPr="00270A04" w:rsidRDefault="00263AC5" w:rsidP="00263AC5">
      <w:pPr>
        <w:divId w:val="47194278"/>
        <w:rPr>
          <w:rFonts w:ascii="Lato" w:hAnsi="Lato" w:cs="Calibri"/>
          <w:sz w:val="20"/>
          <w:szCs w:val="20"/>
          <w:lang w:eastAsia="en-US"/>
        </w:rPr>
      </w:pPr>
      <w:r w:rsidRPr="00270A04">
        <w:rPr>
          <w:rFonts w:ascii="Lato" w:hAnsi="Lato" w:cs="Calibri"/>
          <w:sz w:val="20"/>
          <w:szCs w:val="20"/>
          <w:lang w:eastAsia="en-US"/>
        </w:rPr>
        <w:t xml:space="preserve">e) El monto en dólares que se tiene en la cuenta equivale a $0.0 en pesos </w:t>
      </w:r>
    </w:p>
    <w:p w:rsidR="00263AC5" w:rsidRPr="00270A04" w:rsidRDefault="00263AC5" w:rsidP="00263AC5">
      <w:pPr>
        <w:divId w:val="47194278"/>
        <w:rPr>
          <w:rFonts w:ascii="Lato" w:hAnsi="Lato" w:cs="Calibri"/>
          <w:sz w:val="20"/>
          <w:szCs w:val="20"/>
          <w:lang w:eastAsia="en-US"/>
        </w:rPr>
      </w:pPr>
      <w:r w:rsidRPr="00270A04">
        <w:rPr>
          <w:rFonts w:ascii="Lato" w:hAnsi="Lato" w:cs="Calibri"/>
          <w:sz w:val="20"/>
          <w:szCs w:val="20"/>
          <w:lang w:eastAsia="en-US"/>
        </w:rPr>
        <w:t>Por el monto en dólares el Poder Ejecutivo no establece métodos de protección de riesgo por variaciones en el tipo de cambio.</w:t>
      </w:r>
    </w:p>
    <w:p w:rsidR="00A04969" w:rsidRPr="00270A04" w:rsidRDefault="00347F2A">
      <w:pPr>
        <w:divId w:val="973413355"/>
        <w:rPr>
          <w:rFonts w:ascii="Lato" w:eastAsia="Times New Roman" w:hAnsi="Lato"/>
          <w:sz w:val="20"/>
          <w:szCs w:val="20"/>
        </w:rPr>
      </w:pPr>
      <w:r w:rsidRPr="00270A04">
        <w:rPr>
          <w:rStyle w:val="Textoennegrita"/>
          <w:rFonts w:ascii="Lato" w:eastAsia="Times New Roman" w:hAnsi="Lato"/>
          <w:sz w:val="20"/>
          <w:szCs w:val="20"/>
        </w:rPr>
        <w:t>7.- Reporte Analítico del Activo.</w:t>
      </w:r>
    </w:p>
    <w:p w:rsidR="00A04969" w:rsidRPr="00270A04" w:rsidRDefault="00330B04" w:rsidP="00330B04">
      <w:pPr>
        <w:spacing w:line="360" w:lineRule="auto"/>
        <w:divId w:val="546071179"/>
        <w:rPr>
          <w:rFonts w:ascii="Lato" w:eastAsia="Times New Roman" w:hAnsi="Lato"/>
          <w:sz w:val="20"/>
          <w:szCs w:val="20"/>
        </w:rPr>
      </w:pPr>
      <w:r w:rsidRPr="00270A04">
        <w:rPr>
          <w:rFonts w:ascii="Lato" w:eastAsia="Times New Roman" w:hAnsi="Lato"/>
          <w:sz w:val="20"/>
          <w:szCs w:val="20"/>
        </w:rPr>
        <w:t xml:space="preserve">            </w:t>
      </w:r>
      <w:r w:rsidR="00347F2A" w:rsidRPr="00270A04">
        <w:rPr>
          <w:rFonts w:ascii="Lato" w:eastAsia="Times New Roman" w:hAnsi="Lato"/>
          <w:sz w:val="20"/>
          <w:szCs w:val="20"/>
        </w:rPr>
        <w:t>Vida útil o porcentajes de depreciación, deterioro o amortización utilizados en los diferentes activos.</w:t>
      </w:r>
    </w:p>
    <w:p w:rsidR="00A04969" w:rsidRPr="00270A04" w:rsidRDefault="00330B04" w:rsidP="00330B04">
      <w:pPr>
        <w:spacing w:line="360" w:lineRule="auto"/>
        <w:divId w:val="467625466"/>
        <w:rPr>
          <w:rFonts w:ascii="Lato" w:eastAsia="Times New Roman" w:hAnsi="Lato"/>
          <w:sz w:val="20"/>
          <w:szCs w:val="20"/>
        </w:rPr>
      </w:pPr>
      <w:r w:rsidRPr="00270A04">
        <w:rPr>
          <w:rFonts w:ascii="Lato" w:eastAsia="Times New Roman" w:hAnsi="Lato"/>
          <w:sz w:val="20"/>
          <w:szCs w:val="20"/>
        </w:rPr>
        <w:t xml:space="preserve">     </w:t>
      </w:r>
      <w:r w:rsidR="00347F2A" w:rsidRPr="00270A04">
        <w:rPr>
          <w:rFonts w:ascii="Lato" w:eastAsia="Times New Roman" w:hAnsi="Lato"/>
          <w:sz w:val="20"/>
          <w:szCs w:val="20"/>
        </w:rPr>
        <w:t xml:space="preserve">a) Los activos fijos del Poder Ejecutivo tienen una vida útil diversa, de conformidad con el las Reglas Específicas del Registro y Valoración del </w:t>
      </w:r>
      <w:r w:rsidRPr="00270A04">
        <w:rPr>
          <w:rFonts w:ascii="Lato" w:eastAsia="Times New Roman" w:hAnsi="Lato"/>
          <w:sz w:val="20"/>
          <w:szCs w:val="20"/>
        </w:rPr>
        <w:t xml:space="preserve">            </w:t>
      </w:r>
      <w:r w:rsidR="00347F2A" w:rsidRPr="00270A04">
        <w:rPr>
          <w:rFonts w:ascii="Lato" w:eastAsia="Times New Roman" w:hAnsi="Lato"/>
          <w:sz w:val="20"/>
          <w:szCs w:val="20"/>
        </w:rPr>
        <w:t>Patrimonio emitidas por el Consejo Nacional de Armonización Contable.</w:t>
      </w:r>
    </w:p>
    <w:p w:rsidR="00A04969" w:rsidRPr="00270A04" w:rsidRDefault="00330B04" w:rsidP="00330B04">
      <w:pPr>
        <w:spacing w:line="360" w:lineRule="auto"/>
        <w:divId w:val="1255630790"/>
        <w:rPr>
          <w:rFonts w:ascii="Lato" w:eastAsia="Times New Roman" w:hAnsi="Lato"/>
          <w:sz w:val="20"/>
          <w:szCs w:val="20"/>
        </w:rPr>
      </w:pPr>
      <w:r w:rsidRPr="00270A04">
        <w:rPr>
          <w:rFonts w:ascii="Lato" w:eastAsia="Times New Roman" w:hAnsi="Lato"/>
          <w:sz w:val="20"/>
          <w:szCs w:val="20"/>
        </w:rPr>
        <w:t xml:space="preserve">     </w:t>
      </w:r>
      <w:r w:rsidR="00347F2A" w:rsidRPr="00270A04">
        <w:rPr>
          <w:rFonts w:ascii="Lato" w:eastAsia="Times New Roman" w:hAnsi="Lato"/>
          <w:sz w:val="20"/>
          <w:szCs w:val="20"/>
        </w:rPr>
        <w:t>b) El Poder Ejecutivo no ha realizado cambios en el porcentaje de la depreciación.</w:t>
      </w:r>
    </w:p>
    <w:p w:rsidR="00A04969" w:rsidRPr="00270A04" w:rsidRDefault="00347F2A" w:rsidP="00330B04">
      <w:pPr>
        <w:spacing w:line="360" w:lineRule="auto"/>
        <w:divId w:val="182592528"/>
        <w:rPr>
          <w:rFonts w:ascii="Lato" w:eastAsia="Times New Roman" w:hAnsi="Lato"/>
          <w:sz w:val="20"/>
          <w:szCs w:val="20"/>
        </w:rPr>
      </w:pPr>
      <w:r w:rsidRPr="00270A04">
        <w:rPr>
          <w:rStyle w:val="Textoennegrita"/>
          <w:rFonts w:ascii="Lato" w:eastAsia="Times New Roman" w:hAnsi="Lato"/>
          <w:sz w:val="20"/>
          <w:szCs w:val="20"/>
        </w:rPr>
        <w:t>8.- Fideicomisos, Mandatos y Análogos</w:t>
      </w:r>
    </w:p>
    <w:p w:rsidR="00A04969" w:rsidRDefault="00347F2A" w:rsidP="00330B04">
      <w:pPr>
        <w:spacing w:line="360" w:lineRule="auto"/>
        <w:divId w:val="244923479"/>
        <w:rPr>
          <w:rFonts w:ascii="Lato" w:eastAsia="Times New Roman" w:hAnsi="Lato"/>
          <w:sz w:val="20"/>
          <w:szCs w:val="20"/>
        </w:rPr>
      </w:pPr>
      <w:r w:rsidRPr="00270A04">
        <w:rPr>
          <w:rFonts w:ascii="Lato" w:eastAsia="Times New Roman" w:hAnsi="Lato"/>
          <w:sz w:val="20"/>
          <w:szCs w:val="20"/>
        </w:rPr>
        <w:t>Al 30 de septiembre de 2024, el saldo en disponibilidades de los fideicomisos asciende a $</w:t>
      </w:r>
      <w:r w:rsidR="000847B6" w:rsidRPr="00270A04">
        <w:rPr>
          <w:rFonts w:ascii="Lato" w:eastAsia="Times New Roman" w:hAnsi="Lato"/>
          <w:sz w:val="20"/>
          <w:szCs w:val="20"/>
        </w:rPr>
        <w:t>1’409,060,069.36</w:t>
      </w:r>
      <w:r w:rsidRPr="00270A04">
        <w:rPr>
          <w:rFonts w:ascii="Lato" w:eastAsia="Times New Roman" w:hAnsi="Lato"/>
          <w:sz w:val="20"/>
          <w:szCs w:val="20"/>
        </w:rPr>
        <w:t>; se enlistan a continuación los fideicomisos cuy</w:t>
      </w:r>
      <w:r w:rsidR="000847B6" w:rsidRPr="00270A04">
        <w:rPr>
          <w:rFonts w:ascii="Lato" w:eastAsia="Times New Roman" w:hAnsi="Lato"/>
          <w:sz w:val="20"/>
          <w:szCs w:val="20"/>
        </w:rPr>
        <w:t>o saldo conforma el 99.51</w:t>
      </w:r>
      <w:r w:rsidRPr="00270A04">
        <w:rPr>
          <w:rFonts w:ascii="Lato" w:eastAsia="Times New Roman" w:hAnsi="Lato"/>
          <w:sz w:val="20"/>
          <w:szCs w:val="20"/>
        </w:rPr>
        <w:t>% del monto saldo de la cuenta.</w:t>
      </w:r>
    </w:p>
    <w:p w:rsidR="00866F44" w:rsidRPr="00270A04" w:rsidRDefault="00866F44" w:rsidP="00330B04">
      <w:pPr>
        <w:spacing w:line="360" w:lineRule="auto"/>
        <w:divId w:val="244923479"/>
        <w:rPr>
          <w:rFonts w:ascii="Lato" w:eastAsia="Times New Roman" w:hAnsi="Lato"/>
          <w:sz w:val="20"/>
          <w:szCs w:val="20"/>
        </w:rPr>
      </w:pPr>
    </w:p>
    <w:tbl>
      <w:tblPr>
        <w:tblW w:w="13240" w:type="dxa"/>
        <w:tblLayout w:type="fixed"/>
        <w:tblCellMar>
          <w:left w:w="70" w:type="dxa"/>
          <w:right w:w="70" w:type="dxa"/>
        </w:tblCellMar>
        <w:tblLook w:val="04A0" w:firstRow="1" w:lastRow="0" w:firstColumn="1" w:lastColumn="0" w:noHBand="0" w:noVBand="1"/>
      </w:tblPr>
      <w:tblGrid>
        <w:gridCol w:w="3860"/>
        <w:gridCol w:w="7300"/>
        <w:gridCol w:w="2080"/>
      </w:tblGrid>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center"/>
              <w:rPr>
                <w:rFonts w:ascii="Lato" w:eastAsia="Times New Roman" w:hAnsi="Lato" w:cs="Calibri"/>
                <w:b/>
                <w:bCs/>
                <w:color w:val="000000"/>
                <w:sz w:val="20"/>
                <w:szCs w:val="20"/>
              </w:rPr>
            </w:pPr>
            <w:r w:rsidRPr="00270A04">
              <w:rPr>
                <w:rFonts w:ascii="Lato" w:eastAsia="Times New Roman" w:hAnsi="Lato" w:cs="Calibri"/>
                <w:b/>
                <w:bCs/>
                <w:color w:val="000000"/>
                <w:sz w:val="20"/>
                <w:szCs w:val="20"/>
              </w:rPr>
              <w:lastRenderedPageBreak/>
              <w:t>Ramo Administrativo que lo reporta</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center"/>
              <w:rPr>
                <w:rFonts w:ascii="Lato" w:eastAsia="Times New Roman" w:hAnsi="Lato" w:cs="Calibri"/>
                <w:b/>
                <w:bCs/>
                <w:color w:val="000000"/>
                <w:sz w:val="20"/>
                <w:szCs w:val="20"/>
              </w:rPr>
            </w:pPr>
            <w:r w:rsidRPr="00270A04">
              <w:rPr>
                <w:rFonts w:ascii="Lato" w:eastAsia="Times New Roman" w:hAnsi="Lato" w:cs="Calibri"/>
                <w:b/>
                <w:bCs/>
                <w:color w:val="000000"/>
                <w:sz w:val="20"/>
                <w:szCs w:val="20"/>
              </w:rPr>
              <w:t>Nombre</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center"/>
              <w:rPr>
                <w:rFonts w:ascii="Lato" w:eastAsia="Times New Roman" w:hAnsi="Lato" w:cs="Calibri"/>
                <w:b/>
                <w:bCs/>
                <w:color w:val="000000"/>
                <w:sz w:val="20"/>
                <w:szCs w:val="20"/>
              </w:rPr>
            </w:pPr>
            <w:r w:rsidRPr="00270A04">
              <w:rPr>
                <w:rFonts w:ascii="Lato" w:eastAsia="Times New Roman" w:hAnsi="Lato" w:cs="Calibri"/>
                <w:b/>
                <w:bCs/>
                <w:color w:val="000000"/>
                <w:sz w:val="20"/>
                <w:szCs w:val="20"/>
              </w:rPr>
              <w:t>Importe</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DESARROLLO RURAL</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DE FOMENTO AGROPECUARIO DEL ESTADO DE YUCATAN (FOFAY)</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$24,802,617.82</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FOMENTO ECONOMICO</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INTEGRAL PARA EL DESARROLLO ECONOMICO DE YUCATAN (FIDEY)</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$76,403,592.84</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FOMENTO ECONOMICO</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FONDO YUCATAN</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$376,357.15</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FOMENTO TURISTICO</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PARA LA PROMOCIÓN TURÍSTICA DEL ESTADO DE YUCATÁN</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$95,991,107.50</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DESARROLLO SUSTENTABLE</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FONDOMETROPOLITANODEYUCATAN</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$4,267,343.89</w:t>
            </w:r>
          </w:p>
        </w:tc>
      </w:tr>
      <w:tr w:rsidR="00F9463D" w:rsidRPr="00270A04" w:rsidTr="00F9463D">
        <w:trPr>
          <w:divId w:val="244923479"/>
          <w:trHeight w:val="48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DESARROLLO SUSTENTABLE</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FIDEICOMISOSISTEMAINTEGRALDETRANSPORTEDELAZONAMETROPOLITANADEMERIDAYUCATAN(SITMERIDA)</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$94,108,228.85</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DESARROLLO SUSTENTABLE</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F/2460492</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$237,443,573.30</w:t>
            </w:r>
          </w:p>
        </w:tc>
      </w:tr>
      <w:tr w:rsidR="00F9463D" w:rsidRPr="00270A04" w:rsidTr="00F9463D">
        <w:trPr>
          <w:divId w:val="244923479"/>
          <w:trHeight w:val="48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DESARROLLO SUSTENTABLE</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FIDEICOMISOSISTEMAINTEGRALDETRANSPORTEDELAZONAMETROPOLITANADEMERIDAYUCATANETAPA2</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$418,666,832.51</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GENERAL DE GOBIERNO</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PARA LA ATENCIÓN DE EMERGENCIAS Y DESASTRES DEL ESTADO (FAED)</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$12,737,654.24</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GENERAL DE GOBIERNO</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FONDO ESTATAL DE AYUDA, ASISTENCIA Y REPARACION INTEGRAL</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$2,995,896.78</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F/0002 PROTEGO CASA DE BOLSA DIV FIDUCIARIA</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$3,157,880.16</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NO. F/4109088</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$174,890,351.97</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F/4109146</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$36,834,003.99</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PARA EL DESARROLLO REGIONAL DEL SUR SURESTE 2050. FIDESUR</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$700,000.00</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No. F/4130480</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$53,246,642.96</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DE INVERSION Y ADMINISTRACION No. F/4137634 BBVA</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$2.00</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DE INVERSION Y ADMINISTRACION NÚMERO F/4142634</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$14,495,179.16</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F/0019 PROTEGO CASA DE BOLSA SA DE CV FID</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$70,298,891.68</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lastRenderedPageBreak/>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F/0173</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$7,202,043.22</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ADMINISTRACIÓN Y FINANZAS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F/0199 EVERCORE CASA DE BOLSA SA DE CV DIV. FIDUCIARIA</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$1,242,202.94</w:t>
            </w:r>
          </w:p>
        </w:tc>
      </w:tr>
      <w:tr w:rsidR="00F9463D" w:rsidRPr="00270A04" w:rsidTr="00F9463D">
        <w:trPr>
          <w:divId w:val="244923479"/>
          <w:trHeight w:val="48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OBRAS PUBLICAS</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YUCATECO PARA LA DIGNIFICACION Y DESARROLLO INTEGRAL DE LOS TRABAJADORES DE LA CONSTRUCCION (FYDITRAC)</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$30,635,764.01</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SEGURIDAD PUBLICA</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FIDEICOMISO FONDO DE SEGURIDAD PÚBLICA DEL ESTADO DE YUCATÁN</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$10,934,635.31</w:t>
            </w:r>
          </w:p>
        </w:tc>
      </w:tr>
      <w:tr w:rsidR="00F9463D" w:rsidRPr="00270A04" w:rsidTr="00F9463D">
        <w:trPr>
          <w:divId w:val="244923479"/>
          <w:trHeight w:val="30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EDUCACIÓN</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VIVIENDA MAGISTERIO (NUM 2112177)</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$14,452,338.28</w:t>
            </w:r>
          </w:p>
        </w:tc>
      </w:tr>
      <w:tr w:rsidR="00F9463D" w:rsidRPr="00270A04" w:rsidTr="00F9463D">
        <w:trPr>
          <w:divId w:val="244923479"/>
          <w:trHeight w:val="495"/>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SECRETARIA DE EDUCACIÓN</w:t>
            </w: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Calibri"/>
                <w:color w:val="000000"/>
                <w:sz w:val="20"/>
                <w:szCs w:val="20"/>
              </w:rPr>
            </w:pPr>
            <w:r w:rsidRPr="00270A04">
              <w:rPr>
                <w:rFonts w:ascii="Lato" w:eastAsia="Times New Roman" w:hAnsi="Lato" w:cs="Calibri"/>
                <w:color w:val="000000"/>
                <w:sz w:val="20"/>
                <w:szCs w:val="20"/>
              </w:rPr>
              <w:t>PROGRAMA DE BECAS NACIONALES PARA LA EDUCACIÓN SUPERIOR DE MANUTENCIÓN PARA EL ESTADO DE YUCATÁN</w:t>
            </w:r>
          </w:p>
        </w:tc>
        <w:tc>
          <w:tcPr>
            <w:tcW w:w="208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r w:rsidRPr="00270A04">
              <w:rPr>
                <w:rFonts w:ascii="Lato" w:eastAsia="Times New Roman" w:hAnsi="Lato" w:cs="Calibri"/>
                <w:color w:val="000000"/>
                <w:sz w:val="20"/>
                <w:szCs w:val="20"/>
              </w:rPr>
              <w:t>$16,347,568.61</w:t>
            </w:r>
          </w:p>
        </w:tc>
      </w:tr>
      <w:tr w:rsidR="00F9463D" w:rsidRPr="00270A04" w:rsidTr="00F9463D">
        <w:trPr>
          <w:divId w:val="244923479"/>
          <w:trHeight w:val="330"/>
        </w:trPr>
        <w:tc>
          <w:tcPr>
            <w:tcW w:w="386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color w:val="000000"/>
                <w:sz w:val="20"/>
                <w:szCs w:val="20"/>
              </w:rPr>
            </w:pPr>
          </w:p>
        </w:tc>
        <w:tc>
          <w:tcPr>
            <w:tcW w:w="7300" w:type="dxa"/>
            <w:tcBorders>
              <w:top w:val="nil"/>
              <w:left w:val="nil"/>
              <w:bottom w:val="nil"/>
              <w:right w:val="nil"/>
            </w:tcBorders>
            <w:shd w:val="clear" w:color="auto" w:fill="auto"/>
            <w:vAlign w:val="center"/>
            <w:hideMark/>
          </w:tcPr>
          <w:p w:rsidR="00F9463D" w:rsidRPr="00270A04" w:rsidRDefault="00F9463D" w:rsidP="00F9463D">
            <w:pPr>
              <w:spacing w:after="0" w:line="240" w:lineRule="auto"/>
              <w:rPr>
                <w:rFonts w:ascii="Lato" w:eastAsia="Times New Roman" w:hAnsi="Lato" w:cs="Times New Roman"/>
                <w:sz w:val="20"/>
                <w:szCs w:val="20"/>
              </w:rPr>
            </w:pPr>
          </w:p>
        </w:tc>
        <w:tc>
          <w:tcPr>
            <w:tcW w:w="2080" w:type="dxa"/>
            <w:tcBorders>
              <w:top w:val="single" w:sz="12" w:space="0" w:color="000000"/>
              <w:left w:val="nil"/>
              <w:bottom w:val="single" w:sz="12" w:space="0" w:color="000000"/>
              <w:right w:val="nil"/>
            </w:tcBorders>
            <w:shd w:val="clear" w:color="auto" w:fill="auto"/>
            <w:vAlign w:val="center"/>
            <w:hideMark/>
          </w:tcPr>
          <w:p w:rsidR="00F9463D" w:rsidRPr="00270A04" w:rsidRDefault="00F9463D" w:rsidP="00F9463D">
            <w:pPr>
              <w:spacing w:after="0" w:line="240" w:lineRule="auto"/>
              <w:jc w:val="right"/>
              <w:rPr>
                <w:rFonts w:ascii="Lato" w:eastAsia="Times New Roman" w:hAnsi="Lato" w:cs="Calibri"/>
                <w:b/>
                <w:bCs/>
                <w:color w:val="000000"/>
                <w:sz w:val="20"/>
                <w:szCs w:val="20"/>
              </w:rPr>
            </w:pPr>
            <w:r w:rsidRPr="00270A04">
              <w:rPr>
                <w:rFonts w:ascii="Lato" w:eastAsia="Times New Roman" w:hAnsi="Lato" w:cs="Calibri"/>
                <w:b/>
                <w:bCs/>
                <w:color w:val="000000"/>
                <w:sz w:val="20"/>
                <w:szCs w:val="20"/>
              </w:rPr>
              <w:t>$1,402,230,709.17</w:t>
            </w:r>
          </w:p>
        </w:tc>
      </w:tr>
    </w:tbl>
    <w:p w:rsidR="00F64EC5" w:rsidRPr="00270A04" w:rsidRDefault="00F64EC5" w:rsidP="00330B04">
      <w:pPr>
        <w:spacing w:line="360" w:lineRule="auto"/>
        <w:divId w:val="244923479"/>
        <w:rPr>
          <w:rFonts w:ascii="Lato" w:eastAsia="Times New Roman" w:hAnsi="Lato"/>
          <w:sz w:val="20"/>
          <w:szCs w:val="20"/>
        </w:rPr>
      </w:pPr>
    </w:p>
    <w:p w:rsidR="00A04969" w:rsidRPr="00866F44" w:rsidRDefault="00347F2A">
      <w:pPr>
        <w:divId w:val="1690596346"/>
        <w:rPr>
          <w:rFonts w:ascii="Lato" w:eastAsia="Times New Roman" w:hAnsi="Lato"/>
          <w:sz w:val="20"/>
          <w:szCs w:val="20"/>
        </w:rPr>
      </w:pPr>
      <w:r w:rsidRPr="00866F44">
        <w:rPr>
          <w:rStyle w:val="Textoennegrita"/>
          <w:rFonts w:ascii="Lato" w:eastAsia="Times New Roman" w:hAnsi="Lato"/>
          <w:sz w:val="20"/>
          <w:szCs w:val="20"/>
        </w:rPr>
        <w:t>9.- Reporte de la Recaudación.</w:t>
      </w:r>
    </w:p>
    <w:p w:rsidR="00A04969" w:rsidRPr="00866F44" w:rsidRDefault="00347F2A">
      <w:pPr>
        <w:divId w:val="2003894422"/>
        <w:rPr>
          <w:rFonts w:ascii="Lato" w:eastAsia="Times New Roman" w:hAnsi="Lato"/>
          <w:sz w:val="20"/>
          <w:szCs w:val="20"/>
        </w:rPr>
      </w:pPr>
      <w:r w:rsidRPr="00866F44">
        <w:rPr>
          <w:rFonts w:ascii="Lato" w:eastAsia="Times New Roman" w:hAnsi="Lato"/>
          <w:sz w:val="20"/>
          <w:szCs w:val="20"/>
        </w:rPr>
        <w:t>a) Comportamiento de la recaudación correspondiente al ente público por cualquier tipo de ingreso.</w:t>
      </w:r>
    </w:p>
    <w:p w:rsidR="00F9463D" w:rsidRPr="00866F44" w:rsidRDefault="00F9463D" w:rsidP="00F9463D">
      <w:pPr>
        <w:spacing w:line="360" w:lineRule="auto"/>
        <w:jc w:val="both"/>
        <w:divId w:val="1976180284"/>
        <w:rPr>
          <w:rFonts w:ascii="Lato" w:eastAsia="Times New Roman" w:hAnsi="Lato"/>
          <w:sz w:val="20"/>
          <w:szCs w:val="20"/>
        </w:rPr>
      </w:pPr>
      <w:r w:rsidRPr="00866F44">
        <w:rPr>
          <w:rFonts w:ascii="Lato" w:eastAsia="Times New Roman" w:hAnsi="Lato"/>
          <w:sz w:val="20"/>
          <w:szCs w:val="20"/>
        </w:rPr>
        <w:t>El Congreso del Estado aprobó mediante la Ley de Ingresos 2024 un monto aproximado de 60’873 mdp, de los cuales 55’948 mdp corresponden al Poder Ejecutivo; 1’829 mdp a Cuotas y aportaciones de Seguridad Social y 3’095 mdp por concepto de ingresos por ventas de bienes y servicios del sector paraestatal.</w:t>
      </w:r>
    </w:p>
    <w:p w:rsidR="00F9463D" w:rsidRDefault="00F9463D">
      <w:pPr>
        <w:divId w:val="1976180284"/>
        <w:rPr>
          <w:rFonts w:ascii="Lato" w:eastAsia="Times New Roman" w:hAnsi="Lato"/>
          <w:sz w:val="20"/>
          <w:szCs w:val="20"/>
        </w:rPr>
      </w:pPr>
    </w:p>
    <w:p w:rsidR="00866F44" w:rsidRDefault="00866F44">
      <w:pPr>
        <w:divId w:val="1976180284"/>
        <w:rPr>
          <w:rFonts w:ascii="Lato" w:eastAsia="Times New Roman" w:hAnsi="Lato"/>
          <w:sz w:val="20"/>
          <w:szCs w:val="20"/>
        </w:rPr>
      </w:pPr>
    </w:p>
    <w:p w:rsidR="00866F44" w:rsidRDefault="00866F44">
      <w:pPr>
        <w:divId w:val="1976180284"/>
        <w:rPr>
          <w:rFonts w:ascii="Lato" w:eastAsia="Times New Roman" w:hAnsi="Lato"/>
          <w:sz w:val="20"/>
          <w:szCs w:val="20"/>
        </w:rPr>
      </w:pPr>
    </w:p>
    <w:p w:rsidR="00866F44" w:rsidRDefault="00866F44">
      <w:pPr>
        <w:divId w:val="1976180284"/>
        <w:rPr>
          <w:rFonts w:ascii="Lato" w:eastAsia="Times New Roman" w:hAnsi="Lato"/>
          <w:sz w:val="20"/>
          <w:szCs w:val="20"/>
        </w:rPr>
      </w:pPr>
    </w:p>
    <w:p w:rsidR="00866F44" w:rsidRDefault="00866F44">
      <w:pPr>
        <w:divId w:val="1976180284"/>
        <w:rPr>
          <w:rFonts w:ascii="Lato" w:eastAsia="Times New Roman" w:hAnsi="Lato"/>
          <w:sz w:val="20"/>
          <w:szCs w:val="20"/>
        </w:rPr>
      </w:pPr>
    </w:p>
    <w:p w:rsidR="00866F44" w:rsidRDefault="00866F44">
      <w:pPr>
        <w:divId w:val="1976180284"/>
        <w:rPr>
          <w:rFonts w:ascii="Lato" w:eastAsia="Times New Roman" w:hAnsi="Lato"/>
          <w:sz w:val="20"/>
          <w:szCs w:val="20"/>
        </w:rPr>
      </w:pPr>
    </w:p>
    <w:p w:rsidR="00866F44" w:rsidRPr="00866F44" w:rsidRDefault="00866F44">
      <w:pPr>
        <w:divId w:val="1976180284"/>
        <w:rPr>
          <w:rFonts w:ascii="Lato" w:eastAsia="Times New Roman" w:hAnsi="Lato"/>
          <w:sz w:val="20"/>
          <w:szCs w:val="20"/>
        </w:rPr>
      </w:pPr>
    </w:p>
    <w:p w:rsidR="00A04969" w:rsidRPr="00866F44" w:rsidRDefault="00A04969">
      <w:pPr>
        <w:divId w:val="2123766757"/>
        <w:rPr>
          <w:rFonts w:ascii="Lato" w:eastAsia="Times New Roman" w:hAnsi="Lato"/>
          <w:sz w:val="20"/>
          <w:szCs w:val="20"/>
        </w:rPr>
      </w:pPr>
    </w:p>
    <w:p w:rsidR="00A04969" w:rsidRPr="00866F44" w:rsidRDefault="00347F2A">
      <w:pPr>
        <w:divId w:val="581640339"/>
        <w:rPr>
          <w:rFonts w:ascii="Lato" w:eastAsia="Times New Roman" w:hAnsi="Lato"/>
          <w:sz w:val="20"/>
          <w:szCs w:val="20"/>
        </w:rPr>
      </w:pPr>
      <w:r w:rsidRPr="00866F44">
        <w:rPr>
          <w:rFonts w:ascii="Lato" w:eastAsia="Times New Roman" w:hAnsi="Lato"/>
          <w:sz w:val="20"/>
          <w:szCs w:val="20"/>
        </w:rPr>
        <w:lastRenderedPageBreak/>
        <w:t>c) Proyección de la recaudación de ingresos a mediano pla</w:t>
      </w:r>
      <w:r w:rsidR="00F9463D" w:rsidRPr="00866F44">
        <w:rPr>
          <w:rFonts w:ascii="Lato" w:eastAsia="Times New Roman" w:hAnsi="Lato"/>
          <w:sz w:val="20"/>
          <w:szCs w:val="20"/>
        </w:rPr>
        <w:t>zo según la Ley de Ingresos 2024</w:t>
      </w:r>
      <w:r w:rsidRPr="00866F44">
        <w:rPr>
          <w:rFonts w:ascii="Lato" w:eastAsia="Times New Roman" w:hAnsi="Lato"/>
          <w:sz w:val="20"/>
          <w:szCs w:val="20"/>
        </w:rPr>
        <w:t>.</w:t>
      </w:r>
    </w:p>
    <w:p w:rsidR="00A04969" w:rsidRPr="00866F44" w:rsidRDefault="00A04969">
      <w:pPr>
        <w:divId w:val="1009599902"/>
        <w:rPr>
          <w:rFonts w:ascii="Lato" w:eastAsia="Times New Roman" w:hAnsi="Lato"/>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4"/>
        <w:gridCol w:w="5940"/>
        <w:gridCol w:w="1819"/>
        <w:gridCol w:w="1756"/>
        <w:gridCol w:w="2561"/>
      </w:tblGrid>
      <w:tr w:rsidR="00A04969" w:rsidRPr="00866F44">
        <w:trPr>
          <w:divId w:val="1830093854"/>
          <w:tblCellSpacing w:w="15" w:type="dxa"/>
        </w:trPr>
        <w:tc>
          <w:tcPr>
            <w:tcW w:w="0" w:type="auto"/>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color w:val="000000"/>
                <w:sz w:val="20"/>
                <w:szCs w:val="20"/>
              </w:rPr>
              <w:t>CUENTA</w:t>
            </w:r>
          </w:p>
        </w:tc>
        <w:tc>
          <w:tcPr>
            <w:tcW w:w="0" w:type="auto"/>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color w:val="000000"/>
                <w:sz w:val="20"/>
                <w:szCs w:val="20"/>
              </w:rPr>
              <w:t>CONCEPTO</w:t>
            </w:r>
          </w:p>
        </w:tc>
        <w:tc>
          <w:tcPr>
            <w:tcW w:w="0" w:type="auto"/>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color w:val="000000"/>
                <w:sz w:val="20"/>
                <w:szCs w:val="20"/>
              </w:rPr>
              <w:t>Ley de Ingresos 2024</w:t>
            </w:r>
          </w:p>
        </w:tc>
        <w:tc>
          <w:tcPr>
            <w:tcW w:w="0" w:type="auto"/>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color w:val="000000"/>
                <w:sz w:val="20"/>
                <w:szCs w:val="20"/>
              </w:rPr>
              <w:t>Recaudación 2024</w:t>
            </w:r>
          </w:p>
        </w:tc>
        <w:tc>
          <w:tcPr>
            <w:tcW w:w="0" w:type="auto"/>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color w:val="000000"/>
                <w:sz w:val="20"/>
                <w:szCs w:val="20"/>
              </w:rPr>
              <w:t>Variación entre Ley de Ingresos y lo Recaudado</w:t>
            </w:r>
          </w:p>
        </w:tc>
      </w:tr>
      <w:tr w:rsidR="00A04969" w:rsidRPr="00866F44">
        <w:trPr>
          <w:divId w:val="1830093854"/>
          <w:tblCellSpacing w:w="15" w:type="dxa"/>
        </w:trPr>
        <w:tc>
          <w:tcPr>
            <w:tcW w:w="0" w:type="auto"/>
            <w:vAlign w:val="center"/>
            <w:hideMark/>
          </w:tcPr>
          <w:p w:rsidR="00A04969" w:rsidRPr="00866F44" w:rsidRDefault="00347F2A">
            <w:pPr>
              <w:divId w:val="1557161349"/>
              <w:rPr>
                <w:rFonts w:ascii="Lato" w:eastAsia="Times New Roman" w:hAnsi="Lato"/>
                <w:color w:val="000000"/>
                <w:sz w:val="20"/>
                <w:szCs w:val="20"/>
              </w:rPr>
            </w:pPr>
            <w:r w:rsidRPr="00866F44">
              <w:rPr>
                <w:rFonts w:ascii="Lato" w:eastAsia="Times New Roman" w:hAnsi="Lato"/>
                <w:color w:val="000000"/>
                <w:sz w:val="20"/>
                <w:szCs w:val="20"/>
              </w:rPr>
              <w:t>1</w:t>
            </w:r>
          </w:p>
        </w:tc>
        <w:tc>
          <w:tcPr>
            <w:tcW w:w="0" w:type="auto"/>
            <w:vAlign w:val="center"/>
            <w:hideMark/>
          </w:tcPr>
          <w:p w:rsidR="00A04969" w:rsidRPr="00866F44" w:rsidRDefault="00347F2A">
            <w:pPr>
              <w:divId w:val="1134056005"/>
              <w:rPr>
                <w:rFonts w:ascii="Lato" w:eastAsia="Times New Roman" w:hAnsi="Lato"/>
                <w:sz w:val="20"/>
                <w:szCs w:val="20"/>
              </w:rPr>
            </w:pPr>
            <w:r w:rsidRPr="00866F44">
              <w:rPr>
                <w:rFonts w:ascii="Lato" w:eastAsia="Times New Roman" w:hAnsi="Lato"/>
                <w:color w:val="000000"/>
                <w:sz w:val="20"/>
                <w:szCs w:val="20"/>
              </w:rPr>
              <w:t>IMPUESTOS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4,299,151,024.00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3,002,465,973.80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-1,296,685,050.20</w:t>
            </w:r>
          </w:p>
        </w:tc>
      </w:tr>
      <w:tr w:rsidR="00A04969" w:rsidRPr="00866F44">
        <w:trPr>
          <w:divId w:val="1830093854"/>
          <w:tblCellSpacing w:w="15" w:type="dxa"/>
        </w:trPr>
        <w:tc>
          <w:tcPr>
            <w:tcW w:w="0" w:type="auto"/>
            <w:vAlign w:val="center"/>
            <w:hideMark/>
          </w:tcPr>
          <w:p w:rsidR="00A04969" w:rsidRPr="00866F44" w:rsidRDefault="00347F2A">
            <w:pPr>
              <w:divId w:val="1289893447"/>
              <w:rPr>
                <w:rFonts w:ascii="Lato" w:eastAsia="Times New Roman" w:hAnsi="Lato"/>
                <w:color w:val="000000"/>
                <w:sz w:val="20"/>
                <w:szCs w:val="20"/>
              </w:rPr>
            </w:pPr>
            <w:r w:rsidRPr="00866F44">
              <w:rPr>
                <w:rFonts w:ascii="Lato" w:eastAsia="Times New Roman" w:hAnsi="Lato"/>
                <w:color w:val="000000"/>
                <w:sz w:val="20"/>
                <w:szCs w:val="20"/>
              </w:rPr>
              <w:t>4</w:t>
            </w:r>
          </w:p>
        </w:tc>
        <w:tc>
          <w:tcPr>
            <w:tcW w:w="0" w:type="auto"/>
            <w:vAlign w:val="center"/>
            <w:hideMark/>
          </w:tcPr>
          <w:p w:rsidR="00A04969" w:rsidRPr="00866F44" w:rsidRDefault="00347F2A">
            <w:pPr>
              <w:divId w:val="1332830117"/>
              <w:rPr>
                <w:rFonts w:ascii="Lato" w:eastAsia="Times New Roman" w:hAnsi="Lato"/>
                <w:sz w:val="20"/>
                <w:szCs w:val="20"/>
              </w:rPr>
            </w:pPr>
            <w:r w:rsidRPr="00866F44">
              <w:rPr>
                <w:rFonts w:ascii="Lato" w:eastAsia="Times New Roman" w:hAnsi="Lato"/>
                <w:color w:val="000000"/>
                <w:sz w:val="20"/>
                <w:szCs w:val="20"/>
              </w:rPr>
              <w:t>DERECHOS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2,289,493,037.00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1,596,105,481.11</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-693,387,555.89</w:t>
            </w:r>
          </w:p>
        </w:tc>
      </w:tr>
      <w:tr w:rsidR="00A04969" w:rsidRPr="00866F44">
        <w:trPr>
          <w:divId w:val="1830093854"/>
          <w:tblCellSpacing w:w="15" w:type="dxa"/>
        </w:trPr>
        <w:tc>
          <w:tcPr>
            <w:tcW w:w="0" w:type="auto"/>
            <w:vAlign w:val="center"/>
            <w:hideMark/>
          </w:tcPr>
          <w:p w:rsidR="00A04969" w:rsidRPr="00866F44" w:rsidRDefault="00347F2A">
            <w:pPr>
              <w:divId w:val="1604070284"/>
              <w:rPr>
                <w:rFonts w:ascii="Lato" w:eastAsia="Times New Roman" w:hAnsi="Lato"/>
                <w:color w:val="000000"/>
                <w:sz w:val="20"/>
                <w:szCs w:val="20"/>
              </w:rPr>
            </w:pPr>
            <w:r w:rsidRPr="00866F44">
              <w:rPr>
                <w:rFonts w:ascii="Lato" w:eastAsia="Times New Roman" w:hAnsi="Lato"/>
                <w:color w:val="000000"/>
                <w:sz w:val="20"/>
                <w:szCs w:val="20"/>
              </w:rPr>
              <w:t>5</w:t>
            </w:r>
          </w:p>
        </w:tc>
        <w:tc>
          <w:tcPr>
            <w:tcW w:w="0" w:type="auto"/>
            <w:vAlign w:val="center"/>
            <w:hideMark/>
          </w:tcPr>
          <w:p w:rsidR="00A04969" w:rsidRPr="00866F44" w:rsidRDefault="00347F2A">
            <w:pPr>
              <w:divId w:val="826745614"/>
              <w:rPr>
                <w:rFonts w:ascii="Lato" w:eastAsia="Times New Roman" w:hAnsi="Lato"/>
                <w:sz w:val="20"/>
                <w:szCs w:val="20"/>
              </w:rPr>
            </w:pPr>
            <w:r w:rsidRPr="00866F44">
              <w:rPr>
                <w:rFonts w:ascii="Lato" w:eastAsia="Times New Roman" w:hAnsi="Lato"/>
                <w:color w:val="000000"/>
                <w:sz w:val="20"/>
                <w:szCs w:val="20"/>
              </w:rPr>
              <w:t>PRODUCTOS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398,099,968.00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267,121,299.89</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-130,978,668.11</w:t>
            </w:r>
          </w:p>
        </w:tc>
      </w:tr>
      <w:tr w:rsidR="00A04969" w:rsidRPr="00866F44">
        <w:trPr>
          <w:divId w:val="1830093854"/>
          <w:tblCellSpacing w:w="15" w:type="dxa"/>
        </w:trPr>
        <w:tc>
          <w:tcPr>
            <w:tcW w:w="0" w:type="auto"/>
            <w:vAlign w:val="center"/>
            <w:hideMark/>
          </w:tcPr>
          <w:p w:rsidR="00A04969" w:rsidRPr="00866F44" w:rsidRDefault="00347F2A">
            <w:pPr>
              <w:divId w:val="1471940756"/>
              <w:rPr>
                <w:rFonts w:ascii="Lato" w:eastAsia="Times New Roman" w:hAnsi="Lato"/>
                <w:color w:val="000000"/>
                <w:sz w:val="20"/>
                <w:szCs w:val="20"/>
              </w:rPr>
            </w:pPr>
            <w:r w:rsidRPr="00866F44">
              <w:rPr>
                <w:rFonts w:ascii="Lato" w:eastAsia="Times New Roman" w:hAnsi="Lato"/>
                <w:color w:val="000000"/>
                <w:sz w:val="20"/>
                <w:szCs w:val="20"/>
              </w:rPr>
              <w:t>6</w:t>
            </w:r>
          </w:p>
        </w:tc>
        <w:tc>
          <w:tcPr>
            <w:tcW w:w="0" w:type="auto"/>
            <w:vAlign w:val="center"/>
            <w:hideMark/>
          </w:tcPr>
          <w:p w:rsidR="00A04969" w:rsidRPr="00866F44" w:rsidRDefault="00347F2A">
            <w:pPr>
              <w:divId w:val="440340149"/>
              <w:rPr>
                <w:rFonts w:ascii="Lato" w:eastAsia="Times New Roman" w:hAnsi="Lato"/>
                <w:sz w:val="20"/>
                <w:szCs w:val="20"/>
              </w:rPr>
            </w:pPr>
            <w:r w:rsidRPr="00866F44">
              <w:rPr>
                <w:rFonts w:ascii="Lato" w:eastAsia="Times New Roman" w:hAnsi="Lato"/>
                <w:color w:val="000000"/>
                <w:sz w:val="20"/>
                <w:szCs w:val="20"/>
              </w:rPr>
              <w:t>APROVECHAMIENTOS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521,884,059.00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209,117,422.92</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-312,766,636.08</w:t>
            </w:r>
          </w:p>
        </w:tc>
      </w:tr>
      <w:tr w:rsidR="00A04969" w:rsidRPr="00866F44">
        <w:trPr>
          <w:divId w:val="1830093854"/>
          <w:tblCellSpacing w:w="15" w:type="dxa"/>
        </w:trPr>
        <w:tc>
          <w:tcPr>
            <w:tcW w:w="0" w:type="auto"/>
            <w:vAlign w:val="center"/>
            <w:hideMark/>
          </w:tcPr>
          <w:p w:rsidR="00A04969" w:rsidRPr="00866F44" w:rsidRDefault="00347F2A">
            <w:pPr>
              <w:divId w:val="1297295491"/>
              <w:rPr>
                <w:rFonts w:ascii="Lato" w:eastAsia="Times New Roman" w:hAnsi="Lato"/>
                <w:color w:val="000000"/>
                <w:sz w:val="20"/>
                <w:szCs w:val="20"/>
              </w:rPr>
            </w:pPr>
            <w:r w:rsidRPr="00866F44">
              <w:rPr>
                <w:rFonts w:ascii="Lato" w:eastAsia="Times New Roman" w:hAnsi="Lato"/>
                <w:color w:val="000000"/>
                <w:sz w:val="20"/>
                <w:szCs w:val="20"/>
              </w:rPr>
              <w:t>8</w:t>
            </w:r>
          </w:p>
        </w:tc>
        <w:tc>
          <w:tcPr>
            <w:tcW w:w="0" w:type="auto"/>
            <w:vAlign w:val="center"/>
            <w:hideMark/>
          </w:tcPr>
          <w:p w:rsidR="00A04969" w:rsidRPr="00866F44" w:rsidRDefault="00347F2A">
            <w:pPr>
              <w:divId w:val="1049307827"/>
              <w:rPr>
                <w:rFonts w:ascii="Lato" w:eastAsia="Times New Roman" w:hAnsi="Lato"/>
                <w:sz w:val="20"/>
                <w:szCs w:val="20"/>
              </w:rPr>
            </w:pPr>
            <w:r w:rsidRPr="00866F44">
              <w:rPr>
                <w:rFonts w:ascii="Lato" w:eastAsia="Times New Roman" w:hAnsi="Lato"/>
                <w:color w:val="000000"/>
                <w:sz w:val="20"/>
                <w:szCs w:val="20"/>
              </w:rPr>
              <w:t>PARTICIPACIONES, APORTACIONES, CONVENIOS, INCENTIVOS DERIVADOS DE LA COLABORACIÓN FISCAL Y FONDOS DISTINTOS DE APORTACIONES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42,972,082,370.00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33,291,195,406.46</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-9,680,886,963.54</w:t>
            </w:r>
          </w:p>
        </w:tc>
      </w:tr>
      <w:tr w:rsidR="00A04969" w:rsidRPr="00866F44">
        <w:trPr>
          <w:divId w:val="1830093854"/>
          <w:tblCellSpacing w:w="15" w:type="dxa"/>
        </w:trPr>
        <w:tc>
          <w:tcPr>
            <w:tcW w:w="0" w:type="auto"/>
            <w:vAlign w:val="center"/>
            <w:hideMark/>
          </w:tcPr>
          <w:p w:rsidR="00A04969" w:rsidRPr="00866F44" w:rsidRDefault="00347F2A">
            <w:pPr>
              <w:divId w:val="967588483"/>
              <w:rPr>
                <w:rFonts w:ascii="Lato" w:eastAsia="Times New Roman" w:hAnsi="Lato"/>
                <w:color w:val="000000"/>
                <w:sz w:val="20"/>
                <w:szCs w:val="20"/>
              </w:rPr>
            </w:pPr>
            <w:r w:rsidRPr="00866F44">
              <w:rPr>
                <w:rFonts w:ascii="Lato" w:eastAsia="Times New Roman" w:hAnsi="Lato"/>
                <w:color w:val="000000"/>
                <w:sz w:val="20"/>
                <w:szCs w:val="20"/>
              </w:rPr>
              <w:t>9</w:t>
            </w:r>
          </w:p>
        </w:tc>
        <w:tc>
          <w:tcPr>
            <w:tcW w:w="0" w:type="auto"/>
            <w:vAlign w:val="center"/>
            <w:hideMark/>
          </w:tcPr>
          <w:p w:rsidR="00A04969" w:rsidRPr="00866F44" w:rsidRDefault="00347F2A">
            <w:pPr>
              <w:divId w:val="1608736200"/>
              <w:rPr>
                <w:rFonts w:ascii="Lato" w:eastAsia="Times New Roman" w:hAnsi="Lato"/>
                <w:sz w:val="20"/>
                <w:szCs w:val="20"/>
              </w:rPr>
            </w:pPr>
            <w:r w:rsidRPr="00866F44">
              <w:rPr>
                <w:rFonts w:ascii="Lato" w:eastAsia="Times New Roman" w:hAnsi="Lato"/>
                <w:color w:val="000000"/>
                <w:sz w:val="20"/>
                <w:szCs w:val="20"/>
              </w:rPr>
              <w:t>TRANSFERENCIAS, ASIGNACIONES, SUBSIDIOS Y SUBVENCIONES, Y PENSIONES Y JUBILACIONES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2,405,132,850.00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2,095,591,000.00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-309,541,850.00</w:t>
            </w:r>
          </w:p>
        </w:tc>
      </w:tr>
      <w:tr w:rsidR="00A04969" w:rsidRPr="00866F44">
        <w:trPr>
          <w:divId w:val="1830093854"/>
          <w:tblCellSpacing w:w="15" w:type="dxa"/>
        </w:trPr>
        <w:tc>
          <w:tcPr>
            <w:tcW w:w="0" w:type="auto"/>
            <w:vAlign w:val="center"/>
            <w:hideMark/>
          </w:tcPr>
          <w:p w:rsidR="00A04969" w:rsidRPr="00866F44" w:rsidRDefault="00347F2A">
            <w:pPr>
              <w:divId w:val="1508473311"/>
              <w:rPr>
                <w:rFonts w:ascii="Lato" w:eastAsia="Times New Roman" w:hAnsi="Lato"/>
                <w:color w:val="000000"/>
                <w:sz w:val="20"/>
                <w:szCs w:val="20"/>
              </w:rPr>
            </w:pPr>
            <w:r w:rsidRPr="00866F44">
              <w:rPr>
                <w:rFonts w:ascii="Lato" w:eastAsia="Times New Roman" w:hAnsi="Lato"/>
                <w:color w:val="000000"/>
                <w:sz w:val="20"/>
                <w:szCs w:val="20"/>
              </w:rPr>
              <w:t>0</w:t>
            </w:r>
          </w:p>
        </w:tc>
        <w:tc>
          <w:tcPr>
            <w:tcW w:w="0" w:type="auto"/>
            <w:vAlign w:val="center"/>
            <w:hideMark/>
          </w:tcPr>
          <w:p w:rsidR="00A04969" w:rsidRPr="00866F44" w:rsidRDefault="00347F2A">
            <w:pPr>
              <w:divId w:val="2079353022"/>
              <w:rPr>
                <w:rFonts w:ascii="Lato" w:eastAsia="Times New Roman" w:hAnsi="Lato"/>
                <w:sz w:val="20"/>
                <w:szCs w:val="20"/>
              </w:rPr>
            </w:pPr>
            <w:r w:rsidRPr="00866F44">
              <w:rPr>
                <w:rFonts w:ascii="Lato" w:eastAsia="Times New Roman" w:hAnsi="Lato"/>
                <w:color w:val="000000"/>
                <w:sz w:val="20"/>
                <w:szCs w:val="20"/>
              </w:rPr>
              <w:t>INGRESOS DERIVADOS DE FINANCIAMIENTOS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3,063,000,000.00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0.00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-3,063,000,000.00</w:t>
            </w:r>
          </w:p>
        </w:tc>
      </w:tr>
      <w:tr w:rsidR="00A04969" w:rsidRPr="00866F44">
        <w:trPr>
          <w:divId w:val="1830093854"/>
          <w:tblCellSpacing w:w="15" w:type="dxa"/>
        </w:trPr>
        <w:tc>
          <w:tcPr>
            <w:tcW w:w="0" w:type="auto"/>
            <w:vAlign w:val="center"/>
            <w:hideMark/>
          </w:tcPr>
          <w:p w:rsidR="00A04969" w:rsidRPr="00866F44" w:rsidRDefault="00A04969">
            <w:pPr>
              <w:jc w:val="right"/>
              <w:rPr>
                <w:rFonts w:ascii="Lato" w:eastAsia="Times New Roman" w:hAnsi="Lato"/>
                <w:sz w:val="20"/>
                <w:szCs w:val="20"/>
              </w:rPr>
            </w:pPr>
          </w:p>
        </w:tc>
        <w:tc>
          <w:tcPr>
            <w:tcW w:w="0" w:type="auto"/>
            <w:vAlign w:val="center"/>
            <w:hideMark/>
          </w:tcPr>
          <w:p w:rsidR="00A04969" w:rsidRPr="00866F44" w:rsidRDefault="00347F2A">
            <w:pPr>
              <w:divId w:val="1520849225"/>
              <w:rPr>
                <w:rFonts w:ascii="Lato" w:eastAsia="Times New Roman" w:hAnsi="Lato"/>
                <w:sz w:val="20"/>
                <w:szCs w:val="20"/>
              </w:rPr>
            </w:pPr>
            <w:r w:rsidRPr="00866F44">
              <w:rPr>
                <w:rStyle w:val="Textoennegrita"/>
                <w:rFonts w:ascii="Lato" w:eastAsia="Times New Roman" w:hAnsi="Lato"/>
                <w:color w:val="000000"/>
                <w:sz w:val="20"/>
                <w:szCs w:val="20"/>
              </w:rPr>
              <w:t>SUBTOTAL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55,948,843,308.00</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40,461,596,584.18</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-15,487,246,723.82</w:t>
            </w:r>
          </w:p>
        </w:tc>
      </w:tr>
      <w:tr w:rsidR="00A04969" w:rsidRPr="00866F44">
        <w:trPr>
          <w:divId w:val="1830093854"/>
          <w:tblCellSpacing w:w="15" w:type="dxa"/>
        </w:trPr>
        <w:tc>
          <w:tcPr>
            <w:tcW w:w="0" w:type="auto"/>
            <w:vAlign w:val="center"/>
            <w:hideMark/>
          </w:tcPr>
          <w:p w:rsidR="00A04969" w:rsidRPr="00866F44" w:rsidRDefault="00347F2A">
            <w:pPr>
              <w:divId w:val="1851992525"/>
              <w:rPr>
                <w:rFonts w:ascii="Lato" w:eastAsia="Times New Roman" w:hAnsi="Lato"/>
                <w:color w:val="000000"/>
                <w:sz w:val="20"/>
                <w:szCs w:val="20"/>
              </w:rPr>
            </w:pPr>
            <w:r w:rsidRPr="00866F44">
              <w:rPr>
                <w:rFonts w:ascii="Lato" w:eastAsia="Times New Roman" w:hAnsi="Lato"/>
                <w:color w:val="000000"/>
                <w:sz w:val="20"/>
                <w:szCs w:val="20"/>
              </w:rPr>
              <w:t>2</w:t>
            </w:r>
          </w:p>
        </w:tc>
        <w:tc>
          <w:tcPr>
            <w:tcW w:w="0" w:type="auto"/>
            <w:vAlign w:val="center"/>
            <w:hideMark/>
          </w:tcPr>
          <w:p w:rsidR="00A04969" w:rsidRPr="00866F44" w:rsidRDefault="00347F2A">
            <w:pPr>
              <w:divId w:val="805392212"/>
              <w:rPr>
                <w:rFonts w:ascii="Lato" w:eastAsia="Times New Roman" w:hAnsi="Lato"/>
                <w:sz w:val="20"/>
                <w:szCs w:val="20"/>
              </w:rPr>
            </w:pPr>
            <w:r w:rsidRPr="00866F44">
              <w:rPr>
                <w:rFonts w:ascii="Lato" w:eastAsia="Times New Roman" w:hAnsi="Lato"/>
                <w:color w:val="000000"/>
                <w:sz w:val="20"/>
                <w:szCs w:val="20"/>
              </w:rPr>
              <w:t>CUOTAS Y APORTACIONES DE SEGURIDAD SOCIAL</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1,829,291,408.00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0.00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-1,829,291,408.00</w:t>
            </w:r>
          </w:p>
        </w:tc>
      </w:tr>
      <w:tr w:rsidR="00A04969" w:rsidRPr="00866F44">
        <w:trPr>
          <w:divId w:val="1830093854"/>
          <w:tblCellSpacing w:w="15" w:type="dxa"/>
        </w:trPr>
        <w:tc>
          <w:tcPr>
            <w:tcW w:w="0" w:type="auto"/>
            <w:vAlign w:val="center"/>
            <w:hideMark/>
          </w:tcPr>
          <w:p w:rsidR="00A04969" w:rsidRPr="00866F44" w:rsidRDefault="00347F2A">
            <w:pPr>
              <w:divId w:val="1470169745"/>
              <w:rPr>
                <w:rFonts w:ascii="Lato" w:eastAsia="Times New Roman" w:hAnsi="Lato"/>
                <w:color w:val="000000"/>
                <w:sz w:val="20"/>
                <w:szCs w:val="20"/>
              </w:rPr>
            </w:pPr>
            <w:r w:rsidRPr="00866F44">
              <w:rPr>
                <w:rFonts w:ascii="Lato" w:eastAsia="Times New Roman" w:hAnsi="Lato"/>
                <w:color w:val="000000"/>
                <w:sz w:val="20"/>
                <w:szCs w:val="20"/>
              </w:rPr>
              <w:t>7</w:t>
            </w:r>
          </w:p>
        </w:tc>
        <w:tc>
          <w:tcPr>
            <w:tcW w:w="0" w:type="auto"/>
            <w:vAlign w:val="center"/>
            <w:hideMark/>
          </w:tcPr>
          <w:p w:rsidR="00A04969" w:rsidRPr="00866F44" w:rsidRDefault="00347F2A">
            <w:pPr>
              <w:divId w:val="185678226"/>
              <w:rPr>
                <w:rFonts w:ascii="Lato" w:eastAsia="Times New Roman" w:hAnsi="Lato"/>
                <w:sz w:val="20"/>
                <w:szCs w:val="20"/>
              </w:rPr>
            </w:pPr>
            <w:r w:rsidRPr="00866F44">
              <w:rPr>
                <w:rFonts w:ascii="Lato" w:eastAsia="Times New Roman" w:hAnsi="Lato"/>
                <w:color w:val="000000"/>
                <w:sz w:val="20"/>
                <w:szCs w:val="20"/>
              </w:rPr>
              <w:t>APROVECHAMIENTOS PATRIMONIALES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3,095,397,044.00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0.00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-3,095,397,044.00</w:t>
            </w:r>
          </w:p>
        </w:tc>
      </w:tr>
      <w:tr w:rsidR="00A04969" w:rsidRPr="00866F44">
        <w:trPr>
          <w:divId w:val="1830093854"/>
          <w:tblCellSpacing w:w="15" w:type="dxa"/>
        </w:trPr>
        <w:tc>
          <w:tcPr>
            <w:tcW w:w="0" w:type="auto"/>
            <w:vAlign w:val="center"/>
            <w:hideMark/>
          </w:tcPr>
          <w:p w:rsidR="00A04969" w:rsidRPr="00866F44" w:rsidRDefault="00A04969">
            <w:pPr>
              <w:jc w:val="right"/>
              <w:rPr>
                <w:rFonts w:ascii="Lato" w:eastAsia="Times New Roman" w:hAnsi="Lato"/>
                <w:sz w:val="20"/>
                <w:szCs w:val="20"/>
              </w:rPr>
            </w:pPr>
          </w:p>
        </w:tc>
        <w:tc>
          <w:tcPr>
            <w:tcW w:w="0" w:type="auto"/>
            <w:vAlign w:val="center"/>
            <w:hideMark/>
          </w:tcPr>
          <w:p w:rsidR="00A04969" w:rsidRPr="00866F44" w:rsidRDefault="00347F2A">
            <w:pPr>
              <w:divId w:val="1052001309"/>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60,873,531,760.00</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40,461,596,584.18</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-20,411,935,175.82</w:t>
            </w:r>
          </w:p>
        </w:tc>
      </w:tr>
    </w:tbl>
    <w:p w:rsidR="00A04969" w:rsidRPr="00866F44" w:rsidRDefault="00A04969">
      <w:pPr>
        <w:divId w:val="86391907"/>
        <w:rPr>
          <w:rFonts w:ascii="Lato" w:eastAsia="Times New Roman" w:hAnsi="Lato"/>
          <w:sz w:val="20"/>
          <w:szCs w:val="20"/>
        </w:rPr>
      </w:pPr>
    </w:p>
    <w:p w:rsidR="00F9463D" w:rsidRPr="00866F44" w:rsidRDefault="00F9463D">
      <w:pPr>
        <w:divId w:val="1285379911"/>
        <w:rPr>
          <w:rStyle w:val="Textoennegrita"/>
          <w:rFonts w:ascii="Lato" w:eastAsia="Times New Roman" w:hAnsi="Lato"/>
          <w:sz w:val="20"/>
          <w:szCs w:val="20"/>
        </w:rPr>
      </w:pPr>
    </w:p>
    <w:p w:rsidR="00F9463D" w:rsidRPr="00866F44" w:rsidRDefault="00F9463D">
      <w:pPr>
        <w:divId w:val="1285379911"/>
        <w:rPr>
          <w:rStyle w:val="Textoennegrita"/>
          <w:rFonts w:ascii="Lato" w:eastAsia="Times New Roman" w:hAnsi="Lato"/>
          <w:sz w:val="20"/>
          <w:szCs w:val="20"/>
        </w:rPr>
      </w:pPr>
    </w:p>
    <w:p w:rsidR="00A04969" w:rsidRPr="00866F44" w:rsidRDefault="00347F2A">
      <w:pPr>
        <w:divId w:val="1285379911"/>
        <w:rPr>
          <w:rFonts w:ascii="Lato" w:eastAsia="Times New Roman" w:hAnsi="Lato"/>
          <w:sz w:val="20"/>
          <w:szCs w:val="20"/>
        </w:rPr>
      </w:pPr>
      <w:r w:rsidRPr="00866F44">
        <w:rPr>
          <w:rStyle w:val="Textoennegrita"/>
          <w:rFonts w:ascii="Lato" w:eastAsia="Times New Roman" w:hAnsi="Lato"/>
          <w:sz w:val="20"/>
          <w:szCs w:val="20"/>
        </w:rPr>
        <w:t xml:space="preserve">10. Información sobre la Deuda y el Reporte Analítico de la Deuda </w:t>
      </w:r>
    </w:p>
    <w:p w:rsidR="00F250B3" w:rsidRPr="00866F44" w:rsidRDefault="00F250B3" w:rsidP="00F250B3">
      <w:pPr>
        <w:divId w:val="797995060"/>
        <w:rPr>
          <w:rFonts w:ascii="Lato" w:hAnsi="Lato"/>
          <w:b/>
          <w:bCs/>
          <w:sz w:val="20"/>
          <w:szCs w:val="20"/>
        </w:rPr>
      </w:pPr>
      <w:r w:rsidRPr="00866F44">
        <w:rPr>
          <w:rFonts w:ascii="Lato" w:hAnsi="Lato"/>
          <w:b/>
          <w:bCs/>
          <w:sz w:val="20"/>
          <w:szCs w:val="20"/>
        </w:rPr>
        <w:t>Deuda respecto al PIB</w:t>
      </w:r>
    </w:p>
    <w:p w:rsidR="00F250B3" w:rsidRPr="00866F44" w:rsidRDefault="00F250B3" w:rsidP="00F250B3">
      <w:pPr>
        <w:jc w:val="both"/>
        <w:divId w:val="797995060"/>
        <w:rPr>
          <w:rFonts w:ascii="Lato" w:hAnsi="Lato"/>
          <w:sz w:val="20"/>
          <w:szCs w:val="20"/>
        </w:rPr>
      </w:pPr>
      <w:r w:rsidRPr="00866F44">
        <w:rPr>
          <w:rFonts w:ascii="Lato" w:hAnsi="Lato"/>
          <w:sz w:val="20"/>
          <w:szCs w:val="20"/>
        </w:rPr>
        <w:t>El saldo de la Deuda Pública de largo plazo a cargo del Estado con respecto al Producto Interno Bruto del Estado del período comprendido de 2014 a agosto 2024, se comportó de la siguiente manera.</w:t>
      </w:r>
    </w:p>
    <w:p w:rsidR="00F250B3" w:rsidRPr="00866F44" w:rsidRDefault="00F250B3" w:rsidP="00F250B3">
      <w:pPr>
        <w:jc w:val="both"/>
        <w:divId w:val="797995060"/>
        <w:rPr>
          <w:rFonts w:ascii="Lato" w:hAnsi="Lato"/>
          <w:sz w:val="20"/>
          <w:szCs w:val="20"/>
        </w:rPr>
      </w:pPr>
    </w:p>
    <w:tbl>
      <w:tblPr>
        <w:tblW w:w="9026" w:type="dxa"/>
        <w:tblCellMar>
          <w:left w:w="0" w:type="dxa"/>
          <w:right w:w="0" w:type="dxa"/>
        </w:tblCellMar>
        <w:tblLook w:val="04A0" w:firstRow="1" w:lastRow="0" w:firstColumn="1" w:lastColumn="0" w:noHBand="0" w:noVBand="1"/>
      </w:tblPr>
      <w:tblGrid>
        <w:gridCol w:w="1221"/>
        <w:gridCol w:w="787"/>
        <w:gridCol w:w="787"/>
        <w:gridCol w:w="787"/>
        <w:gridCol w:w="787"/>
        <w:gridCol w:w="787"/>
        <w:gridCol w:w="643"/>
        <w:gridCol w:w="643"/>
        <w:gridCol w:w="643"/>
        <w:gridCol w:w="643"/>
        <w:gridCol w:w="643"/>
        <w:gridCol w:w="643"/>
        <w:gridCol w:w="6"/>
        <w:gridCol w:w="6"/>
      </w:tblGrid>
      <w:tr w:rsidR="00F250B3" w:rsidRPr="00866F44" w:rsidTr="00F250B3">
        <w:trPr>
          <w:divId w:val="797995060"/>
          <w:trHeight w:val="373"/>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2014</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2018</w:t>
            </w:r>
          </w:p>
        </w:tc>
        <w:tc>
          <w:tcPr>
            <w:tcW w:w="0" w:type="auto"/>
            <w:tcBorders>
              <w:top w:val="single" w:sz="8" w:space="0" w:color="4F81BD"/>
              <w:left w:val="nil"/>
              <w:bottom w:val="single" w:sz="8" w:space="0" w:color="4F81BD"/>
              <w:right w:val="nil"/>
            </w:tcBorders>
            <w:vAlign w:val="center"/>
            <w:hideMark/>
          </w:tcPr>
          <w:p w:rsidR="00F250B3" w:rsidRPr="00866F44" w:rsidRDefault="00F250B3" w:rsidP="00D20724">
            <w:pPr>
              <w:spacing w:line="276" w:lineRule="auto"/>
              <w:rPr>
                <w:rFonts w:ascii="Lato" w:hAnsi="Lato"/>
                <w:b/>
                <w:bCs/>
                <w:sz w:val="20"/>
                <w:szCs w:val="20"/>
              </w:rPr>
            </w:pPr>
            <w:r w:rsidRPr="00866F44">
              <w:rPr>
                <w:rFonts w:ascii="Lato" w:hAnsi="Lato"/>
                <w:b/>
                <w:bCs/>
                <w:sz w:val="20"/>
                <w:szCs w:val="20"/>
              </w:rPr>
              <w:t>2019</w:t>
            </w: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2020</w:t>
            </w: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2021</w:t>
            </w: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2022</w:t>
            </w: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2023</w:t>
            </w: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2024</w:t>
            </w:r>
          </w:p>
        </w:tc>
        <w:tc>
          <w:tcPr>
            <w:tcW w:w="0" w:type="auto"/>
            <w:tcBorders>
              <w:top w:val="single" w:sz="8" w:space="0" w:color="4F81BD"/>
              <w:left w:val="nil"/>
              <w:bottom w:val="single" w:sz="8" w:space="0" w:color="4F81BD"/>
              <w:right w:val="nil"/>
            </w:tcBorders>
          </w:tcPr>
          <w:p w:rsidR="00F250B3" w:rsidRPr="00866F44" w:rsidRDefault="00F250B3" w:rsidP="00D20724">
            <w:pPr>
              <w:spacing w:line="276" w:lineRule="auto"/>
              <w:jc w:val="center"/>
              <w:rPr>
                <w:rFonts w:ascii="Lato" w:hAnsi="Lato"/>
                <w:b/>
                <w:bCs/>
                <w:sz w:val="20"/>
                <w:szCs w:val="20"/>
              </w:rPr>
            </w:pPr>
          </w:p>
        </w:tc>
        <w:tc>
          <w:tcPr>
            <w:tcW w:w="0" w:type="auto"/>
            <w:tcBorders>
              <w:top w:val="single" w:sz="8" w:space="0" w:color="4F81BD"/>
              <w:left w:val="nil"/>
              <w:bottom w:val="single" w:sz="8" w:space="0" w:color="4F81BD"/>
              <w:right w:val="nil"/>
            </w:tcBorders>
          </w:tcPr>
          <w:p w:rsidR="00F250B3" w:rsidRPr="00866F44" w:rsidRDefault="00F250B3" w:rsidP="00D20724">
            <w:pPr>
              <w:spacing w:line="276" w:lineRule="auto"/>
              <w:jc w:val="center"/>
              <w:rPr>
                <w:rFonts w:ascii="Lato" w:hAnsi="Lato"/>
                <w:b/>
                <w:bCs/>
                <w:sz w:val="20"/>
                <w:szCs w:val="20"/>
              </w:rPr>
            </w:pPr>
          </w:p>
        </w:tc>
      </w:tr>
      <w:tr w:rsidR="00F250B3" w:rsidRPr="00866F44" w:rsidTr="00F250B3">
        <w:trPr>
          <w:divId w:val="797995060"/>
          <w:trHeight w:val="373"/>
        </w:trPr>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Deuda/PIB</w:t>
            </w:r>
            <w:r w:rsidRPr="00866F44">
              <w:rPr>
                <w:rFonts w:ascii="Lato" w:hAnsi="Lato"/>
                <w:sz w:val="20"/>
                <w:szCs w:val="20"/>
                <w:vertAlign w:val="superscript"/>
              </w:rPr>
              <w:t>1</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0.0108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0.0098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0.0104</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0.0134</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0.0131</w:t>
            </w:r>
          </w:p>
        </w:tc>
        <w:tc>
          <w:tcPr>
            <w:tcW w:w="0" w:type="auto"/>
            <w:tcBorders>
              <w:top w:val="nil"/>
              <w:left w:val="nil"/>
              <w:bottom w:val="single" w:sz="8" w:space="0" w:color="4F81BD"/>
              <w:right w:val="nil"/>
            </w:tcBorders>
            <w:shd w:val="clear" w:color="auto" w:fill="D3DFEE"/>
            <w:vAlign w:val="center"/>
            <w:hideMark/>
          </w:tcPr>
          <w:p w:rsidR="00F250B3" w:rsidRPr="00866F44" w:rsidRDefault="00F250B3" w:rsidP="00D20724">
            <w:pPr>
              <w:spacing w:line="276" w:lineRule="auto"/>
              <w:rPr>
                <w:rFonts w:ascii="Lato" w:hAnsi="Lato"/>
                <w:sz w:val="20"/>
                <w:szCs w:val="20"/>
              </w:rPr>
            </w:pPr>
            <w:r w:rsidRPr="00866F44">
              <w:rPr>
                <w:rFonts w:ascii="Lato" w:hAnsi="Lato"/>
                <w:sz w:val="20"/>
                <w:szCs w:val="20"/>
              </w:rPr>
              <w:t>0.0135</w:t>
            </w: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0.0181</w:t>
            </w: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0.0188</w:t>
            </w: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0.0210</w:t>
            </w: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0.0208</w:t>
            </w: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0.0176</w:t>
            </w:r>
          </w:p>
        </w:tc>
        <w:tc>
          <w:tcPr>
            <w:tcW w:w="0" w:type="auto"/>
            <w:tcBorders>
              <w:top w:val="nil"/>
              <w:left w:val="nil"/>
              <w:bottom w:val="single" w:sz="8" w:space="0" w:color="4F81BD"/>
              <w:right w:val="nil"/>
            </w:tcBorders>
            <w:shd w:val="clear" w:color="auto" w:fill="D3DFEE"/>
          </w:tcPr>
          <w:p w:rsidR="00F250B3" w:rsidRPr="00866F44" w:rsidRDefault="00F250B3" w:rsidP="00D20724">
            <w:pPr>
              <w:spacing w:line="276" w:lineRule="auto"/>
              <w:jc w:val="center"/>
              <w:rPr>
                <w:rFonts w:ascii="Lato" w:hAnsi="Lato"/>
                <w:sz w:val="20"/>
                <w:szCs w:val="20"/>
              </w:rPr>
            </w:pPr>
          </w:p>
        </w:tc>
        <w:tc>
          <w:tcPr>
            <w:tcW w:w="0" w:type="auto"/>
            <w:tcBorders>
              <w:top w:val="nil"/>
              <w:left w:val="nil"/>
              <w:bottom w:val="single" w:sz="8" w:space="0" w:color="4F81BD"/>
              <w:right w:val="nil"/>
            </w:tcBorders>
            <w:shd w:val="clear" w:color="auto" w:fill="D3DFEE"/>
          </w:tcPr>
          <w:p w:rsidR="00F250B3" w:rsidRPr="00866F44" w:rsidRDefault="00F250B3" w:rsidP="00D20724">
            <w:pPr>
              <w:spacing w:line="276" w:lineRule="auto"/>
              <w:jc w:val="center"/>
              <w:rPr>
                <w:rFonts w:ascii="Lato" w:hAnsi="Lato"/>
                <w:sz w:val="20"/>
                <w:szCs w:val="20"/>
              </w:rPr>
            </w:pPr>
          </w:p>
        </w:tc>
      </w:tr>
    </w:tbl>
    <w:p w:rsidR="00F250B3" w:rsidRPr="00866F44" w:rsidRDefault="00F250B3" w:rsidP="00F250B3">
      <w:pPr>
        <w:jc w:val="both"/>
        <w:divId w:val="797995060"/>
        <w:rPr>
          <w:rFonts w:ascii="Lato" w:hAnsi="Lato"/>
          <w:sz w:val="20"/>
          <w:szCs w:val="20"/>
          <w:lang w:eastAsia="es-ES"/>
        </w:rPr>
      </w:pPr>
      <w:r w:rsidRPr="00866F44">
        <w:rPr>
          <w:rFonts w:ascii="Lato" w:hAnsi="Lato"/>
          <w:sz w:val="20"/>
          <w:szCs w:val="20"/>
        </w:rPr>
        <w:t xml:space="preserve">Fuente: </w:t>
      </w:r>
      <w:r w:rsidRPr="00866F44">
        <w:rPr>
          <w:rFonts w:ascii="Lato" w:hAnsi="Lato"/>
          <w:sz w:val="20"/>
          <w:szCs w:val="20"/>
          <w:vertAlign w:val="superscript"/>
        </w:rPr>
        <w:t>1</w:t>
      </w:r>
      <w:r w:rsidRPr="00866F44">
        <w:rPr>
          <w:rFonts w:ascii="Lato" w:hAnsi="Lato"/>
          <w:sz w:val="20"/>
          <w:szCs w:val="20"/>
        </w:rPr>
        <w:t>INEGI</w:t>
      </w:r>
    </w:p>
    <w:p w:rsidR="00F250B3" w:rsidRPr="00866F44" w:rsidRDefault="00F250B3" w:rsidP="00F250B3">
      <w:pPr>
        <w:jc w:val="both"/>
        <w:divId w:val="797995060"/>
        <w:rPr>
          <w:rFonts w:ascii="Lato" w:hAnsi="Lato"/>
          <w:b/>
          <w:bCs/>
          <w:sz w:val="20"/>
          <w:szCs w:val="20"/>
        </w:rPr>
      </w:pPr>
    </w:p>
    <w:p w:rsidR="00F250B3" w:rsidRPr="00866F44" w:rsidRDefault="00F250B3" w:rsidP="00F250B3">
      <w:pPr>
        <w:jc w:val="both"/>
        <w:divId w:val="797995060"/>
        <w:rPr>
          <w:rFonts w:ascii="Lato" w:hAnsi="Lato"/>
          <w:b/>
          <w:bCs/>
          <w:sz w:val="20"/>
          <w:szCs w:val="20"/>
        </w:rPr>
      </w:pPr>
    </w:p>
    <w:p w:rsidR="00F250B3" w:rsidRPr="00866F44" w:rsidRDefault="00F250B3" w:rsidP="00F250B3">
      <w:pPr>
        <w:jc w:val="both"/>
        <w:divId w:val="797995060"/>
        <w:rPr>
          <w:rFonts w:ascii="Lato" w:hAnsi="Lato"/>
          <w:b/>
          <w:bCs/>
          <w:sz w:val="20"/>
          <w:szCs w:val="20"/>
        </w:rPr>
      </w:pPr>
      <w:r w:rsidRPr="00866F44">
        <w:rPr>
          <w:rFonts w:ascii="Lato" w:hAnsi="Lato"/>
          <w:b/>
          <w:bCs/>
          <w:sz w:val="20"/>
          <w:szCs w:val="20"/>
        </w:rPr>
        <w:t>Deuda respecto a la Recaudación</w:t>
      </w:r>
    </w:p>
    <w:p w:rsidR="00F250B3" w:rsidRPr="00866F44" w:rsidRDefault="00F250B3" w:rsidP="00F250B3">
      <w:pPr>
        <w:jc w:val="both"/>
        <w:divId w:val="797995060"/>
        <w:rPr>
          <w:rFonts w:ascii="Lato" w:hAnsi="Lato"/>
          <w:sz w:val="20"/>
          <w:szCs w:val="20"/>
        </w:rPr>
      </w:pPr>
      <w:r w:rsidRPr="00866F44">
        <w:rPr>
          <w:rFonts w:ascii="Lato" w:hAnsi="Lato"/>
          <w:sz w:val="20"/>
          <w:szCs w:val="20"/>
        </w:rPr>
        <w:t>El saldo de la Deuda Pública de largo plazo a cargo del Estado con respecto a la Recaudación del Estado del período comprendido de 2014 a agosto 2024 se comportó de la siguiente manera.</w:t>
      </w:r>
    </w:p>
    <w:p w:rsidR="00F250B3" w:rsidRPr="00866F44" w:rsidRDefault="00F250B3" w:rsidP="00F250B3">
      <w:pPr>
        <w:jc w:val="both"/>
        <w:divId w:val="797995060"/>
        <w:rPr>
          <w:rFonts w:ascii="Lato" w:hAnsi="Lato"/>
          <w:sz w:val="20"/>
          <w:szCs w:val="20"/>
        </w:rPr>
      </w:pPr>
    </w:p>
    <w:tbl>
      <w:tblPr>
        <w:tblW w:w="9012" w:type="dxa"/>
        <w:tblCellMar>
          <w:left w:w="0" w:type="dxa"/>
          <w:right w:w="0" w:type="dxa"/>
        </w:tblCellMar>
        <w:tblLook w:val="04A0" w:firstRow="1" w:lastRow="0" w:firstColumn="1" w:lastColumn="0" w:noHBand="0" w:noVBand="1"/>
      </w:tblPr>
      <w:tblGrid>
        <w:gridCol w:w="2240"/>
        <w:gridCol w:w="702"/>
        <w:gridCol w:w="702"/>
        <w:gridCol w:w="702"/>
        <w:gridCol w:w="702"/>
        <w:gridCol w:w="702"/>
        <w:gridCol w:w="539"/>
        <w:gridCol w:w="539"/>
        <w:gridCol w:w="539"/>
        <w:gridCol w:w="7"/>
        <w:gridCol w:w="7"/>
        <w:gridCol w:w="7"/>
        <w:gridCol w:w="539"/>
        <w:gridCol w:w="539"/>
        <w:gridCol w:w="7"/>
        <w:gridCol w:w="539"/>
      </w:tblGrid>
      <w:tr w:rsidR="00F250B3" w:rsidRPr="00866F44" w:rsidTr="00F250B3">
        <w:trPr>
          <w:divId w:val="797995060"/>
          <w:trHeight w:val="284"/>
        </w:trPr>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Concepto</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2014</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2015</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2016</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2017</w:t>
            </w:r>
          </w:p>
        </w:tc>
        <w:tc>
          <w:tcPr>
            <w:tcW w:w="0" w:type="auto"/>
            <w:tcBorders>
              <w:top w:val="single" w:sz="8" w:space="0" w:color="4F81BD"/>
              <w:left w:val="nil"/>
              <w:bottom w:val="single" w:sz="8" w:space="0" w:color="4F81BD"/>
              <w:right w:val="nil"/>
            </w:tcBorders>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2018</w:t>
            </w:r>
          </w:p>
        </w:tc>
        <w:tc>
          <w:tcPr>
            <w:tcW w:w="0" w:type="auto"/>
            <w:tcBorders>
              <w:top w:val="single" w:sz="8" w:space="0" w:color="4F81BD"/>
              <w:left w:val="nil"/>
              <w:bottom w:val="single" w:sz="8" w:space="0" w:color="4F81BD"/>
              <w:right w:val="nil"/>
            </w:tcBorders>
            <w:vAlign w:val="center"/>
            <w:hideMark/>
          </w:tcPr>
          <w:p w:rsidR="00F250B3" w:rsidRPr="00866F44" w:rsidRDefault="00F250B3" w:rsidP="00D20724">
            <w:pPr>
              <w:spacing w:line="276" w:lineRule="auto"/>
              <w:jc w:val="both"/>
              <w:rPr>
                <w:rFonts w:ascii="Lato" w:hAnsi="Lato"/>
                <w:b/>
                <w:bCs/>
                <w:sz w:val="20"/>
                <w:szCs w:val="20"/>
              </w:rPr>
            </w:pPr>
            <w:r w:rsidRPr="00866F44">
              <w:rPr>
                <w:rFonts w:ascii="Lato" w:hAnsi="Lato"/>
                <w:b/>
                <w:bCs/>
                <w:sz w:val="20"/>
                <w:szCs w:val="20"/>
              </w:rPr>
              <w:t>2019</w:t>
            </w: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2020</w:t>
            </w: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2021</w:t>
            </w:r>
          </w:p>
        </w:tc>
        <w:tc>
          <w:tcPr>
            <w:tcW w:w="0" w:type="auto"/>
            <w:tcBorders>
              <w:top w:val="single" w:sz="8" w:space="0" w:color="4F81BD"/>
              <w:left w:val="nil"/>
              <w:bottom w:val="single" w:sz="8" w:space="0" w:color="4F81BD"/>
              <w:right w:val="nil"/>
            </w:tcBorders>
          </w:tcPr>
          <w:p w:rsidR="00F250B3" w:rsidRPr="00866F44" w:rsidRDefault="00F250B3" w:rsidP="00D20724">
            <w:pPr>
              <w:spacing w:line="276" w:lineRule="auto"/>
              <w:jc w:val="both"/>
              <w:rPr>
                <w:rFonts w:ascii="Lato" w:hAnsi="Lato"/>
                <w:b/>
                <w:bCs/>
                <w:sz w:val="20"/>
                <w:szCs w:val="20"/>
              </w:rPr>
            </w:pPr>
          </w:p>
        </w:tc>
        <w:tc>
          <w:tcPr>
            <w:tcW w:w="0" w:type="auto"/>
            <w:tcBorders>
              <w:top w:val="single" w:sz="8" w:space="0" w:color="4F81BD"/>
              <w:left w:val="nil"/>
              <w:bottom w:val="single" w:sz="8" w:space="0" w:color="4F81BD"/>
              <w:right w:val="nil"/>
            </w:tcBorders>
          </w:tcPr>
          <w:p w:rsidR="00F250B3" w:rsidRPr="00866F44" w:rsidRDefault="00F250B3" w:rsidP="00D20724">
            <w:pPr>
              <w:spacing w:line="276" w:lineRule="auto"/>
              <w:jc w:val="both"/>
              <w:rPr>
                <w:rFonts w:ascii="Lato" w:hAnsi="Lato"/>
                <w:b/>
                <w:bCs/>
                <w:sz w:val="20"/>
                <w:szCs w:val="20"/>
              </w:rPr>
            </w:pPr>
          </w:p>
        </w:tc>
        <w:tc>
          <w:tcPr>
            <w:tcW w:w="0" w:type="auto"/>
            <w:tcBorders>
              <w:top w:val="single" w:sz="8" w:space="0" w:color="4F81BD"/>
              <w:left w:val="nil"/>
              <w:bottom w:val="single" w:sz="8" w:space="0" w:color="4F81BD"/>
              <w:right w:val="nil"/>
            </w:tcBorders>
          </w:tcPr>
          <w:p w:rsidR="00F250B3" w:rsidRPr="00866F44" w:rsidRDefault="00F250B3" w:rsidP="00D20724">
            <w:pPr>
              <w:spacing w:line="276" w:lineRule="auto"/>
              <w:jc w:val="both"/>
              <w:rPr>
                <w:rFonts w:ascii="Lato" w:hAnsi="Lato"/>
                <w:b/>
                <w:bCs/>
                <w:sz w:val="20"/>
                <w:szCs w:val="20"/>
              </w:rPr>
            </w:pP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2022</w:t>
            </w: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2023</w:t>
            </w:r>
          </w:p>
        </w:tc>
        <w:tc>
          <w:tcPr>
            <w:tcW w:w="0" w:type="auto"/>
            <w:tcBorders>
              <w:top w:val="single" w:sz="8" w:space="0" w:color="4F81BD"/>
              <w:left w:val="nil"/>
              <w:bottom w:val="single" w:sz="8" w:space="0" w:color="4F81BD"/>
              <w:right w:val="nil"/>
            </w:tcBorders>
          </w:tcPr>
          <w:p w:rsidR="00F250B3" w:rsidRPr="00866F44" w:rsidRDefault="00F250B3" w:rsidP="00D20724">
            <w:pPr>
              <w:spacing w:line="276" w:lineRule="auto"/>
              <w:jc w:val="center"/>
              <w:rPr>
                <w:rFonts w:ascii="Lato" w:hAnsi="Lato"/>
                <w:b/>
                <w:bCs/>
                <w:sz w:val="20"/>
                <w:szCs w:val="20"/>
              </w:rPr>
            </w:pPr>
          </w:p>
        </w:tc>
        <w:tc>
          <w:tcPr>
            <w:tcW w:w="0" w:type="auto"/>
            <w:tcBorders>
              <w:top w:val="single" w:sz="8" w:space="0" w:color="4F81BD"/>
              <w:left w:val="nil"/>
              <w:bottom w:val="single" w:sz="8" w:space="0" w:color="4F81BD"/>
              <w:right w:val="nil"/>
            </w:tcBorders>
            <w:vAlign w:val="center"/>
          </w:tcPr>
          <w:p w:rsidR="00F250B3" w:rsidRPr="00866F44" w:rsidRDefault="00F250B3" w:rsidP="00D20724">
            <w:pPr>
              <w:spacing w:line="276" w:lineRule="auto"/>
              <w:jc w:val="center"/>
              <w:rPr>
                <w:rFonts w:ascii="Lato" w:hAnsi="Lato"/>
                <w:b/>
                <w:bCs/>
                <w:sz w:val="20"/>
                <w:szCs w:val="20"/>
              </w:rPr>
            </w:pPr>
            <w:r w:rsidRPr="00866F44">
              <w:rPr>
                <w:rFonts w:ascii="Lato" w:hAnsi="Lato"/>
                <w:b/>
                <w:bCs/>
                <w:sz w:val="20"/>
                <w:szCs w:val="20"/>
              </w:rPr>
              <w:t>2024</w:t>
            </w:r>
          </w:p>
        </w:tc>
      </w:tr>
      <w:tr w:rsidR="00F250B3" w:rsidRPr="00866F44" w:rsidTr="00F250B3">
        <w:trPr>
          <w:divId w:val="797995060"/>
          <w:trHeight w:val="284"/>
        </w:trPr>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Deuda/Recaudación</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0.86</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0.81</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0.88</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0.97</w:t>
            </w:r>
          </w:p>
        </w:tc>
        <w:tc>
          <w:tcPr>
            <w:tcW w:w="0" w:type="auto"/>
            <w:tcBorders>
              <w:top w:val="nil"/>
              <w:left w:val="nil"/>
              <w:bottom w:val="single" w:sz="8" w:space="0" w:color="4F81BD"/>
              <w:right w:val="nil"/>
            </w:tcBorders>
            <w:shd w:val="clear" w:color="auto" w:fill="D3DFEE"/>
            <w:tcMar>
              <w:top w:w="0" w:type="dxa"/>
              <w:left w:w="70" w:type="dxa"/>
              <w:bottom w:w="0" w:type="dxa"/>
              <w:right w:w="70" w:type="dxa"/>
            </w:tcMar>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0.91</w:t>
            </w:r>
          </w:p>
        </w:tc>
        <w:tc>
          <w:tcPr>
            <w:tcW w:w="0" w:type="auto"/>
            <w:tcBorders>
              <w:top w:val="nil"/>
              <w:left w:val="nil"/>
              <w:bottom w:val="single" w:sz="8" w:space="0" w:color="4F81BD"/>
              <w:right w:val="nil"/>
            </w:tcBorders>
            <w:shd w:val="clear" w:color="auto" w:fill="D3DFEE"/>
            <w:vAlign w:val="center"/>
            <w:hideMark/>
          </w:tcPr>
          <w:p w:rsidR="00F250B3" w:rsidRPr="00866F44" w:rsidRDefault="00F250B3" w:rsidP="00D20724">
            <w:pPr>
              <w:spacing w:line="276" w:lineRule="auto"/>
              <w:jc w:val="both"/>
              <w:rPr>
                <w:rFonts w:ascii="Lato" w:hAnsi="Lato"/>
                <w:sz w:val="20"/>
                <w:szCs w:val="20"/>
              </w:rPr>
            </w:pPr>
            <w:r w:rsidRPr="00866F44">
              <w:rPr>
                <w:rFonts w:ascii="Lato" w:hAnsi="Lato"/>
                <w:sz w:val="20"/>
                <w:szCs w:val="20"/>
              </w:rPr>
              <w:t>1.16</w:t>
            </w: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2.17</w:t>
            </w: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1.46</w:t>
            </w:r>
          </w:p>
        </w:tc>
        <w:tc>
          <w:tcPr>
            <w:tcW w:w="0" w:type="auto"/>
            <w:tcBorders>
              <w:top w:val="nil"/>
              <w:left w:val="nil"/>
              <w:bottom w:val="single" w:sz="8" w:space="0" w:color="4F81BD"/>
              <w:right w:val="nil"/>
            </w:tcBorders>
            <w:shd w:val="clear" w:color="auto" w:fill="D3DFEE"/>
          </w:tcPr>
          <w:p w:rsidR="00F250B3" w:rsidRPr="00866F44" w:rsidRDefault="00F250B3" w:rsidP="00D20724">
            <w:pPr>
              <w:spacing w:line="276" w:lineRule="auto"/>
              <w:jc w:val="both"/>
              <w:rPr>
                <w:rFonts w:ascii="Lato" w:hAnsi="Lato"/>
                <w:sz w:val="20"/>
                <w:szCs w:val="20"/>
              </w:rPr>
            </w:pPr>
          </w:p>
        </w:tc>
        <w:tc>
          <w:tcPr>
            <w:tcW w:w="0" w:type="auto"/>
            <w:tcBorders>
              <w:top w:val="nil"/>
              <w:left w:val="nil"/>
              <w:bottom w:val="single" w:sz="8" w:space="0" w:color="4F81BD"/>
              <w:right w:val="nil"/>
            </w:tcBorders>
            <w:shd w:val="clear" w:color="auto" w:fill="D3DFEE"/>
          </w:tcPr>
          <w:p w:rsidR="00F250B3" w:rsidRPr="00866F44" w:rsidRDefault="00F250B3" w:rsidP="00D20724">
            <w:pPr>
              <w:spacing w:line="276" w:lineRule="auto"/>
              <w:jc w:val="both"/>
              <w:rPr>
                <w:rFonts w:ascii="Lato" w:hAnsi="Lato"/>
                <w:sz w:val="20"/>
                <w:szCs w:val="20"/>
              </w:rPr>
            </w:pPr>
          </w:p>
        </w:tc>
        <w:tc>
          <w:tcPr>
            <w:tcW w:w="0" w:type="auto"/>
            <w:tcBorders>
              <w:top w:val="nil"/>
              <w:left w:val="nil"/>
              <w:bottom w:val="single" w:sz="8" w:space="0" w:color="4F81BD"/>
              <w:right w:val="nil"/>
            </w:tcBorders>
            <w:shd w:val="clear" w:color="auto" w:fill="D3DFEE"/>
          </w:tcPr>
          <w:p w:rsidR="00F250B3" w:rsidRPr="00866F44" w:rsidRDefault="00F250B3" w:rsidP="00D20724">
            <w:pPr>
              <w:spacing w:line="276" w:lineRule="auto"/>
              <w:jc w:val="both"/>
              <w:rPr>
                <w:rFonts w:ascii="Lato" w:hAnsi="Lato"/>
                <w:sz w:val="20"/>
                <w:szCs w:val="20"/>
              </w:rPr>
            </w:pP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1.23</w:t>
            </w: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0.99</w:t>
            </w:r>
          </w:p>
        </w:tc>
        <w:tc>
          <w:tcPr>
            <w:tcW w:w="0" w:type="auto"/>
            <w:tcBorders>
              <w:top w:val="nil"/>
              <w:left w:val="nil"/>
              <w:bottom w:val="single" w:sz="8" w:space="0" w:color="4F81BD"/>
              <w:right w:val="nil"/>
            </w:tcBorders>
            <w:shd w:val="clear" w:color="auto" w:fill="D3DFEE"/>
          </w:tcPr>
          <w:p w:rsidR="00F250B3" w:rsidRPr="00866F44" w:rsidRDefault="00F250B3" w:rsidP="00D20724">
            <w:pPr>
              <w:spacing w:line="276" w:lineRule="auto"/>
              <w:jc w:val="center"/>
              <w:rPr>
                <w:rFonts w:ascii="Lato" w:hAnsi="Lato"/>
                <w:sz w:val="20"/>
                <w:szCs w:val="20"/>
              </w:rPr>
            </w:pPr>
          </w:p>
        </w:tc>
        <w:tc>
          <w:tcPr>
            <w:tcW w:w="0" w:type="auto"/>
            <w:tcBorders>
              <w:top w:val="nil"/>
              <w:left w:val="nil"/>
              <w:bottom w:val="single" w:sz="8" w:space="0" w:color="4F81BD"/>
              <w:right w:val="nil"/>
            </w:tcBorders>
            <w:shd w:val="clear" w:color="auto" w:fill="D3DFEE"/>
            <w:vAlign w:val="center"/>
          </w:tcPr>
          <w:p w:rsidR="00F250B3" w:rsidRPr="00866F44" w:rsidRDefault="00F250B3" w:rsidP="00D20724">
            <w:pPr>
              <w:spacing w:line="276" w:lineRule="auto"/>
              <w:jc w:val="center"/>
              <w:rPr>
                <w:rFonts w:ascii="Lato" w:hAnsi="Lato"/>
                <w:sz w:val="20"/>
                <w:szCs w:val="20"/>
              </w:rPr>
            </w:pPr>
            <w:r w:rsidRPr="00866F44">
              <w:rPr>
                <w:rFonts w:ascii="Lato" w:hAnsi="Lato"/>
                <w:sz w:val="20"/>
                <w:szCs w:val="20"/>
              </w:rPr>
              <w:t>2.27</w:t>
            </w:r>
          </w:p>
        </w:tc>
      </w:tr>
    </w:tbl>
    <w:p w:rsidR="00F250B3" w:rsidRPr="00866F44" w:rsidRDefault="00F250B3" w:rsidP="00F250B3">
      <w:pPr>
        <w:autoSpaceDE w:val="0"/>
        <w:autoSpaceDN w:val="0"/>
        <w:spacing w:line="360" w:lineRule="auto"/>
        <w:jc w:val="both"/>
        <w:divId w:val="797995060"/>
        <w:rPr>
          <w:rFonts w:ascii="Lato" w:hAnsi="Lato"/>
          <w:sz w:val="20"/>
          <w:szCs w:val="20"/>
          <w:lang w:eastAsia="es-ES"/>
        </w:rPr>
      </w:pPr>
    </w:p>
    <w:p w:rsidR="00F250B3" w:rsidRPr="00866F44" w:rsidRDefault="00F250B3" w:rsidP="00F250B3">
      <w:pPr>
        <w:jc w:val="both"/>
        <w:divId w:val="797995060"/>
        <w:rPr>
          <w:rFonts w:ascii="Lato" w:hAnsi="Lato"/>
          <w:b/>
          <w:bCs/>
          <w:sz w:val="20"/>
          <w:szCs w:val="20"/>
        </w:rPr>
      </w:pPr>
    </w:p>
    <w:p w:rsidR="00F250B3" w:rsidRPr="00866F44" w:rsidRDefault="00F250B3" w:rsidP="00F250B3">
      <w:pPr>
        <w:autoSpaceDE w:val="0"/>
        <w:autoSpaceDN w:val="0"/>
        <w:spacing w:line="360" w:lineRule="auto"/>
        <w:jc w:val="both"/>
        <w:divId w:val="797995060"/>
        <w:rPr>
          <w:rFonts w:ascii="Lato" w:hAnsi="Lato"/>
          <w:sz w:val="20"/>
          <w:szCs w:val="20"/>
        </w:rPr>
      </w:pPr>
      <w:r w:rsidRPr="00866F44">
        <w:rPr>
          <w:rFonts w:ascii="Lato" w:hAnsi="Lato"/>
          <w:sz w:val="20"/>
          <w:szCs w:val="20"/>
        </w:rPr>
        <w:lastRenderedPageBreak/>
        <w:t xml:space="preserve">La Deuda Pública de largo plazo del Estado es interna y los instrumentos financieros a través de los cuales ésta fue formalizada, son contratos de apertura de crédito simple, a continuación, se detallan las características de cada instrumento financiero celebrado, entre las que se consideran la tasa de interés y el vencimiento. </w:t>
      </w:r>
    </w:p>
    <w:tbl>
      <w:tblPr>
        <w:tblStyle w:val="Tabladecuadrcula1clara"/>
        <w:tblpPr w:leftFromText="141" w:rightFromText="141" w:vertAnchor="text" w:horzAnchor="margin" w:tblpXSpec="center" w:tblpY="232"/>
        <w:tblW w:w="0" w:type="auto"/>
        <w:tblLook w:val="04A0" w:firstRow="1" w:lastRow="0" w:firstColumn="1" w:lastColumn="0" w:noHBand="0" w:noVBand="1"/>
      </w:tblPr>
      <w:tblGrid>
        <w:gridCol w:w="3397"/>
        <w:gridCol w:w="3686"/>
        <w:gridCol w:w="1745"/>
      </w:tblGrid>
      <w:tr w:rsidR="00911439" w:rsidRPr="00866F44" w:rsidTr="00911439">
        <w:trPr>
          <w:cnfStyle w:val="100000000000" w:firstRow="1" w:lastRow="0" w:firstColumn="0" w:lastColumn="0" w:oddVBand="0" w:evenVBand="0" w:oddHBand="0" w:evenHBand="0" w:firstRowFirstColumn="0" w:firstRowLastColumn="0" w:lastRowFirstColumn="0" w:lastRowLastColumn="0"/>
          <w:divId w:val="797995060"/>
          <w:trHeight w:val="629"/>
          <w:tblHeader/>
        </w:trPr>
        <w:tc>
          <w:tcPr>
            <w:cnfStyle w:val="001000000000" w:firstRow="0" w:lastRow="0" w:firstColumn="1" w:lastColumn="0" w:oddVBand="0" w:evenVBand="0" w:oddHBand="0" w:evenHBand="0" w:firstRowFirstColumn="0" w:firstRowLastColumn="0" w:lastRowFirstColumn="0" w:lastRowLastColumn="0"/>
            <w:tcW w:w="3397" w:type="dxa"/>
            <w:hideMark/>
          </w:tcPr>
          <w:p w:rsidR="00911439" w:rsidRPr="00866F44" w:rsidRDefault="00911439" w:rsidP="00911439">
            <w:pPr>
              <w:autoSpaceDE w:val="0"/>
              <w:autoSpaceDN w:val="0"/>
              <w:spacing w:line="300" w:lineRule="auto"/>
              <w:jc w:val="center"/>
              <w:rPr>
                <w:rFonts w:ascii="Lato" w:hAnsi="Lato"/>
                <w:b w:val="0"/>
                <w:bCs w:val="0"/>
                <w:sz w:val="20"/>
                <w:szCs w:val="20"/>
              </w:rPr>
            </w:pPr>
            <w:r w:rsidRPr="00866F44">
              <w:rPr>
                <w:rFonts w:ascii="Lato" w:hAnsi="Lato"/>
                <w:sz w:val="20"/>
                <w:szCs w:val="20"/>
              </w:rPr>
              <w:t>Institución Financiera</w:t>
            </w:r>
          </w:p>
        </w:tc>
        <w:tc>
          <w:tcPr>
            <w:tcW w:w="3686" w:type="dxa"/>
            <w:hideMark/>
          </w:tcPr>
          <w:p w:rsidR="00911439" w:rsidRPr="00866F44" w:rsidRDefault="00911439" w:rsidP="00911439">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Tasa de interés</w:t>
            </w:r>
          </w:p>
        </w:tc>
        <w:tc>
          <w:tcPr>
            <w:tcW w:w="1745" w:type="dxa"/>
          </w:tcPr>
          <w:p w:rsidR="00911439" w:rsidRPr="00866F44" w:rsidRDefault="00911439" w:rsidP="00911439">
            <w:pPr>
              <w:autoSpaceDE w:val="0"/>
              <w:autoSpaceDN w:val="0"/>
              <w:spacing w:line="300" w:lineRule="auto"/>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Fecha de Vencimiento</w:t>
            </w:r>
          </w:p>
        </w:tc>
      </w:tr>
      <w:tr w:rsidR="00911439" w:rsidRPr="00866F44" w:rsidTr="00911439">
        <w:trPr>
          <w:divId w:val="797995060"/>
          <w:trHeight w:val="701"/>
        </w:trPr>
        <w:tc>
          <w:tcPr>
            <w:cnfStyle w:val="001000000000" w:firstRow="0" w:lastRow="0" w:firstColumn="1" w:lastColumn="0" w:oddVBand="0" w:evenVBand="0" w:oddHBand="0" w:evenHBand="0" w:firstRowFirstColumn="0" w:firstRowLastColumn="0" w:lastRowFirstColumn="0" w:lastRowLastColumn="0"/>
            <w:tcW w:w="3397" w:type="dxa"/>
            <w:hideMark/>
          </w:tcPr>
          <w:p w:rsidR="00911439" w:rsidRPr="00866F44" w:rsidRDefault="00911439" w:rsidP="00911439">
            <w:pPr>
              <w:autoSpaceDE w:val="0"/>
              <w:autoSpaceDN w:val="0"/>
              <w:spacing w:line="300" w:lineRule="auto"/>
              <w:rPr>
                <w:rFonts w:ascii="Lato" w:hAnsi="Lato"/>
                <w:sz w:val="20"/>
                <w:szCs w:val="20"/>
              </w:rPr>
            </w:pPr>
            <w:r w:rsidRPr="00866F44">
              <w:rPr>
                <w:rFonts w:ascii="Lato" w:hAnsi="Lato"/>
                <w:sz w:val="20"/>
                <w:szCs w:val="20"/>
              </w:rPr>
              <w:t>Banco Nacional de Obras y  Servicios Públicos, S.N.C.</w:t>
            </w:r>
          </w:p>
        </w:tc>
        <w:tc>
          <w:tcPr>
            <w:tcW w:w="3686" w:type="dxa"/>
            <w:hideMark/>
          </w:tcPr>
          <w:p w:rsidR="00911439" w:rsidRPr="00866F44" w:rsidRDefault="00911439" w:rsidP="00911439">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1a disposición: TASA BASE + Sobretasa (7.10+1.04=8.14)</w:t>
            </w:r>
          </w:p>
          <w:p w:rsidR="00911439" w:rsidRPr="00866F44" w:rsidRDefault="00911439" w:rsidP="00911439">
            <w:pPr>
              <w:autoSpaceDE w:val="0"/>
              <w:autoSpaceDN w:val="0"/>
              <w:spacing w:line="300" w:lineRule="auto"/>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2a disposición: TASA BASE + Sobretasa (7.70+1.04=8.74)</w:t>
            </w:r>
          </w:p>
        </w:tc>
        <w:tc>
          <w:tcPr>
            <w:tcW w:w="1745" w:type="dxa"/>
            <w:hideMark/>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05/06/2033</w:t>
            </w:r>
          </w:p>
        </w:tc>
      </w:tr>
      <w:tr w:rsidR="00911439" w:rsidRPr="00866F44" w:rsidTr="00911439">
        <w:trPr>
          <w:divId w:val="797995060"/>
          <w:trHeight w:val="487"/>
        </w:trPr>
        <w:tc>
          <w:tcPr>
            <w:cnfStyle w:val="001000000000" w:firstRow="0" w:lastRow="0" w:firstColumn="1" w:lastColumn="0" w:oddVBand="0" w:evenVBand="0" w:oddHBand="0" w:evenHBand="0" w:firstRowFirstColumn="0" w:firstRowLastColumn="0" w:lastRowFirstColumn="0" w:lastRowLastColumn="0"/>
            <w:tcW w:w="3397" w:type="dxa"/>
            <w:hideMark/>
          </w:tcPr>
          <w:p w:rsidR="00911439" w:rsidRPr="00866F44" w:rsidRDefault="00911439" w:rsidP="00911439">
            <w:pPr>
              <w:autoSpaceDE w:val="0"/>
              <w:autoSpaceDN w:val="0"/>
              <w:spacing w:line="300" w:lineRule="auto"/>
              <w:rPr>
                <w:rFonts w:ascii="Lato" w:hAnsi="Lato"/>
                <w:sz w:val="20"/>
                <w:szCs w:val="20"/>
              </w:rPr>
            </w:pPr>
            <w:r w:rsidRPr="00866F44">
              <w:rPr>
                <w:rFonts w:ascii="Lato" w:hAnsi="Lato"/>
                <w:sz w:val="20"/>
                <w:szCs w:val="20"/>
              </w:rPr>
              <w:t>Banco Nacional de México, S.A., integrante del Grupo Financiero Banamex.</w:t>
            </w:r>
          </w:p>
        </w:tc>
        <w:tc>
          <w:tcPr>
            <w:tcW w:w="3686" w:type="dxa"/>
            <w:hideMark/>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TIIE + 0.25</w:t>
            </w:r>
          </w:p>
        </w:tc>
        <w:tc>
          <w:tcPr>
            <w:tcW w:w="1745" w:type="dxa"/>
            <w:hideMark/>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28/11/2039</w:t>
            </w:r>
          </w:p>
        </w:tc>
      </w:tr>
      <w:tr w:rsidR="00911439" w:rsidRPr="00866F44" w:rsidTr="00911439">
        <w:trPr>
          <w:divId w:val="797995060"/>
          <w:trHeight w:val="487"/>
        </w:trPr>
        <w:tc>
          <w:tcPr>
            <w:cnfStyle w:val="001000000000" w:firstRow="0" w:lastRow="0" w:firstColumn="1" w:lastColumn="0" w:oddVBand="0" w:evenVBand="0" w:oddHBand="0" w:evenHBand="0" w:firstRowFirstColumn="0" w:firstRowLastColumn="0" w:lastRowFirstColumn="0" w:lastRowLastColumn="0"/>
            <w:tcW w:w="3397" w:type="dxa"/>
          </w:tcPr>
          <w:p w:rsidR="00911439" w:rsidRPr="00866F44" w:rsidRDefault="00911439" w:rsidP="00911439">
            <w:pPr>
              <w:autoSpaceDE w:val="0"/>
              <w:autoSpaceDN w:val="0"/>
              <w:spacing w:line="300" w:lineRule="auto"/>
              <w:rPr>
                <w:rFonts w:ascii="Lato" w:hAnsi="Lato"/>
                <w:sz w:val="20"/>
                <w:szCs w:val="20"/>
              </w:rPr>
            </w:pPr>
            <w:r w:rsidRPr="00866F44">
              <w:rPr>
                <w:rFonts w:ascii="Lato" w:hAnsi="Lato"/>
                <w:sz w:val="20"/>
                <w:szCs w:val="20"/>
              </w:rPr>
              <w:t>Banco Nacional de Obras y  Servicios Públicos, S.N.C.</w:t>
            </w:r>
          </w:p>
        </w:tc>
        <w:tc>
          <w:tcPr>
            <w:tcW w:w="3686"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TIIE + 0.74</w:t>
            </w:r>
          </w:p>
        </w:tc>
        <w:tc>
          <w:tcPr>
            <w:tcW w:w="1745"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28/09/2040</w:t>
            </w:r>
          </w:p>
        </w:tc>
      </w:tr>
      <w:tr w:rsidR="00911439" w:rsidRPr="00866F44" w:rsidTr="00911439">
        <w:trPr>
          <w:divId w:val="797995060"/>
          <w:trHeight w:val="487"/>
        </w:trPr>
        <w:tc>
          <w:tcPr>
            <w:cnfStyle w:val="001000000000" w:firstRow="0" w:lastRow="0" w:firstColumn="1" w:lastColumn="0" w:oddVBand="0" w:evenVBand="0" w:oddHBand="0" w:evenHBand="0" w:firstRowFirstColumn="0" w:firstRowLastColumn="0" w:lastRowFirstColumn="0" w:lastRowLastColumn="0"/>
            <w:tcW w:w="3397" w:type="dxa"/>
          </w:tcPr>
          <w:p w:rsidR="00911439" w:rsidRPr="00866F44" w:rsidRDefault="00911439" w:rsidP="00911439">
            <w:pPr>
              <w:autoSpaceDE w:val="0"/>
              <w:autoSpaceDN w:val="0"/>
              <w:spacing w:line="300" w:lineRule="auto"/>
              <w:rPr>
                <w:rFonts w:ascii="Lato" w:hAnsi="Lato"/>
                <w:sz w:val="20"/>
                <w:szCs w:val="20"/>
              </w:rPr>
            </w:pPr>
            <w:r w:rsidRPr="00866F44">
              <w:rPr>
                <w:rFonts w:ascii="Lato" w:hAnsi="Lato"/>
                <w:sz w:val="20"/>
                <w:szCs w:val="20"/>
              </w:rPr>
              <w:t>Banco Nacional de Obras y  Servicios Públicos, S.N.C.</w:t>
            </w:r>
          </w:p>
        </w:tc>
        <w:tc>
          <w:tcPr>
            <w:tcW w:w="3686"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TIIE + 0.84</w:t>
            </w:r>
          </w:p>
        </w:tc>
        <w:tc>
          <w:tcPr>
            <w:tcW w:w="1745"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28/09/2040</w:t>
            </w:r>
          </w:p>
        </w:tc>
      </w:tr>
      <w:tr w:rsidR="00911439" w:rsidRPr="00866F44" w:rsidTr="00911439">
        <w:trPr>
          <w:divId w:val="797995060"/>
          <w:trHeight w:val="487"/>
        </w:trPr>
        <w:tc>
          <w:tcPr>
            <w:cnfStyle w:val="001000000000" w:firstRow="0" w:lastRow="0" w:firstColumn="1" w:lastColumn="0" w:oddVBand="0" w:evenVBand="0" w:oddHBand="0" w:evenHBand="0" w:firstRowFirstColumn="0" w:firstRowLastColumn="0" w:lastRowFirstColumn="0" w:lastRowLastColumn="0"/>
            <w:tcW w:w="3397" w:type="dxa"/>
          </w:tcPr>
          <w:p w:rsidR="00911439" w:rsidRPr="00866F44" w:rsidRDefault="00911439" w:rsidP="00911439">
            <w:pPr>
              <w:autoSpaceDE w:val="0"/>
              <w:autoSpaceDN w:val="0"/>
              <w:spacing w:line="300" w:lineRule="auto"/>
              <w:rPr>
                <w:rFonts w:ascii="Lato" w:hAnsi="Lato"/>
                <w:sz w:val="20"/>
                <w:szCs w:val="20"/>
              </w:rPr>
            </w:pPr>
            <w:r w:rsidRPr="00866F44">
              <w:rPr>
                <w:rFonts w:ascii="Lato" w:hAnsi="Lato"/>
                <w:sz w:val="20"/>
                <w:szCs w:val="20"/>
              </w:rPr>
              <w:t>Banco Nacional de Obras y  Servicios Públicos, S.N.C.</w:t>
            </w:r>
          </w:p>
        </w:tc>
        <w:tc>
          <w:tcPr>
            <w:tcW w:w="3686"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TIIE + 0.94</w:t>
            </w:r>
          </w:p>
        </w:tc>
        <w:tc>
          <w:tcPr>
            <w:tcW w:w="1745"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28/09/2040</w:t>
            </w:r>
          </w:p>
        </w:tc>
      </w:tr>
      <w:tr w:rsidR="00911439" w:rsidRPr="00866F44" w:rsidTr="00911439">
        <w:trPr>
          <w:divId w:val="797995060"/>
          <w:trHeight w:val="487"/>
        </w:trPr>
        <w:tc>
          <w:tcPr>
            <w:cnfStyle w:val="001000000000" w:firstRow="0" w:lastRow="0" w:firstColumn="1" w:lastColumn="0" w:oddVBand="0" w:evenVBand="0" w:oddHBand="0" w:evenHBand="0" w:firstRowFirstColumn="0" w:firstRowLastColumn="0" w:lastRowFirstColumn="0" w:lastRowLastColumn="0"/>
            <w:tcW w:w="3397" w:type="dxa"/>
          </w:tcPr>
          <w:p w:rsidR="00911439" w:rsidRPr="00866F44" w:rsidRDefault="00911439" w:rsidP="00911439">
            <w:pPr>
              <w:autoSpaceDE w:val="0"/>
              <w:autoSpaceDN w:val="0"/>
              <w:spacing w:line="300" w:lineRule="auto"/>
              <w:rPr>
                <w:rFonts w:ascii="Lato" w:hAnsi="Lato"/>
                <w:sz w:val="20"/>
                <w:szCs w:val="20"/>
              </w:rPr>
            </w:pPr>
            <w:r w:rsidRPr="00866F44">
              <w:rPr>
                <w:rFonts w:ascii="Lato" w:hAnsi="Lato"/>
                <w:sz w:val="20"/>
                <w:szCs w:val="20"/>
              </w:rPr>
              <w:t>BBVA México, S.A., Institución de Banca Múltiple, Grupo Financiero BBVA México</w:t>
            </w:r>
          </w:p>
        </w:tc>
        <w:tc>
          <w:tcPr>
            <w:tcW w:w="3686"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TIIE + 0.32</w:t>
            </w:r>
          </w:p>
        </w:tc>
        <w:tc>
          <w:tcPr>
            <w:tcW w:w="1745"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05/09/2042</w:t>
            </w:r>
          </w:p>
        </w:tc>
      </w:tr>
      <w:tr w:rsidR="00911439" w:rsidRPr="00866F44" w:rsidTr="00911439">
        <w:trPr>
          <w:divId w:val="797995060"/>
          <w:trHeight w:val="487"/>
        </w:trPr>
        <w:tc>
          <w:tcPr>
            <w:cnfStyle w:val="001000000000" w:firstRow="0" w:lastRow="0" w:firstColumn="1" w:lastColumn="0" w:oddVBand="0" w:evenVBand="0" w:oddHBand="0" w:evenHBand="0" w:firstRowFirstColumn="0" w:firstRowLastColumn="0" w:lastRowFirstColumn="0" w:lastRowLastColumn="0"/>
            <w:tcW w:w="3397" w:type="dxa"/>
          </w:tcPr>
          <w:p w:rsidR="00911439" w:rsidRPr="00866F44" w:rsidRDefault="00911439" w:rsidP="00911439">
            <w:pPr>
              <w:autoSpaceDE w:val="0"/>
              <w:autoSpaceDN w:val="0"/>
              <w:spacing w:line="300" w:lineRule="auto"/>
              <w:rPr>
                <w:rFonts w:ascii="Lato" w:hAnsi="Lato"/>
                <w:sz w:val="20"/>
                <w:szCs w:val="20"/>
              </w:rPr>
            </w:pPr>
            <w:r w:rsidRPr="00866F44">
              <w:rPr>
                <w:rFonts w:ascii="Lato" w:hAnsi="Lato"/>
                <w:sz w:val="20"/>
                <w:szCs w:val="20"/>
              </w:rPr>
              <w:t>BBVA México, S.A., Institución de Banca Múltiple, Grupo Financiero BBVA México</w:t>
            </w:r>
          </w:p>
        </w:tc>
        <w:tc>
          <w:tcPr>
            <w:tcW w:w="3686"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TIIE + 0.26</w:t>
            </w:r>
          </w:p>
        </w:tc>
        <w:tc>
          <w:tcPr>
            <w:tcW w:w="1745"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02/10/2043</w:t>
            </w:r>
          </w:p>
        </w:tc>
      </w:tr>
      <w:tr w:rsidR="00911439" w:rsidRPr="00866F44" w:rsidTr="00911439">
        <w:trPr>
          <w:divId w:val="797995060"/>
          <w:trHeight w:val="487"/>
        </w:trPr>
        <w:tc>
          <w:tcPr>
            <w:cnfStyle w:val="001000000000" w:firstRow="0" w:lastRow="0" w:firstColumn="1" w:lastColumn="0" w:oddVBand="0" w:evenVBand="0" w:oddHBand="0" w:evenHBand="0" w:firstRowFirstColumn="0" w:firstRowLastColumn="0" w:lastRowFirstColumn="0" w:lastRowLastColumn="0"/>
            <w:tcW w:w="3397" w:type="dxa"/>
          </w:tcPr>
          <w:p w:rsidR="00911439" w:rsidRPr="00866F44" w:rsidRDefault="00911439" w:rsidP="00911439">
            <w:pPr>
              <w:autoSpaceDE w:val="0"/>
              <w:autoSpaceDN w:val="0"/>
              <w:spacing w:line="300" w:lineRule="auto"/>
              <w:rPr>
                <w:rFonts w:ascii="Lato" w:hAnsi="Lato"/>
                <w:sz w:val="20"/>
                <w:szCs w:val="20"/>
              </w:rPr>
            </w:pPr>
            <w:r w:rsidRPr="00866F44">
              <w:rPr>
                <w:rFonts w:ascii="Lato" w:hAnsi="Lato"/>
                <w:sz w:val="20"/>
                <w:szCs w:val="20"/>
              </w:rPr>
              <w:lastRenderedPageBreak/>
              <w:t>Banco Nacional de México, S.A., integrante del Grupo Financiero Banamex.</w:t>
            </w:r>
          </w:p>
        </w:tc>
        <w:tc>
          <w:tcPr>
            <w:tcW w:w="3686"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TIIE + 0.29</w:t>
            </w:r>
          </w:p>
        </w:tc>
        <w:tc>
          <w:tcPr>
            <w:tcW w:w="1745"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02/10/2043</w:t>
            </w:r>
          </w:p>
        </w:tc>
      </w:tr>
      <w:tr w:rsidR="00911439" w:rsidRPr="00866F44" w:rsidTr="00911439">
        <w:trPr>
          <w:divId w:val="797995060"/>
          <w:trHeight w:val="487"/>
        </w:trPr>
        <w:tc>
          <w:tcPr>
            <w:cnfStyle w:val="001000000000" w:firstRow="0" w:lastRow="0" w:firstColumn="1" w:lastColumn="0" w:oddVBand="0" w:evenVBand="0" w:oddHBand="0" w:evenHBand="0" w:firstRowFirstColumn="0" w:firstRowLastColumn="0" w:lastRowFirstColumn="0" w:lastRowLastColumn="0"/>
            <w:tcW w:w="3397" w:type="dxa"/>
          </w:tcPr>
          <w:p w:rsidR="00911439" w:rsidRPr="00866F44" w:rsidRDefault="00911439" w:rsidP="00911439">
            <w:pPr>
              <w:autoSpaceDE w:val="0"/>
              <w:autoSpaceDN w:val="0"/>
              <w:spacing w:line="300" w:lineRule="auto"/>
              <w:rPr>
                <w:rFonts w:ascii="Lato" w:hAnsi="Lato"/>
                <w:sz w:val="20"/>
                <w:szCs w:val="20"/>
              </w:rPr>
            </w:pPr>
            <w:r w:rsidRPr="00866F44">
              <w:rPr>
                <w:rFonts w:ascii="Lato" w:hAnsi="Lato"/>
                <w:sz w:val="20"/>
                <w:szCs w:val="20"/>
              </w:rPr>
              <w:t>Banco Mercantil del Norte, S.A., Institución de Banca Múltiple, Grupo Financiero Banorte</w:t>
            </w:r>
          </w:p>
        </w:tc>
        <w:tc>
          <w:tcPr>
            <w:tcW w:w="3686"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TIIE + 0.38</w:t>
            </w:r>
          </w:p>
        </w:tc>
        <w:tc>
          <w:tcPr>
            <w:tcW w:w="1745" w:type="dxa"/>
          </w:tcPr>
          <w:p w:rsidR="00911439" w:rsidRPr="00866F44" w:rsidRDefault="00911439" w:rsidP="00911439">
            <w:pPr>
              <w:autoSpaceDE w:val="0"/>
              <w:autoSpaceDN w:val="0"/>
              <w:spacing w:line="300" w:lineRule="auto"/>
              <w:jc w:val="center"/>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866F44">
              <w:rPr>
                <w:rFonts w:ascii="Lato" w:hAnsi="Lato"/>
                <w:sz w:val="20"/>
                <w:szCs w:val="20"/>
              </w:rPr>
              <w:t>02/10/2043</w:t>
            </w:r>
          </w:p>
        </w:tc>
      </w:tr>
    </w:tbl>
    <w:p w:rsidR="00F250B3" w:rsidRPr="00866F44" w:rsidRDefault="00F250B3" w:rsidP="00F250B3">
      <w:pPr>
        <w:autoSpaceDE w:val="0"/>
        <w:autoSpaceDN w:val="0"/>
        <w:jc w:val="both"/>
        <w:divId w:val="797995060"/>
        <w:rPr>
          <w:rFonts w:ascii="Lato" w:hAnsi="Lato"/>
          <w:sz w:val="20"/>
          <w:szCs w:val="20"/>
        </w:rPr>
      </w:pPr>
    </w:p>
    <w:p w:rsidR="00911439" w:rsidRPr="00866F44" w:rsidRDefault="00911439" w:rsidP="00F250B3">
      <w:pPr>
        <w:autoSpaceDE w:val="0"/>
        <w:autoSpaceDN w:val="0"/>
        <w:jc w:val="both"/>
        <w:divId w:val="797995060"/>
        <w:rPr>
          <w:rFonts w:ascii="Lato" w:hAnsi="Lato"/>
          <w:sz w:val="20"/>
          <w:szCs w:val="20"/>
        </w:rPr>
      </w:pPr>
    </w:p>
    <w:p w:rsidR="00911439" w:rsidRPr="00866F44" w:rsidRDefault="00911439" w:rsidP="00F250B3">
      <w:pPr>
        <w:autoSpaceDE w:val="0"/>
        <w:autoSpaceDN w:val="0"/>
        <w:jc w:val="both"/>
        <w:divId w:val="797995060"/>
        <w:rPr>
          <w:rFonts w:ascii="Lato" w:hAnsi="Lato"/>
          <w:sz w:val="20"/>
          <w:szCs w:val="20"/>
        </w:rPr>
      </w:pPr>
    </w:p>
    <w:p w:rsidR="00911439" w:rsidRPr="00866F44" w:rsidRDefault="00911439" w:rsidP="00F250B3">
      <w:pPr>
        <w:autoSpaceDE w:val="0"/>
        <w:autoSpaceDN w:val="0"/>
        <w:jc w:val="both"/>
        <w:divId w:val="797995060"/>
        <w:rPr>
          <w:rFonts w:ascii="Lato" w:hAnsi="Lato"/>
          <w:sz w:val="20"/>
          <w:szCs w:val="20"/>
        </w:rPr>
      </w:pPr>
    </w:p>
    <w:p w:rsidR="00911439" w:rsidRPr="00866F44" w:rsidRDefault="00911439" w:rsidP="00F250B3">
      <w:pPr>
        <w:autoSpaceDE w:val="0"/>
        <w:autoSpaceDN w:val="0"/>
        <w:jc w:val="both"/>
        <w:divId w:val="797995060"/>
        <w:rPr>
          <w:rFonts w:ascii="Lato" w:hAnsi="Lato"/>
          <w:sz w:val="20"/>
          <w:szCs w:val="20"/>
        </w:rPr>
      </w:pPr>
    </w:p>
    <w:p w:rsidR="00A04969" w:rsidRPr="00866F44" w:rsidRDefault="00347F2A" w:rsidP="00F250B3">
      <w:pPr>
        <w:spacing w:line="360" w:lineRule="auto"/>
        <w:divId w:val="222721619"/>
        <w:rPr>
          <w:rFonts w:ascii="Lato" w:eastAsia="Times New Roman" w:hAnsi="Lato"/>
          <w:sz w:val="20"/>
          <w:szCs w:val="20"/>
        </w:rPr>
      </w:pPr>
      <w:r w:rsidRPr="00866F44">
        <w:rPr>
          <w:rStyle w:val="Textoennegrita"/>
          <w:rFonts w:ascii="Lato" w:eastAsia="Times New Roman" w:hAnsi="Lato"/>
          <w:sz w:val="20"/>
          <w:szCs w:val="20"/>
        </w:rPr>
        <w:t>11.- Calificaciones Otorgadas.</w:t>
      </w:r>
    </w:p>
    <w:p w:rsidR="00F250B3" w:rsidRPr="00866F44" w:rsidRDefault="00F250B3" w:rsidP="00F250B3">
      <w:pPr>
        <w:autoSpaceDE w:val="0"/>
        <w:autoSpaceDN w:val="0"/>
        <w:spacing w:line="360" w:lineRule="auto"/>
        <w:jc w:val="both"/>
        <w:divId w:val="800653319"/>
        <w:rPr>
          <w:rFonts w:ascii="Lato" w:hAnsi="Lato" w:cs="Arial"/>
          <w:sz w:val="20"/>
          <w:szCs w:val="20"/>
        </w:rPr>
      </w:pPr>
      <w:r w:rsidRPr="00866F44">
        <w:rPr>
          <w:rFonts w:ascii="Lato" w:hAnsi="Lato"/>
          <w:sz w:val="20"/>
          <w:szCs w:val="20"/>
        </w:rPr>
        <w:t>a)  Las calificadoras Fitch Ratings, HR Ratings y Moody's ratificaron las evaluaciones crediticias del estado.</w:t>
      </w:r>
    </w:p>
    <w:p w:rsidR="00F250B3" w:rsidRPr="00866F44" w:rsidRDefault="00F250B3" w:rsidP="00F250B3">
      <w:pPr>
        <w:pStyle w:val="Prrafodelista"/>
        <w:numPr>
          <w:ilvl w:val="0"/>
          <w:numId w:val="1"/>
        </w:numPr>
        <w:spacing w:line="360" w:lineRule="auto"/>
        <w:jc w:val="both"/>
        <w:divId w:val="800653319"/>
        <w:rPr>
          <w:rFonts w:ascii="Lato" w:hAnsi="Lato"/>
          <w:sz w:val="20"/>
          <w:szCs w:val="20"/>
        </w:rPr>
      </w:pPr>
      <w:r w:rsidRPr="00866F44">
        <w:rPr>
          <w:rFonts w:ascii="Lato" w:eastAsia="PMingLiU" w:hAnsi="Lato" w:cs="Soberana Sans"/>
          <w:sz w:val="20"/>
          <w:szCs w:val="20"/>
          <w:lang w:val="es-ES" w:eastAsia="es-ES"/>
        </w:rPr>
        <w:t>El 13 de marzo de 2024 la calificadora HR Ratings de México, ratificó la calificación de HR AA y modificó la Perspectiva de Estable a Positiva al Estado de Yucatán, debido al resultado positivo observado en las métricas de liquidez del Estado y un incremento en los Ingresos de Libre Disposición, así como los niveles de Pasivo Circulante, ubicados en un nivel bajo comparado con el resto de los Estados calificados por HR Ratings.  Respecto a los factores Ambientales, Sociales y de Gobernanza (ESG), estos se encuentran evaluados como superiores, ya que Yucatán destaca como la entidad federativa más segura a nivel nacional y supera los estándares de generación de información financiera estipulados en la Ley de Disciplina Financiera. Otro factor que contribuye a la evaluación del factor gobernanza como superior es la continuidad de proyectos y políticas públicas.</w:t>
      </w:r>
    </w:p>
    <w:p w:rsidR="00F250B3" w:rsidRPr="00866F44" w:rsidRDefault="00F250B3" w:rsidP="00F250B3">
      <w:pPr>
        <w:pStyle w:val="Prrafodelista"/>
        <w:spacing w:line="360" w:lineRule="auto"/>
        <w:jc w:val="both"/>
        <w:divId w:val="800653319"/>
        <w:rPr>
          <w:rFonts w:ascii="Lato" w:hAnsi="Lato"/>
          <w:sz w:val="20"/>
          <w:szCs w:val="20"/>
        </w:rPr>
      </w:pPr>
    </w:p>
    <w:p w:rsidR="00F250B3" w:rsidRPr="00866F44" w:rsidRDefault="00F250B3" w:rsidP="00F250B3">
      <w:pPr>
        <w:pStyle w:val="Prrafodelista"/>
        <w:numPr>
          <w:ilvl w:val="0"/>
          <w:numId w:val="1"/>
        </w:numPr>
        <w:spacing w:line="360" w:lineRule="auto"/>
        <w:jc w:val="both"/>
        <w:divId w:val="800653319"/>
        <w:rPr>
          <w:rFonts w:ascii="Lato" w:eastAsia="PMingLiU" w:hAnsi="Lato" w:cs="Soberana Sans"/>
          <w:sz w:val="20"/>
          <w:szCs w:val="20"/>
          <w:lang w:val="es-ES" w:eastAsia="es-ES"/>
        </w:rPr>
      </w:pPr>
      <w:r w:rsidRPr="00866F44">
        <w:rPr>
          <w:rFonts w:ascii="Lato" w:eastAsia="PMingLiU" w:hAnsi="Lato" w:cs="Soberana Sans"/>
          <w:sz w:val="20"/>
          <w:szCs w:val="20"/>
          <w:lang w:val="es-ES" w:eastAsia="es-ES"/>
        </w:rPr>
        <w:t>El 15 de mayo de 2024 Fitch Ratings subió la calificación del estado de Yucatán a ‘AA-(mex)’ desde ‘A+(mex)’, la perspectiva es Estable. El alza en la calificación refleja una comparación favorable respecto a pares calificados en AA-(mex) producto de un dinamismo favorable en los ingresos locales y crecimiento contenido del gasto. Lo anterior aunado a niveles de liquidez adecuados en el período de análisis, que abarca de 2019 a 2023, que permitieron el cumplimiento del plan para la liquidación de la deuda de corto plazo contratada en el 2020 para hacer frente a la pandemia.  Fitch Ratings resaltó las acciones emprendidas por la administración para fortalecer la recaudación local y lograr un crecimiento económico superior al del PIB nacional. En el comunicado de la calificadora destaca la inversión pública que realiza la administración, con proyectos como la Modernización Tecnológica Yucatán Seguro, el Sistema de Movilidad Amable y Sostenible, integrado por el Va y Ven y Ie-Tram y obras complementarias, así como el programa internet en municipios.</w:t>
      </w:r>
    </w:p>
    <w:p w:rsidR="00F250B3" w:rsidRPr="00866F44" w:rsidRDefault="00F250B3" w:rsidP="00F250B3">
      <w:pPr>
        <w:pStyle w:val="Prrafodelista"/>
        <w:spacing w:line="360" w:lineRule="auto"/>
        <w:jc w:val="both"/>
        <w:divId w:val="800653319"/>
        <w:rPr>
          <w:rFonts w:ascii="Lato" w:eastAsia="PMingLiU" w:hAnsi="Lato" w:cs="Soberana Sans"/>
          <w:sz w:val="20"/>
          <w:szCs w:val="20"/>
          <w:lang w:val="es-ES" w:eastAsia="es-ES"/>
        </w:rPr>
      </w:pPr>
    </w:p>
    <w:p w:rsidR="00F250B3" w:rsidRDefault="00F250B3" w:rsidP="00F250B3">
      <w:pPr>
        <w:pStyle w:val="Prrafodelista"/>
        <w:numPr>
          <w:ilvl w:val="0"/>
          <w:numId w:val="1"/>
        </w:numPr>
        <w:spacing w:line="360" w:lineRule="auto"/>
        <w:jc w:val="both"/>
        <w:divId w:val="800653319"/>
        <w:rPr>
          <w:rFonts w:ascii="Lato" w:eastAsia="PMingLiU" w:hAnsi="Lato" w:cs="Soberana Sans"/>
          <w:sz w:val="20"/>
          <w:szCs w:val="20"/>
          <w:lang w:val="es-ES" w:eastAsia="es-ES"/>
        </w:rPr>
      </w:pPr>
      <w:r w:rsidRPr="00866F44">
        <w:rPr>
          <w:rFonts w:ascii="Lato" w:eastAsia="PMingLiU" w:hAnsi="Lato" w:cs="Soberana Sans"/>
          <w:sz w:val="20"/>
          <w:szCs w:val="20"/>
          <w:lang w:val="es-ES" w:eastAsia="es-ES"/>
        </w:rPr>
        <w:t>El 8 de agosto de 2024, Moody’s Local México subió la calificación del Estado de Yucatán a AA- desde A+ y cambió la perspectiva a estable desde positiva. De acuerdo con el análisis de la calificadora, la decisión se debe a una mejora sostenida en la liquidez, al fortalecimiento estructural en la recaudación de ingresos propios y buenas prácticas de planeación que han permitido un incremento importante en el gasto de capital sin generar presiones en el perfil crediticio. La calificadora también destaca que, gracias a la implementación de diversas medidas fiscales, la recaudación del Estado se compara favorablemente con otros estados calificados en AA-.mx, y también se reduce la dependencia en las transferencias federales.</w:t>
      </w:r>
    </w:p>
    <w:p w:rsidR="00866F44" w:rsidRPr="00866F44" w:rsidRDefault="00866F44" w:rsidP="00866F44">
      <w:pPr>
        <w:pStyle w:val="Prrafodelista"/>
        <w:divId w:val="800653319"/>
        <w:rPr>
          <w:rFonts w:ascii="Lato" w:eastAsia="PMingLiU" w:hAnsi="Lato" w:cs="Soberana Sans"/>
          <w:sz w:val="20"/>
          <w:szCs w:val="20"/>
          <w:lang w:val="es-ES" w:eastAsia="es-ES"/>
        </w:rPr>
      </w:pPr>
    </w:p>
    <w:p w:rsidR="00866F44" w:rsidRPr="00866F44" w:rsidRDefault="00866F44" w:rsidP="00866F44">
      <w:pPr>
        <w:divId w:val="151483343"/>
        <w:rPr>
          <w:rFonts w:ascii="Lato" w:eastAsia="Times New Roman" w:hAnsi="Lato"/>
          <w:sz w:val="20"/>
          <w:szCs w:val="20"/>
        </w:rPr>
      </w:pPr>
      <w:r w:rsidRPr="00866F44">
        <w:rPr>
          <w:rStyle w:val="Textoennegrita"/>
          <w:rFonts w:ascii="Lato" w:eastAsia="Times New Roman" w:hAnsi="Lato"/>
          <w:sz w:val="20"/>
          <w:szCs w:val="20"/>
        </w:rPr>
        <w:t>12.- Proceso de Mejora</w:t>
      </w:r>
    </w:p>
    <w:p w:rsidR="00866F44" w:rsidRPr="00866F44" w:rsidRDefault="00866F44" w:rsidP="00866F44">
      <w:pPr>
        <w:autoSpaceDE w:val="0"/>
        <w:autoSpaceDN w:val="0"/>
        <w:adjustRightInd w:val="0"/>
        <w:spacing w:line="360" w:lineRule="auto"/>
        <w:jc w:val="both"/>
        <w:divId w:val="151483343"/>
        <w:rPr>
          <w:rFonts w:ascii="Lato" w:hAnsi="Lato" w:cs="Arial"/>
          <w:sz w:val="20"/>
          <w:szCs w:val="20"/>
        </w:rPr>
      </w:pPr>
      <w:r w:rsidRPr="00866F44">
        <w:rPr>
          <w:rFonts w:ascii="Lato" w:hAnsi="Lato" w:cs="Arial"/>
          <w:sz w:val="20"/>
          <w:szCs w:val="20"/>
        </w:rPr>
        <w:t>Se continúa dando seguimiento a temas que por su relevancia se estima importante su revelación ya que los mismos derivan y tienen impacto en los postulados básicos de Contabilidad Gubernamental, como son los de Revelación Suficiente e Importancia Relativa.</w:t>
      </w:r>
    </w:p>
    <w:p w:rsidR="00866F44" w:rsidRPr="00866F44" w:rsidRDefault="00866F44" w:rsidP="00866F44">
      <w:pPr>
        <w:pStyle w:val="Prrafodelista"/>
        <w:ind w:hanging="360"/>
        <w:divId w:val="151483343"/>
        <w:rPr>
          <w:rFonts w:ascii="Lato" w:hAnsi="Lato" w:cs="Arial"/>
          <w:sz w:val="20"/>
          <w:szCs w:val="20"/>
        </w:rPr>
      </w:pPr>
      <w:r w:rsidRPr="00866F44">
        <w:rPr>
          <w:rFonts w:ascii="Lato" w:hAnsi="Lato" w:cs="Arial"/>
          <w:b/>
          <w:sz w:val="20"/>
          <w:szCs w:val="20"/>
        </w:rPr>
        <w:t>RECONOCIMIENTO</w:t>
      </w:r>
    </w:p>
    <w:p w:rsidR="00866F44" w:rsidRPr="00866F44" w:rsidRDefault="00866F44" w:rsidP="00866F44">
      <w:pPr>
        <w:pStyle w:val="Prrafodelista"/>
        <w:ind w:hanging="360"/>
        <w:divId w:val="151483343"/>
        <w:rPr>
          <w:rFonts w:ascii="Lato" w:hAnsi="Lato" w:cs="Arial"/>
          <w:sz w:val="20"/>
          <w:szCs w:val="20"/>
        </w:rPr>
      </w:pPr>
    </w:p>
    <w:p w:rsidR="00866F44" w:rsidRPr="00866F44" w:rsidRDefault="00866F44" w:rsidP="00866F44">
      <w:pPr>
        <w:pStyle w:val="Prrafodelista"/>
        <w:numPr>
          <w:ilvl w:val="0"/>
          <w:numId w:val="2"/>
        </w:numPr>
        <w:spacing w:after="200" w:line="360" w:lineRule="auto"/>
        <w:ind w:left="786"/>
        <w:jc w:val="both"/>
        <w:divId w:val="151483343"/>
        <w:rPr>
          <w:rFonts w:ascii="Lato" w:hAnsi="Lato" w:cs="Arial"/>
          <w:b/>
          <w:i/>
          <w:sz w:val="20"/>
          <w:szCs w:val="20"/>
        </w:rPr>
      </w:pPr>
      <w:r w:rsidRPr="00866F44">
        <w:rPr>
          <w:rFonts w:ascii="Lato" w:hAnsi="Lato" w:cs="Arial"/>
          <w:sz w:val="20"/>
          <w:szCs w:val="20"/>
        </w:rPr>
        <w:t xml:space="preserve">En cumplimiento a la Ley de Disciplina Financiera de las Entidades Federativas y los Municipios, el sector central del Poder Ejecutivo del Gobierno del Estado de Yucatán continua presentando  dentro de los Estados financieros, en el Informe actualizado de Pasivos Contingentes los rubros de Obligaciones por las Jubilaciones y Pensionados así como las reclamaciones de descuentos indebidos a la nómina de jubilados, así mismo de forma anual y trimestralmente se actualiza la cifra estimada de litigios laborales, contenciosos y amparos directos al Poder Ejecutivo, la cual ha sido modificada al 31 de diciembre de 2023.  </w:t>
      </w:r>
    </w:p>
    <w:p w:rsidR="00866F44" w:rsidRPr="00866F44" w:rsidRDefault="00866F44" w:rsidP="00866F44">
      <w:pPr>
        <w:pStyle w:val="Prrafodelista"/>
        <w:spacing w:after="200" w:line="360" w:lineRule="auto"/>
        <w:ind w:left="786"/>
        <w:jc w:val="both"/>
        <w:divId w:val="151483343"/>
        <w:rPr>
          <w:rFonts w:ascii="Lato" w:hAnsi="Lato" w:cs="Arial"/>
          <w:sz w:val="20"/>
          <w:szCs w:val="20"/>
        </w:rPr>
      </w:pPr>
      <w:r w:rsidRPr="00866F44">
        <w:rPr>
          <w:rFonts w:ascii="Lato" w:hAnsi="Lato" w:cs="Arial"/>
          <w:sz w:val="20"/>
          <w:szCs w:val="20"/>
        </w:rPr>
        <w:t xml:space="preserve">En el presente ejercicio se han actualizado los estudios actuariales de los rubros de Obligaciones por las Jubilaciones y </w:t>
      </w:r>
      <w:proofErr w:type="gramStart"/>
      <w:r w:rsidRPr="00866F44">
        <w:rPr>
          <w:rFonts w:ascii="Lato" w:hAnsi="Lato" w:cs="Arial"/>
          <w:sz w:val="20"/>
          <w:szCs w:val="20"/>
        </w:rPr>
        <w:t>Pensiones</w:t>
      </w:r>
      <w:proofErr w:type="gramEnd"/>
      <w:r w:rsidRPr="00866F44">
        <w:rPr>
          <w:rFonts w:ascii="Lato" w:hAnsi="Lato" w:cs="Arial"/>
          <w:sz w:val="20"/>
          <w:szCs w:val="20"/>
        </w:rPr>
        <w:t xml:space="preserve"> así como las reclamaciones de descuentos indebidos a la nómina de jubilados, el detalle de las cifras se presenta en el informe de pasivos contingente.</w:t>
      </w:r>
    </w:p>
    <w:p w:rsidR="00866F44" w:rsidRDefault="00866F44" w:rsidP="00866F44">
      <w:pPr>
        <w:pStyle w:val="Prrafodelista"/>
        <w:spacing w:after="200" w:line="360" w:lineRule="auto"/>
        <w:ind w:left="786"/>
        <w:jc w:val="both"/>
        <w:divId w:val="151483343"/>
        <w:rPr>
          <w:rFonts w:ascii="Lato" w:hAnsi="Lato" w:cs="Arial"/>
          <w:b/>
          <w:i/>
          <w:sz w:val="20"/>
          <w:szCs w:val="20"/>
          <w:highlight w:val="cyan"/>
        </w:rPr>
      </w:pPr>
    </w:p>
    <w:p w:rsidR="00866F44" w:rsidRDefault="00866F44" w:rsidP="00866F44">
      <w:pPr>
        <w:pStyle w:val="Prrafodelista"/>
        <w:spacing w:after="200" w:line="360" w:lineRule="auto"/>
        <w:ind w:left="786"/>
        <w:jc w:val="both"/>
        <w:divId w:val="151483343"/>
        <w:rPr>
          <w:rFonts w:ascii="Lato" w:hAnsi="Lato" w:cs="Arial"/>
          <w:b/>
          <w:i/>
          <w:sz w:val="20"/>
          <w:szCs w:val="20"/>
          <w:highlight w:val="cyan"/>
        </w:rPr>
      </w:pPr>
    </w:p>
    <w:p w:rsidR="00866F44" w:rsidRPr="00866F44" w:rsidRDefault="00866F44" w:rsidP="00866F44">
      <w:pPr>
        <w:pStyle w:val="Prrafodelista"/>
        <w:spacing w:after="200" w:line="360" w:lineRule="auto"/>
        <w:ind w:left="786"/>
        <w:jc w:val="both"/>
        <w:divId w:val="151483343"/>
        <w:rPr>
          <w:rFonts w:ascii="Lato" w:hAnsi="Lato" w:cs="Arial"/>
          <w:b/>
          <w:i/>
          <w:sz w:val="20"/>
          <w:szCs w:val="20"/>
          <w:highlight w:val="cyan"/>
        </w:rPr>
      </w:pPr>
    </w:p>
    <w:p w:rsidR="00866F44" w:rsidRPr="000A7242" w:rsidRDefault="00866F44" w:rsidP="00866F44">
      <w:pPr>
        <w:spacing w:after="200" w:line="360" w:lineRule="auto"/>
        <w:jc w:val="both"/>
        <w:divId w:val="151483343"/>
        <w:rPr>
          <w:rFonts w:ascii="Lato" w:hAnsi="Lato" w:cs="Arial"/>
          <w:b/>
          <w:sz w:val="20"/>
          <w:szCs w:val="20"/>
        </w:rPr>
      </w:pPr>
      <w:r w:rsidRPr="00866F44">
        <w:rPr>
          <w:rFonts w:ascii="Lato" w:hAnsi="Lato" w:cs="Arial"/>
          <w:sz w:val="20"/>
          <w:szCs w:val="20"/>
        </w:rPr>
        <w:lastRenderedPageBreak/>
        <w:t xml:space="preserve">      </w:t>
      </w:r>
      <w:r w:rsidRPr="00866F44">
        <w:rPr>
          <w:rFonts w:ascii="Lato" w:hAnsi="Lato" w:cs="Arial"/>
          <w:b/>
          <w:sz w:val="20"/>
          <w:szCs w:val="20"/>
        </w:rPr>
        <w:t xml:space="preserve"> </w:t>
      </w:r>
      <w:r w:rsidRPr="000A7242">
        <w:rPr>
          <w:rFonts w:ascii="Lato" w:hAnsi="Lato" w:cs="Arial"/>
          <w:b/>
          <w:sz w:val="20"/>
          <w:szCs w:val="20"/>
        </w:rPr>
        <w:t>DEPURACIÓN Y CONCILIACIONES.</w:t>
      </w:r>
    </w:p>
    <w:p w:rsidR="00866F44" w:rsidRPr="000A7242" w:rsidRDefault="00610E12" w:rsidP="000A7242">
      <w:pPr>
        <w:pStyle w:val="Prrafodelista"/>
        <w:numPr>
          <w:ilvl w:val="0"/>
          <w:numId w:val="2"/>
        </w:numPr>
        <w:spacing w:after="200" w:line="360" w:lineRule="auto"/>
        <w:jc w:val="both"/>
        <w:divId w:val="151483343"/>
        <w:rPr>
          <w:rFonts w:ascii="Lato" w:hAnsi="Lato" w:cs="Arial"/>
          <w:sz w:val="20"/>
          <w:szCs w:val="20"/>
        </w:rPr>
      </w:pPr>
      <w:r w:rsidRPr="000A7242">
        <w:rPr>
          <w:rFonts w:ascii="Lato" w:hAnsi="Lato" w:cs="Arial"/>
          <w:sz w:val="20"/>
          <w:szCs w:val="20"/>
        </w:rPr>
        <w:t xml:space="preserve">Al cierre del mes de septiembre </w:t>
      </w:r>
      <w:r w:rsidR="000A7242" w:rsidRPr="000A7242">
        <w:rPr>
          <w:rFonts w:ascii="Lato" w:hAnsi="Lato" w:cs="Arial"/>
          <w:sz w:val="20"/>
          <w:szCs w:val="20"/>
        </w:rPr>
        <w:t xml:space="preserve">las partidas en tránsito, del total de las conciliaciones bancarias suman $116 mdp. </w:t>
      </w:r>
    </w:p>
    <w:p w:rsidR="00866F44" w:rsidRPr="00866F44" w:rsidRDefault="00866F44" w:rsidP="00866F44">
      <w:pPr>
        <w:pStyle w:val="Prrafodelista"/>
        <w:numPr>
          <w:ilvl w:val="0"/>
          <w:numId w:val="3"/>
        </w:numPr>
        <w:spacing w:after="200" w:line="360" w:lineRule="auto"/>
        <w:jc w:val="both"/>
        <w:divId w:val="151483343"/>
        <w:rPr>
          <w:rFonts w:ascii="Lato" w:hAnsi="Lato" w:cs="Arial"/>
          <w:sz w:val="20"/>
          <w:szCs w:val="20"/>
        </w:rPr>
      </w:pPr>
      <w:r w:rsidRPr="00866F44">
        <w:rPr>
          <w:rFonts w:ascii="Lato" w:hAnsi="Lato" w:cs="Arial"/>
          <w:sz w:val="20"/>
          <w:szCs w:val="20"/>
        </w:rPr>
        <w:t>En continuidad con las acciones de mejora, se trabajaron en conjunto con las áreas que realizan acciones que repercuten en la contabilidad, las guías para el registro de las operaciones, que actualmente se encuentran establecidas como políticas y están publicadas en la intranet para su difusión y fácil consulta, en complemento con los procedimientos existentes de cada área, que contribuyen al cumplimiento normativo.</w:t>
      </w:r>
    </w:p>
    <w:p w:rsidR="00866F44" w:rsidRPr="00866F44" w:rsidRDefault="00866F44" w:rsidP="00866F44">
      <w:pPr>
        <w:pStyle w:val="Prrafodelista"/>
        <w:numPr>
          <w:ilvl w:val="0"/>
          <w:numId w:val="3"/>
        </w:numPr>
        <w:spacing w:after="200" w:line="360" w:lineRule="auto"/>
        <w:jc w:val="both"/>
        <w:divId w:val="151483343"/>
        <w:rPr>
          <w:rFonts w:ascii="Lato" w:hAnsi="Lato" w:cs="Arial"/>
          <w:sz w:val="20"/>
          <w:szCs w:val="20"/>
        </w:rPr>
      </w:pPr>
      <w:r w:rsidRPr="00866F44">
        <w:rPr>
          <w:rFonts w:ascii="Lato" w:hAnsi="Lato" w:cs="Arial"/>
          <w:color w:val="000000"/>
          <w:sz w:val="20"/>
          <w:szCs w:val="20"/>
          <w:lang w:eastAsia="es-MX"/>
        </w:rPr>
        <w:t xml:space="preserve"> Como parte de las acciones de mejora, en relación al tema de depósitos pendientes de registro por desconocer el depositante, se continúan registrando en la cuenta de pasivo como Ingresos por clasificar, con base en la normatividad CONAC.</w:t>
      </w:r>
    </w:p>
    <w:p w:rsidR="00866F44" w:rsidRPr="00866F44" w:rsidRDefault="00866F44" w:rsidP="00866F44">
      <w:pPr>
        <w:pStyle w:val="Prrafodelista"/>
        <w:spacing w:after="200" w:line="360" w:lineRule="auto"/>
        <w:ind w:left="862"/>
        <w:jc w:val="both"/>
        <w:divId w:val="151483343"/>
        <w:rPr>
          <w:rFonts w:ascii="Lato" w:hAnsi="Lato" w:cs="Arial"/>
          <w:color w:val="000000"/>
          <w:sz w:val="20"/>
          <w:szCs w:val="20"/>
          <w:highlight w:val="cyan"/>
          <w:lang w:eastAsia="es-MX"/>
        </w:rPr>
      </w:pPr>
      <w:r w:rsidRPr="00866F44">
        <w:rPr>
          <w:rFonts w:ascii="Lato" w:hAnsi="Lato" w:cs="Arial"/>
          <w:color w:val="000000"/>
          <w:sz w:val="20"/>
          <w:szCs w:val="20"/>
          <w:lang w:eastAsia="es-MX"/>
        </w:rPr>
        <w:t xml:space="preserve">Así mismo de manera preventiva la Agencia de Administración Fiscal de Yucatán continua fortaleciendo en coordinación con las instituciones bancarias, con el fin de que todas las operaciones cuenten con una referencia para su identificación, mejorando la herramienta puesta en marcha a partir del año 2019,  que facilita el pago de impuestos presentando declaraciones normales por internet y portal bancario con línea de referencia, igualmente en la AAFY se desarrolló el pago referenciado para derechos, productos y aprovechamientos y se están realizando gestiones para que todas las dependencias del Sector Central adopten esta modalidad, lo anterior ofrece al ciudadano diversos canales  de pago e identificación de los mismos. En el mismo tenor de mejora continua, se sigue avanzando con mecanismos para ahorrar tiempo y dinero, ya que ahora se pueden pagar más de 250 trámites y servicios del Gobierno del Estado de Yucatán en tiendas de autoservicio OXXO, haciendo los procesos más ágiles y sencillos. </w:t>
      </w:r>
    </w:p>
    <w:p w:rsidR="00866F44" w:rsidRPr="00866F44" w:rsidRDefault="00866F44" w:rsidP="00866F44">
      <w:pPr>
        <w:pStyle w:val="Prrafodelista"/>
        <w:spacing w:after="200" w:line="360" w:lineRule="auto"/>
        <w:ind w:left="862"/>
        <w:jc w:val="both"/>
        <w:divId w:val="151483343"/>
        <w:rPr>
          <w:rFonts w:ascii="Lato" w:hAnsi="Lato" w:cs="Arial"/>
          <w:sz w:val="20"/>
          <w:szCs w:val="20"/>
        </w:rPr>
      </w:pPr>
    </w:p>
    <w:p w:rsidR="00866F44" w:rsidRPr="00866F44" w:rsidRDefault="00866F44" w:rsidP="00866F44">
      <w:pPr>
        <w:pStyle w:val="Prrafodelista"/>
        <w:numPr>
          <w:ilvl w:val="0"/>
          <w:numId w:val="2"/>
        </w:numPr>
        <w:spacing w:after="200" w:line="360" w:lineRule="auto"/>
        <w:ind w:left="502"/>
        <w:jc w:val="both"/>
        <w:divId w:val="151483343"/>
        <w:rPr>
          <w:rFonts w:ascii="Lato" w:hAnsi="Lato" w:cs="Arial"/>
          <w:sz w:val="20"/>
          <w:szCs w:val="20"/>
        </w:rPr>
      </w:pPr>
      <w:r w:rsidRPr="00866F44">
        <w:rPr>
          <w:rFonts w:ascii="Lato" w:hAnsi="Lato" w:cs="Arial"/>
          <w:sz w:val="20"/>
          <w:szCs w:val="20"/>
        </w:rPr>
        <w:t>Respecto a cuentas contables distintas a Bancos, se ha concluido la depuración de aquellas que datan del ejercicio 2002 y cuyo importe corresponde a las de mayor relevancia:</w:t>
      </w:r>
    </w:p>
    <w:p w:rsidR="00866F44" w:rsidRPr="00866F44" w:rsidRDefault="00866F44" w:rsidP="00866F44">
      <w:pPr>
        <w:pStyle w:val="Prrafodelista"/>
        <w:numPr>
          <w:ilvl w:val="0"/>
          <w:numId w:val="4"/>
        </w:numPr>
        <w:spacing w:after="200" w:line="360" w:lineRule="auto"/>
        <w:jc w:val="both"/>
        <w:divId w:val="151483343"/>
        <w:rPr>
          <w:rFonts w:ascii="Lato" w:hAnsi="Lato" w:cs="Arial"/>
          <w:sz w:val="20"/>
          <w:szCs w:val="20"/>
        </w:rPr>
      </w:pPr>
      <w:r w:rsidRPr="00866F44">
        <w:rPr>
          <w:rFonts w:ascii="Lato" w:hAnsi="Lato" w:cs="Arial"/>
          <w:sz w:val="20"/>
          <w:szCs w:val="20"/>
        </w:rPr>
        <w:t>Se ha logrado concluir con la integración y depuración del saldo de la cuenta de Construcciones en Proceso, de administraciones anteriores, la mayor parte del saldo que actualmente presenta la cuenta de construcciones en proceso, corresponden a proyectos recientes estando a la espera de recibir la documentación para el registro de la conclusión.</w:t>
      </w:r>
    </w:p>
    <w:p w:rsidR="00866F44" w:rsidRPr="00866F44" w:rsidRDefault="00866F44" w:rsidP="00866F44">
      <w:pPr>
        <w:pStyle w:val="Prrafodelista"/>
        <w:numPr>
          <w:ilvl w:val="0"/>
          <w:numId w:val="4"/>
        </w:numPr>
        <w:spacing w:after="200" w:line="360" w:lineRule="auto"/>
        <w:jc w:val="both"/>
        <w:divId w:val="151483343"/>
        <w:rPr>
          <w:rFonts w:ascii="Lato" w:hAnsi="Lato" w:cs="Arial"/>
          <w:sz w:val="20"/>
          <w:szCs w:val="20"/>
        </w:rPr>
      </w:pPr>
      <w:r w:rsidRPr="00866F44">
        <w:rPr>
          <w:rFonts w:ascii="Lato" w:hAnsi="Lato" w:cs="Arial"/>
          <w:sz w:val="20"/>
          <w:szCs w:val="20"/>
        </w:rPr>
        <w:t xml:space="preserve">Kantunil Cancún. Inversiones financieras a Largo Plazo, igualmente se realizaron indagaciones ante instancias externas con la finalidad de obtener información, de las aportaciones realizadas a las empresas, fideicomisos y fondos que integran el saldo, así como </w:t>
      </w:r>
      <w:r w:rsidRPr="00866F44">
        <w:rPr>
          <w:rFonts w:ascii="Lato" w:hAnsi="Lato" w:cs="Arial"/>
          <w:sz w:val="20"/>
          <w:szCs w:val="20"/>
        </w:rPr>
        <w:lastRenderedPageBreak/>
        <w:t>información sobre si permanecen en funciones, se realizaron los registros de las 2 respuestas obtenidas por un monto 11.2 mdp   y del resto continua en indagación con distintas instancias.</w:t>
      </w:r>
    </w:p>
    <w:p w:rsidR="00866F44" w:rsidRPr="00866F44" w:rsidRDefault="00866F44" w:rsidP="00866F44">
      <w:pPr>
        <w:pStyle w:val="Prrafodelista"/>
        <w:numPr>
          <w:ilvl w:val="0"/>
          <w:numId w:val="4"/>
        </w:numPr>
        <w:spacing w:line="360" w:lineRule="auto"/>
        <w:jc w:val="both"/>
        <w:divId w:val="151483343"/>
        <w:rPr>
          <w:rFonts w:ascii="Lato" w:hAnsi="Lato" w:cs="Arial"/>
          <w:sz w:val="20"/>
          <w:szCs w:val="20"/>
        </w:rPr>
      </w:pPr>
      <w:r w:rsidRPr="00866F44">
        <w:rPr>
          <w:rFonts w:ascii="Lato" w:hAnsi="Lato" w:cs="Arial"/>
          <w:sz w:val="20"/>
          <w:szCs w:val="20"/>
        </w:rPr>
        <w:t>Se concluyó la depuración de cuentas que integran el pasivo como: Fonacot, Acreedores Diversos, así mismo se realizó el análisis del saldo de la cuenta de la Hacienda Pública.</w:t>
      </w:r>
    </w:p>
    <w:p w:rsidR="00866F44" w:rsidRPr="00866F44" w:rsidRDefault="00866F44" w:rsidP="00866F44">
      <w:pPr>
        <w:spacing w:line="360" w:lineRule="auto"/>
        <w:jc w:val="both"/>
        <w:divId w:val="151483343"/>
        <w:rPr>
          <w:rFonts w:ascii="Lato" w:hAnsi="Lato" w:cs="Arial"/>
          <w:sz w:val="20"/>
          <w:szCs w:val="20"/>
          <w:highlight w:val="cyan"/>
        </w:rPr>
      </w:pPr>
    </w:p>
    <w:p w:rsidR="00866F44" w:rsidRPr="00866F44" w:rsidRDefault="00866F44" w:rsidP="00866F44">
      <w:pPr>
        <w:pStyle w:val="Prrafodelista"/>
        <w:spacing w:after="200" w:line="360" w:lineRule="auto"/>
        <w:jc w:val="both"/>
        <w:divId w:val="151483343"/>
        <w:rPr>
          <w:rFonts w:ascii="Lato" w:hAnsi="Lato" w:cs="Arial"/>
          <w:b/>
          <w:sz w:val="20"/>
          <w:szCs w:val="20"/>
        </w:rPr>
      </w:pPr>
      <w:r w:rsidRPr="00866F44">
        <w:rPr>
          <w:rFonts w:ascii="Lato" w:hAnsi="Lato" w:cs="Arial"/>
          <w:b/>
          <w:sz w:val="20"/>
          <w:szCs w:val="20"/>
        </w:rPr>
        <w:t xml:space="preserve">MEJORAS EN REGISTROS DEL PATRIMONIO </w:t>
      </w:r>
    </w:p>
    <w:p w:rsidR="00866F44" w:rsidRPr="00866F44" w:rsidRDefault="00866F44" w:rsidP="00866F44">
      <w:pPr>
        <w:pStyle w:val="Prrafodelista"/>
        <w:numPr>
          <w:ilvl w:val="0"/>
          <w:numId w:val="2"/>
        </w:numPr>
        <w:spacing w:after="200" w:line="360" w:lineRule="auto"/>
        <w:ind w:left="502"/>
        <w:jc w:val="both"/>
        <w:divId w:val="151483343"/>
        <w:rPr>
          <w:rFonts w:ascii="Lato" w:hAnsi="Lato" w:cs="Arial"/>
          <w:sz w:val="20"/>
          <w:szCs w:val="20"/>
        </w:rPr>
      </w:pPr>
      <w:r w:rsidRPr="00866F44">
        <w:rPr>
          <w:rFonts w:ascii="Lato" w:hAnsi="Lato" w:cs="Arial"/>
          <w:sz w:val="20"/>
          <w:szCs w:val="20"/>
        </w:rPr>
        <w:t>En el proceso de conciliación de los saldos contables por familia de los bienes muebles, se esta integrando la información en patrimonio y contabilidad de la Secretaría de Educación, debido a que en el Sistema Integral del Gobierno del Estado de Yucatán no se encuentra la información de los bienes muebles de las escuelas de la Secretaría de Educación, que se controlan y registran en un sistema propio de la Secretaría de Educación y cuyas altas y bajas de bienes muebles de escuelas se integran al sistema de contabilidad por medio de registro manual, la Secretaría de Educación realizó gestiones solicitando que los reportes de bienes muebles que se generan de su sistema se reconozcan y adicionen a los reportes del Sistema de Control Patrimonial para realizar la conciliación de los bienes muebles.</w:t>
      </w:r>
    </w:p>
    <w:p w:rsidR="00866F44" w:rsidRPr="00866F44" w:rsidRDefault="00866F44" w:rsidP="00866F44">
      <w:pPr>
        <w:pStyle w:val="Prrafodelista"/>
        <w:spacing w:after="200" w:line="360" w:lineRule="auto"/>
        <w:ind w:left="502"/>
        <w:jc w:val="both"/>
        <w:divId w:val="151483343"/>
        <w:rPr>
          <w:rFonts w:ascii="Lato" w:hAnsi="Lato" w:cs="Arial"/>
          <w:sz w:val="20"/>
          <w:szCs w:val="20"/>
          <w:highlight w:val="cyan"/>
        </w:rPr>
      </w:pPr>
    </w:p>
    <w:p w:rsidR="00866F44" w:rsidRPr="00866F44" w:rsidRDefault="00866F44" w:rsidP="00866F44">
      <w:pPr>
        <w:pStyle w:val="Prrafodelista"/>
        <w:numPr>
          <w:ilvl w:val="0"/>
          <w:numId w:val="2"/>
        </w:numPr>
        <w:spacing w:line="360" w:lineRule="auto"/>
        <w:ind w:left="502"/>
        <w:jc w:val="both"/>
        <w:divId w:val="151483343"/>
        <w:rPr>
          <w:rFonts w:ascii="Lato" w:hAnsi="Lato" w:cs="Arial"/>
          <w:sz w:val="20"/>
          <w:szCs w:val="20"/>
        </w:rPr>
      </w:pPr>
      <w:r w:rsidRPr="00866F44">
        <w:rPr>
          <w:rFonts w:ascii="Lato" w:hAnsi="Lato" w:cs="Arial"/>
          <w:sz w:val="20"/>
          <w:szCs w:val="20"/>
        </w:rPr>
        <w:t>En el mes de junio de 2024 se inició el uso del módulo de Almacenes, en el sistema integral.  Los ejecutores del gasto que tengan almacenes con existencia de materiales y suministros de consumo para el desempeño de sus actividades, para dar cumplimiento a la normatividad establecida por la Dirección General de Control Patrimonial, Inmobiliario y Almacenes.</w:t>
      </w:r>
    </w:p>
    <w:p w:rsidR="00866F44" w:rsidRPr="00866F44" w:rsidRDefault="00866F44" w:rsidP="00866F44">
      <w:pPr>
        <w:pStyle w:val="Prrafodelista"/>
        <w:divId w:val="151483343"/>
        <w:rPr>
          <w:rFonts w:ascii="Lato" w:hAnsi="Lato" w:cs="Arial"/>
          <w:sz w:val="20"/>
          <w:szCs w:val="20"/>
        </w:rPr>
      </w:pPr>
    </w:p>
    <w:p w:rsidR="00866F44" w:rsidRPr="00866F44" w:rsidRDefault="00866F44" w:rsidP="00866F44">
      <w:pPr>
        <w:pStyle w:val="Prrafodelista"/>
        <w:numPr>
          <w:ilvl w:val="0"/>
          <w:numId w:val="2"/>
        </w:numPr>
        <w:spacing w:after="200" w:line="360" w:lineRule="auto"/>
        <w:ind w:left="502"/>
        <w:jc w:val="both"/>
        <w:divId w:val="151483343"/>
        <w:rPr>
          <w:rFonts w:ascii="Lato" w:hAnsi="Lato" w:cs="Arial"/>
          <w:sz w:val="20"/>
          <w:szCs w:val="20"/>
        </w:rPr>
      </w:pPr>
      <w:r w:rsidRPr="00866F44">
        <w:rPr>
          <w:rFonts w:ascii="Lato" w:hAnsi="Lato" w:cs="Arial"/>
          <w:sz w:val="20"/>
          <w:szCs w:val="20"/>
        </w:rPr>
        <w:t>Con base en la información proporcionada por la Secretaría de Seguridad Pública como ejecutor del recurso del Fideicomiso Evercore Yucatán F/0199 al 31 de diciembre de 2022, se registro a la cuenta de resultado de ejercicios anteriores el monto de $ $1’329mdp del  Proyecto integral plataforma estatal de videovigilancia concluido, en tanto permanece en la cuenta de construcciones en proceso en bienes del dominio público los pagos realizados del Proyecto integral plataforma estatal de radiocomunicaciones, en su momento dichos proyectos fueron contratados como obra pública a precio alzado.</w:t>
      </w:r>
    </w:p>
    <w:p w:rsidR="00866F44" w:rsidRDefault="00866F44" w:rsidP="00866F44">
      <w:pPr>
        <w:pStyle w:val="Prrafodelista"/>
        <w:spacing w:after="200" w:line="360" w:lineRule="auto"/>
        <w:ind w:left="502"/>
        <w:jc w:val="both"/>
        <w:divId w:val="151483343"/>
        <w:rPr>
          <w:rFonts w:ascii="Lato" w:hAnsi="Lato" w:cs="Arial"/>
          <w:b/>
          <w:sz w:val="20"/>
          <w:szCs w:val="20"/>
          <w:highlight w:val="cyan"/>
        </w:rPr>
      </w:pPr>
    </w:p>
    <w:p w:rsidR="000A7242" w:rsidRPr="00866F44" w:rsidRDefault="000A7242" w:rsidP="00866F44">
      <w:pPr>
        <w:pStyle w:val="Prrafodelista"/>
        <w:spacing w:after="200" w:line="360" w:lineRule="auto"/>
        <w:ind w:left="502"/>
        <w:jc w:val="both"/>
        <w:divId w:val="151483343"/>
        <w:rPr>
          <w:rFonts w:ascii="Lato" w:hAnsi="Lato" w:cs="Arial"/>
          <w:b/>
          <w:sz w:val="20"/>
          <w:szCs w:val="20"/>
          <w:highlight w:val="cyan"/>
        </w:rPr>
      </w:pPr>
    </w:p>
    <w:p w:rsidR="00866F44" w:rsidRPr="00866F44" w:rsidRDefault="00866F44" w:rsidP="00866F44">
      <w:pPr>
        <w:pStyle w:val="Prrafodelista"/>
        <w:spacing w:after="200" w:line="360" w:lineRule="auto"/>
        <w:ind w:left="502"/>
        <w:jc w:val="both"/>
        <w:divId w:val="151483343"/>
        <w:rPr>
          <w:rFonts w:ascii="Lato" w:hAnsi="Lato" w:cs="Arial"/>
          <w:b/>
          <w:sz w:val="20"/>
          <w:szCs w:val="20"/>
        </w:rPr>
      </w:pPr>
      <w:r w:rsidRPr="00866F44">
        <w:rPr>
          <w:rFonts w:ascii="Lato" w:hAnsi="Lato" w:cs="Arial"/>
          <w:b/>
          <w:sz w:val="20"/>
          <w:szCs w:val="20"/>
        </w:rPr>
        <w:lastRenderedPageBreak/>
        <w:t xml:space="preserve">DEL GASTO DE INVERSION Y DE LAS APORTACIONES. </w:t>
      </w:r>
    </w:p>
    <w:p w:rsidR="00866F44" w:rsidRPr="00866F44" w:rsidRDefault="00866F44" w:rsidP="00866F44">
      <w:pPr>
        <w:pStyle w:val="Prrafodelista"/>
        <w:spacing w:after="200" w:line="360" w:lineRule="auto"/>
        <w:ind w:left="502"/>
        <w:jc w:val="both"/>
        <w:divId w:val="151483343"/>
        <w:rPr>
          <w:rFonts w:ascii="Lato" w:hAnsi="Lato" w:cs="Arial"/>
          <w:sz w:val="20"/>
          <w:szCs w:val="20"/>
        </w:rPr>
      </w:pPr>
      <w:r w:rsidRPr="00866F44">
        <w:rPr>
          <w:rFonts w:ascii="Lato" w:hAnsi="Lato" w:cs="Arial"/>
          <w:sz w:val="20"/>
          <w:szCs w:val="20"/>
        </w:rPr>
        <w:t>Debido a que se identificaron áreas de oportunidad en los registros de las aportaciones de capital realizadas a las empresas de participación mayoritaria estatal, se procedió a la integración, depuración y conciliación de la totalidad del saldo de la cuenta. Resultado de la depuración se advirtió que en los casos del Aeropuerto de Chichen Itzá, S.A. de C.V. y del Sistema Tele Yucatán de C.V., empresas de participación mayoritaria estatal, las aportaciones realizadas en años anteriores, se encontraban registradas parcialmente en Participaciones y Aportaciones de Capital, por lo que se realizaron ajustes relativos a los registros de baja realizados en el ejercicio 2018 de las aportaciones de la Fábrica de Postes S.A. de C.V.,  por la extinción de dicha empresa de participación estatal; se realizó un ajuste de $7,994,760.00 debido a que las aportaciones realizadas en años anteriores no se encontraban integrando la cuenta correspondiente.</w:t>
      </w:r>
    </w:p>
    <w:p w:rsidR="00866F44" w:rsidRPr="00866F44" w:rsidRDefault="00866F44" w:rsidP="00866F44">
      <w:pPr>
        <w:pStyle w:val="Prrafodelista"/>
        <w:spacing w:after="200" w:line="360" w:lineRule="auto"/>
        <w:ind w:left="502"/>
        <w:jc w:val="both"/>
        <w:divId w:val="151483343"/>
        <w:rPr>
          <w:rFonts w:ascii="Lato" w:hAnsi="Lato" w:cs="Arial"/>
          <w:sz w:val="20"/>
          <w:szCs w:val="20"/>
        </w:rPr>
      </w:pPr>
      <w:r w:rsidRPr="00866F44">
        <w:rPr>
          <w:rFonts w:ascii="Lato" w:hAnsi="Lato" w:cs="Arial"/>
          <w:sz w:val="20"/>
          <w:szCs w:val="20"/>
        </w:rPr>
        <w:t xml:space="preserve"> Se realizaron aportaciones a la empresa Aeropuerto de Chichen Itzá, S.A. de C.V. por un importe de $1.6 mdp durante el ejercicio 2020 y durante los ejercicios 2021, 2022 y 2023 se aportaron $1.1 mdp en cada uno de los años, en el presente ejercicio al 31 de a</w:t>
      </w:r>
      <w:r w:rsidR="00F1786B">
        <w:rPr>
          <w:rFonts w:ascii="Lato" w:hAnsi="Lato" w:cs="Arial"/>
          <w:sz w:val="20"/>
          <w:szCs w:val="20"/>
        </w:rPr>
        <w:t xml:space="preserve">gosto de 2024, se han ejercido </w:t>
      </w:r>
      <w:r w:rsidRPr="00866F44">
        <w:rPr>
          <w:rFonts w:ascii="Lato" w:hAnsi="Lato" w:cs="Arial"/>
          <w:sz w:val="20"/>
          <w:szCs w:val="20"/>
        </w:rPr>
        <w:t xml:space="preserve">$782,596.00, como aportaciones para incrementar el capital, el total de las aportaciones se encuentran pendientes de formalizar. </w:t>
      </w:r>
    </w:p>
    <w:p w:rsidR="00866F44" w:rsidRPr="00866F44" w:rsidRDefault="00866F44" w:rsidP="00866F44">
      <w:pPr>
        <w:spacing w:after="200" w:line="360" w:lineRule="auto"/>
        <w:ind w:left="567"/>
        <w:jc w:val="both"/>
        <w:divId w:val="151483343"/>
        <w:rPr>
          <w:rFonts w:ascii="Lato" w:hAnsi="Lato" w:cs="Arial"/>
          <w:sz w:val="20"/>
          <w:szCs w:val="20"/>
        </w:rPr>
      </w:pPr>
      <w:r w:rsidRPr="00866F44">
        <w:rPr>
          <w:rFonts w:ascii="Lato" w:hAnsi="Lato" w:cs="Arial"/>
          <w:sz w:val="20"/>
          <w:szCs w:val="20"/>
        </w:rPr>
        <w:t xml:space="preserve"> A la empresa Portuaria Yucateca, SA de CV, durante el ejercicio 2021 se le aportaron $560,000.00. para incremento de su capital, con lo aportado originalmente, hacen un total de 6.1 md. en proceso de suscripción.</w:t>
      </w:r>
    </w:p>
    <w:p w:rsidR="00866F44" w:rsidRPr="00866F44" w:rsidRDefault="00866F44" w:rsidP="00866F44">
      <w:pPr>
        <w:spacing w:after="200" w:line="360" w:lineRule="auto"/>
        <w:ind w:left="567"/>
        <w:jc w:val="both"/>
        <w:divId w:val="151483343"/>
        <w:rPr>
          <w:rFonts w:ascii="Lato" w:hAnsi="Lato" w:cs="Arial"/>
          <w:sz w:val="20"/>
          <w:szCs w:val="20"/>
        </w:rPr>
      </w:pPr>
      <w:r w:rsidRPr="00866F44">
        <w:rPr>
          <w:rFonts w:ascii="Lato" w:hAnsi="Lato" w:cs="Arial"/>
          <w:sz w:val="20"/>
          <w:szCs w:val="20"/>
        </w:rPr>
        <w:t>En el mes de julio del ejercicio en curso, se realizó una aportación al capital a la Operadora Energética y Mariti</w:t>
      </w:r>
      <w:r w:rsidR="00F1786B">
        <w:rPr>
          <w:rFonts w:ascii="Lato" w:hAnsi="Lato" w:cs="Arial"/>
          <w:sz w:val="20"/>
          <w:szCs w:val="20"/>
        </w:rPr>
        <w:t>ma de Yucatán, S.A. de C.V. por</w:t>
      </w:r>
      <w:r w:rsidRPr="00866F44">
        <w:rPr>
          <w:rFonts w:ascii="Lato" w:hAnsi="Lato" w:cs="Arial"/>
          <w:sz w:val="20"/>
          <w:szCs w:val="20"/>
        </w:rPr>
        <w:t xml:space="preserve"> la cantidad de $255,000.00</w:t>
      </w:r>
    </w:p>
    <w:p w:rsidR="00866F44" w:rsidRPr="00866F44" w:rsidRDefault="00866F44" w:rsidP="00866F44">
      <w:pPr>
        <w:spacing w:after="200" w:line="360" w:lineRule="auto"/>
        <w:ind w:left="567" w:hanging="567"/>
        <w:jc w:val="both"/>
        <w:divId w:val="151483343"/>
        <w:rPr>
          <w:rFonts w:ascii="Lato" w:hAnsi="Lato" w:cs="Arial"/>
          <w:sz w:val="20"/>
          <w:szCs w:val="20"/>
        </w:rPr>
      </w:pPr>
      <w:r w:rsidRPr="00866F44">
        <w:rPr>
          <w:rFonts w:ascii="Lato" w:hAnsi="Lato" w:cs="Arial"/>
          <w:sz w:val="20"/>
          <w:szCs w:val="20"/>
        </w:rPr>
        <w:tab/>
        <w:t xml:space="preserve">Por su parte en el rubro de Fideicomisos, desde el ejercicio de 2014 la Secretaría de Administración y Finanzas refleja en la contabilidad del Poder Ejecutivo los importes de los Fideicomisos sin estructura orgánica como una medida de control respecto a la transparencia y rendición de cuentas; con independencia del tipo de ente público que lo controla, ya sean Dependencias Centralizadas, Organismos Autónomos o Paraestatales. </w:t>
      </w:r>
    </w:p>
    <w:p w:rsidR="00866F44" w:rsidRPr="00866F44" w:rsidRDefault="00866F44" w:rsidP="00866F44">
      <w:pPr>
        <w:spacing w:after="200" w:line="360" w:lineRule="auto"/>
        <w:ind w:left="567"/>
        <w:jc w:val="both"/>
        <w:divId w:val="151483343"/>
        <w:rPr>
          <w:rFonts w:ascii="Lato" w:hAnsi="Lato" w:cs="Arial"/>
          <w:sz w:val="20"/>
          <w:szCs w:val="20"/>
        </w:rPr>
      </w:pPr>
      <w:r w:rsidRPr="00866F44">
        <w:rPr>
          <w:rFonts w:ascii="Lato" w:hAnsi="Lato" w:cs="Arial"/>
          <w:sz w:val="20"/>
          <w:szCs w:val="20"/>
        </w:rPr>
        <w:t xml:space="preserve">Sin embargo, durante el ejercicio 2023 se realizó una revisión integral de forma interna, ubicando que una de las principales áreas de oportunidad radica en que ahora se tiene que realizar la distinción del ente público que lo controla. </w:t>
      </w:r>
    </w:p>
    <w:p w:rsidR="00866F44" w:rsidRPr="00866F44" w:rsidRDefault="00866F44" w:rsidP="00866F44">
      <w:pPr>
        <w:spacing w:after="200" w:line="360" w:lineRule="auto"/>
        <w:ind w:left="567"/>
        <w:jc w:val="both"/>
        <w:divId w:val="151483343"/>
        <w:rPr>
          <w:rFonts w:ascii="Lato" w:hAnsi="Lato" w:cs="Arial"/>
          <w:sz w:val="20"/>
          <w:szCs w:val="20"/>
        </w:rPr>
      </w:pPr>
      <w:r w:rsidRPr="00866F44">
        <w:rPr>
          <w:rFonts w:ascii="Lato" w:hAnsi="Lato" w:cs="Arial"/>
          <w:sz w:val="20"/>
          <w:szCs w:val="20"/>
        </w:rPr>
        <w:lastRenderedPageBreak/>
        <w:t xml:space="preserve">Con base en lo anterior, se tiene conocimiento de 3 modalidades de fideicomisos conforme a la clasificación del ente público que lo controla, que son los siguientes: </w:t>
      </w:r>
    </w:p>
    <w:p w:rsidR="00866F44" w:rsidRPr="00866F44" w:rsidRDefault="00866F44" w:rsidP="00866F44">
      <w:pPr>
        <w:spacing w:line="360" w:lineRule="auto"/>
        <w:ind w:left="567"/>
        <w:jc w:val="both"/>
        <w:divId w:val="151483343"/>
        <w:rPr>
          <w:rFonts w:ascii="Lato" w:hAnsi="Lato" w:cs="Arial"/>
          <w:sz w:val="20"/>
          <w:szCs w:val="20"/>
        </w:rPr>
      </w:pPr>
      <w:r w:rsidRPr="00866F44">
        <w:rPr>
          <w:rFonts w:ascii="Lato" w:hAnsi="Lato" w:cs="Arial"/>
          <w:sz w:val="20"/>
          <w:szCs w:val="20"/>
        </w:rPr>
        <w:t xml:space="preserve">a) Tratándose de los fideicomisos que corresponden a la Secretaría de Administración y Finanzas, estos tienen cierto impacto tanto en los ingresos como en los egresos; por lo que, se elaboró un procedimiento con la finalidad de estandarizar los registros y delimitar las acciones entre las áreas de Deuda Pública y la Dirección de Consolidación de la Información Financiera. Este punto queda atendido. </w:t>
      </w:r>
    </w:p>
    <w:p w:rsidR="00866F44" w:rsidRPr="00866F44" w:rsidRDefault="00866F44" w:rsidP="00866F44">
      <w:pPr>
        <w:spacing w:line="360" w:lineRule="auto"/>
        <w:ind w:left="567"/>
        <w:jc w:val="both"/>
        <w:divId w:val="151483343"/>
        <w:rPr>
          <w:rFonts w:ascii="Lato" w:hAnsi="Lato" w:cs="Arial"/>
          <w:sz w:val="20"/>
          <w:szCs w:val="20"/>
        </w:rPr>
      </w:pPr>
      <w:r w:rsidRPr="00866F44">
        <w:rPr>
          <w:rFonts w:ascii="Lato" w:hAnsi="Lato" w:cs="Arial"/>
          <w:sz w:val="20"/>
          <w:szCs w:val="20"/>
        </w:rPr>
        <w:t xml:space="preserve">b) En el caso de los fideicomisos de las Dependencias Centralizadas, con base en un comunicado oficial realizado por los directores administrativos, se realizan registros que derivan en un efecto neto, pero faltando el registro especifico de los ingresos que reciban por vías distintas de la Secretaría de Administración y Finanzas, así como gastos y productos financieros que se hubieran generado. </w:t>
      </w:r>
    </w:p>
    <w:p w:rsidR="00866F44" w:rsidRPr="00866F44" w:rsidRDefault="00866F44" w:rsidP="00866F44">
      <w:pPr>
        <w:spacing w:line="360" w:lineRule="auto"/>
        <w:ind w:left="567"/>
        <w:jc w:val="both"/>
        <w:divId w:val="151483343"/>
        <w:rPr>
          <w:rFonts w:ascii="Lato" w:hAnsi="Lato" w:cs="Arial"/>
          <w:sz w:val="20"/>
          <w:szCs w:val="20"/>
        </w:rPr>
      </w:pPr>
      <w:r w:rsidRPr="00866F44">
        <w:rPr>
          <w:rFonts w:ascii="Lato" w:hAnsi="Lato" w:cs="Arial"/>
          <w:sz w:val="20"/>
          <w:szCs w:val="20"/>
        </w:rPr>
        <w:t>c) En el caso de los fideicomisos que corresponden a Organismos Autónomos y Paraestatales, estos no deberían presentarse en la contabilidad del Ejecutivo, lo anterior de conformidad con lo establecido en los lineamientos emitidos por el CONAC; sin embargo, actualmente se está presentando de forma global en la cuenta de cambios en las políticas contables.</w:t>
      </w:r>
    </w:p>
    <w:p w:rsidR="00866F44" w:rsidRPr="00866F44" w:rsidRDefault="00866F44" w:rsidP="00866F44">
      <w:pPr>
        <w:spacing w:line="360" w:lineRule="auto"/>
        <w:ind w:left="567"/>
        <w:jc w:val="both"/>
        <w:divId w:val="151483343"/>
        <w:rPr>
          <w:rFonts w:ascii="Lato" w:hAnsi="Lato" w:cs="Arial"/>
          <w:sz w:val="20"/>
          <w:szCs w:val="20"/>
        </w:rPr>
      </w:pPr>
      <w:r w:rsidRPr="00866F44">
        <w:rPr>
          <w:rFonts w:ascii="Lato" w:hAnsi="Lato" w:cs="Arial"/>
          <w:sz w:val="20"/>
          <w:szCs w:val="20"/>
        </w:rPr>
        <w:t>Por lo que respecta a los incisos b) y c), con base a lo establecido en los postulados básicos relativos a la consistencia y comparabilidad, se mantendrán los registros como se han realizado desde el 2014.</w:t>
      </w:r>
    </w:p>
    <w:p w:rsidR="00866F44" w:rsidRPr="00866F44" w:rsidRDefault="00866F44" w:rsidP="00866F44">
      <w:pPr>
        <w:spacing w:after="200" w:line="360" w:lineRule="auto"/>
        <w:ind w:left="567" w:hanging="567"/>
        <w:jc w:val="both"/>
        <w:divId w:val="151483343"/>
        <w:rPr>
          <w:rFonts w:ascii="Lato" w:hAnsi="Lato" w:cs="Arial"/>
          <w:sz w:val="20"/>
          <w:szCs w:val="20"/>
        </w:rPr>
      </w:pPr>
      <w:r w:rsidRPr="00866F44">
        <w:rPr>
          <w:rFonts w:ascii="Lato" w:hAnsi="Lato" w:cs="Arial"/>
          <w:sz w:val="20"/>
          <w:szCs w:val="20"/>
        </w:rPr>
        <w:tab/>
        <w:t>En caso específico del Fideicomiso para el desarrollo regional del Sur Sureste FIDESUR, formamos parte del Fideicomiso, en el que participan diversos estados de la región.</w:t>
      </w:r>
    </w:p>
    <w:p w:rsidR="00866F44" w:rsidRPr="00866F44" w:rsidRDefault="00866F44" w:rsidP="00866F44">
      <w:pPr>
        <w:spacing w:after="200" w:line="360" w:lineRule="auto"/>
        <w:ind w:left="567"/>
        <w:jc w:val="both"/>
        <w:divId w:val="151483343"/>
        <w:rPr>
          <w:rFonts w:ascii="Lato" w:hAnsi="Lato" w:cs="Arial"/>
          <w:sz w:val="20"/>
          <w:szCs w:val="20"/>
          <w:highlight w:val="cyan"/>
        </w:rPr>
      </w:pPr>
      <w:r w:rsidRPr="00866F44">
        <w:rPr>
          <w:rFonts w:ascii="Lato" w:hAnsi="Lato" w:cs="Arial"/>
          <w:sz w:val="20"/>
          <w:szCs w:val="20"/>
        </w:rPr>
        <w:t>Las cifras del Sector Centralizado del Poder Ejecutivo del Estado de Yucatán, que se presentan en los Estados Financieros y en estas notas que son parte integrante de los mismos, son cifras previas de la Cuenta Pública 2024.</w:t>
      </w:r>
    </w:p>
    <w:p w:rsidR="00866F44" w:rsidRDefault="00866F44" w:rsidP="00866F44">
      <w:pPr>
        <w:pStyle w:val="Prrafodelista"/>
        <w:numPr>
          <w:ilvl w:val="0"/>
          <w:numId w:val="2"/>
        </w:numPr>
        <w:spacing w:after="200" w:line="360" w:lineRule="auto"/>
        <w:jc w:val="both"/>
        <w:divId w:val="151483343"/>
        <w:rPr>
          <w:rFonts w:ascii="Lato" w:hAnsi="Lato" w:cs="Arial"/>
          <w:sz w:val="20"/>
          <w:szCs w:val="20"/>
        </w:rPr>
      </w:pPr>
      <w:r w:rsidRPr="00866F44">
        <w:rPr>
          <w:rFonts w:ascii="Lato" w:hAnsi="Lato" w:cs="Arial"/>
          <w:sz w:val="20"/>
          <w:szCs w:val="20"/>
        </w:rPr>
        <w:t>En lo que respecta a la plataforma administrativa del Gobierno del Estado, se continúa en la etapa de implementación de nuevos módulos al Sistema integral de Gestión Gubernamental, con el fin de continuar con la transición del sistema.</w:t>
      </w:r>
    </w:p>
    <w:p w:rsidR="000A7242" w:rsidRPr="00866F44" w:rsidRDefault="000A7242" w:rsidP="000A7242">
      <w:pPr>
        <w:pStyle w:val="Prrafodelista"/>
        <w:spacing w:after="200" w:line="360" w:lineRule="auto"/>
        <w:jc w:val="both"/>
        <w:divId w:val="151483343"/>
        <w:rPr>
          <w:rFonts w:ascii="Lato" w:hAnsi="Lato" w:cs="Arial"/>
          <w:sz w:val="20"/>
          <w:szCs w:val="20"/>
        </w:rPr>
      </w:pPr>
    </w:p>
    <w:p w:rsidR="00866F44" w:rsidRPr="00866F44" w:rsidRDefault="00866F44" w:rsidP="00866F44">
      <w:pPr>
        <w:divId w:val="151483343"/>
        <w:rPr>
          <w:rFonts w:ascii="Lato" w:eastAsia="Times New Roman" w:hAnsi="Lato"/>
          <w:sz w:val="20"/>
          <w:szCs w:val="20"/>
        </w:rPr>
      </w:pPr>
      <w:r w:rsidRPr="00866F44">
        <w:rPr>
          <w:rStyle w:val="Textoennegrita"/>
          <w:rFonts w:ascii="Lato" w:eastAsia="Times New Roman" w:hAnsi="Lato"/>
          <w:sz w:val="20"/>
          <w:szCs w:val="20"/>
        </w:rPr>
        <w:lastRenderedPageBreak/>
        <w:t xml:space="preserve">13. Información por Segmentos, No aplica </w:t>
      </w:r>
    </w:p>
    <w:p w:rsidR="00866F44" w:rsidRPr="00866F44" w:rsidRDefault="00866F44" w:rsidP="00866F44">
      <w:pPr>
        <w:divId w:val="151483343"/>
        <w:rPr>
          <w:rFonts w:ascii="Lato" w:eastAsia="Times New Roman" w:hAnsi="Lato"/>
          <w:sz w:val="20"/>
          <w:szCs w:val="20"/>
        </w:rPr>
      </w:pPr>
      <w:r w:rsidRPr="00866F44">
        <w:rPr>
          <w:rStyle w:val="Textoennegrita"/>
          <w:rFonts w:ascii="Lato" w:eastAsia="Times New Roman" w:hAnsi="Lato"/>
          <w:sz w:val="20"/>
          <w:szCs w:val="20"/>
        </w:rPr>
        <w:t>14.- Eventos Posteriores. No aplica</w:t>
      </w:r>
    </w:p>
    <w:p w:rsidR="00866F44" w:rsidRPr="00866F44" w:rsidRDefault="00866F44" w:rsidP="00866F44">
      <w:pPr>
        <w:divId w:val="151483343"/>
        <w:rPr>
          <w:rStyle w:val="Textoennegrita"/>
          <w:rFonts w:ascii="Lato" w:eastAsia="Times New Roman" w:hAnsi="Lato"/>
          <w:sz w:val="20"/>
          <w:szCs w:val="20"/>
        </w:rPr>
      </w:pPr>
      <w:r w:rsidRPr="00866F44">
        <w:rPr>
          <w:rStyle w:val="Textoennegrita"/>
          <w:rFonts w:ascii="Lato" w:eastAsia="Times New Roman" w:hAnsi="Lato"/>
          <w:sz w:val="20"/>
          <w:szCs w:val="20"/>
        </w:rPr>
        <w:t>15.- Partes Relacionadas, No aplica.</w:t>
      </w:r>
    </w:p>
    <w:p w:rsidR="00866F44" w:rsidRDefault="00866F44">
      <w:pPr>
        <w:divId w:val="151483343"/>
        <w:rPr>
          <w:rStyle w:val="Textoennegrita"/>
          <w:rFonts w:ascii="Lato" w:eastAsia="Times New Roman" w:hAnsi="Lato"/>
          <w:sz w:val="20"/>
          <w:szCs w:val="20"/>
        </w:rPr>
      </w:pPr>
    </w:p>
    <w:p w:rsidR="00A04969" w:rsidRPr="00866F44" w:rsidRDefault="00347F2A">
      <w:pPr>
        <w:divId w:val="151483343"/>
        <w:rPr>
          <w:rFonts w:ascii="Lato" w:eastAsia="Times New Roman" w:hAnsi="Lato"/>
          <w:sz w:val="20"/>
          <w:szCs w:val="20"/>
        </w:rPr>
      </w:pPr>
      <w:r w:rsidRPr="00866F44">
        <w:rPr>
          <w:rStyle w:val="Textoennegrita"/>
          <w:rFonts w:ascii="Lato" w:eastAsia="Times New Roman" w:hAnsi="Lato"/>
          <w:sz w:val="20"/>
          <w:szCs w:val="20"/>
        </w:rPr>
        <w:t>B) NOTAS DE DESGLOCE</w:t>
      </w:r>
    </w:p>
    <w:p w:rsidR="00A04969" w:rsidRPr="00866F44" w:rsidRDefault="00347F2A">
      <w:pPr>
        <w:divId w:val="2128815265"/>
        <w:rPr>
          <w:rFonts w:ascii="Lato" w:eastAsia="Times New Roman" w:hAnsi="Lato"/>
          <w:sz w:val="20"/>
          <w:szCs w:val="20"/>
        </w:rPr>
      </w:pPr>
      <w:r w:rsidRPr="00866F44">
        <w:rPr>
          <w:rStyle w:val="Textoennegrita"/>
          <w:rFonts w:ascii="Lato" w:eastAsia="Times New Roman" w:hAnsi="Lato"/>
          <w:sz w:val="20"/>
          <w:szCs w:val="20"/>
        </w:rPr>
        <w:t>I) NOTAS AL ESTADO DE ACTIVIDADES</w:t>
      </w:r>
    </w:p>
    <w:p w:rsidR="00A04969" w:rsidRPr="00866F44" w:rsidRDefault="00347F2A">
      <w:pPr>
        <w:divId w:val="1369185544"/>
        <w:rPr>
          <w:rFonts w:ascii="Lato" w:eastAsia="Times New Roman" w:hAnsi="Lato"/>
          <w:sz w:val="20"/>
          <w:szCs w:val="20"/>
        </w:rPr>
      </w:pPr>
      <w:r w:rsidRPr="00866F44">
        <w:rPr>
          <w:rStyle w:val="Textoennegrita"/>
          <w:rFonts w:ascii="Lato" w:eastAsia="Times New Roman" w:hAnsi="Lato"/>
          <w:sz w:val="20"/>
          <w:szCs w:val="20"/>
        </w:rPr>
        <w:t>Ingresos de Gestión</w:t>
      </w:r>
    </w:p>
    <w:p w:rsidR="00A04969" w:rsidRPr="00866F44" w:rsidRDefault="00347F2A">
      <w:pPr>
        <w:divId w:val="1286351243"/>
        <w:rPr>
          <w:rFonts w:ascii="Lato" w:eastAsia="Times New Roman" w:hAnsi="Lato"/>
          <w:sz w:val="20"/>
          <w:szCs w:val="20"/>
        </w:rPr>
      </w:pPr>
      <w:r w:rsidRPr="00866F44">
        <w:rPr>
          <w:rFonts w:ascii="Lato" w:eastAsia="Times New Roman" w:hAnsi="Lato"/>
          <w:sz w:val="20"/>
          <w:szCs w:val="20"/>
        </w:rPr>
        <w:t>Representa el monto de los ingresos recaudados durante el ejercicio fiscal y que se previeron en la Ley de Ingresos del Estado de Yucatán, así como de los recursos que el Poder Ejecutivo recibió del Gobierno Federal, por concepto de Participaciones en Ingresos Federales, Aportaciones y Convenios, como se muestra a continuación:</w:t>
      </w:r>
    </w:p>
    <w:p w:rsidR="00A04969" w:rsidRDefault="00347F2A">
      <w:pPr>
        <w:divId w:val="1533373947"/>
        <w:rPr>
          <w:rFonts w:ascii="Lato" w:eastAsia="Times New Roman" w:hAnsi="Lato"/>
          <w:sz w:val="20"/>
          <w:szCs w:val="20"/>
        </w:rPr>
      </w:pPr>
      <w:r w:rsidRPr="00866F44">
        <w:rPr>
          <w:rFonts w:ascii="Lato" w:eastAsia="Times New Roman" w:hAnsi="Lato"/>
          <w:sz w:val="20"/>
          <w:szCs w:val="20"/>
        </w:rPr>
        <w:t>1.- Las cuentas que integran los ingresos de la gestión, presentan los siguientes saldos:</w:t>
      </w:r>
    </w:p>
    <w:p w:rsidR="00F1786B" w:rsidRPr="00866F44" w:rsidRDefault="00F1786B">
      <w:pPr>
        <w:divId w:val="1533373947"/>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4519"/>
        <w:gridCol w:w="3257"/>
      </w:tblGrid>
      <w:tr w:rsidR="00A04969" w:rsidRPr="00866F44">
        <w:trPr>
          <w:divId w:val="62333536"/>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INGRESOS DE GESTIÓN</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62333536"/>
          <w:tblCellSpacing w:w="15" w:type="dxa"/>
        </w:trPr>
        <w:tc>
          <w:tcPr>
            <w:tcW w:w="0" w:type="auto"/>
            <w:vAlign w:val="center"/>
            <w:hideMark/>
          </w:tcPr>
          <w:p w:rsidR="00A04969" w:rsidRPr="00866F44" w:rsidRDefault="00347F2A">
            <w:pPr>
              <w:divId w:val="2091123354"/>
              <w:rPr>
                <w:rFonts w:ascii="Lato" w:eastAsia="Times New Roman" w:hAnsi="Lato"/>
                <w:color w:val="000000"/>
                <w:sz w:val="20"/>
                <w:szCs w:val="20"/>
              </w:rPr>
            </w:pPr>
            <w:r w:rsidRPr="00866F44">
              <w:rPr>
                <w:rFonts w:ascii="Lato" w:eastAsia="Times New Roman" w:hAnsi="Lato"/>
                <w:color w:val="000000"/>
                <w:sz w:val="20"/>
                <w:szCs w:val="20"/>
              </w:rPr>
              <w:t>IMPUESTOS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3,002,465,973.80</w:t>
            </w:r>
          </w:p>
        </w:tc>
      </w:tr>
      <w:tr w:rsidR="00A04969" w:rsidRPr="00866F44">
        <w:trPr>
          <w:divId w:val="62333536"/>
          <w:tblCellSpacing w:w="15" w:type="dxa"/>
        </w:trPr>
        <w:tc>
          <w:tcPr>
            <w:tcW w:w="0" w:type="auto"/>
            <w:vAlign w:val="center"/>
            <w:hideMark/>
          </w:tcPr>
          <w:p w:rsidR="00A04969" w:rsidRPr="00866F44" w:rsidRDefault="00347F2A">
            <w:pPr>
              <w:divId w:val="1152871602"/>
              <w:rPr>
                <w:rFonts w:ascii="Lato" w:eastAsia="Times New Roman" w:hAnsi="Lato"/>
                <w:color w:val="000000"/>
                <w:sz w:val="20"/>
                <w:szCs w:val="20"/>
              </w:rPr>
            </w:pPr>
            <w:r w:rsidRPr="00866F44">
              <w:rPr>
                <w:rFonts w:ascii="Lato" w:eastAsia="Times New Roman" w:hAnsi="Lato"/>
                <w:color w:val="000000"/>
                <w:sz w:val="20"/>
                <w:szCs w:val="20"/>
              </w:rPr>
              <w:t>DERECHOS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1,596,105,481.11</w:t>
            </w:r>
          </w:p>
        </w:tc>
      </w:tr>
      <w:tr w:rsidR="00A04969" w:rsidRPr="00866F44">
        <w:trPr>
          <w:divId w:val="62333536"/>
          <w:tblCellSpacing w:w="15" w:type="dxa"/>
        </w:trPr>
        <w:tc>
          <w:tcPr>
            <w:tcW w:w="0" w:type="auto"/>
            <w:vAlign w:val="center"/>
            <w:hideMark/>
          </w:tcPr>
          <w:p w:rsidR="00A04969" w:rsidRPr="00866F44" w:rsidRDefault="00347F2A">
            <w:pPr>
              <w:divId w:val="348987009"/>
              <w:rPr>
                <w:rFonts w:ascii="Lato" w:eastAsia="Times New Roman" w:hAnsi="Lato"/>
                <w:color w:val="000000"/>
                <w:sz w:val="20"/>
                <w:szCs w:val="20"/>
              </w:rPr>
            </w:pPr>
            <w:r w:rsidRPr="00866F44">
              <w:rPr>
                <w:rFonts w:ascii="Lato" w:eastAsia="Times New Roman" w:hAnsi="Lato"/>
                <w:color w:val="000000"/>
                <w:sz w:val="20"/>
                <w:szCs w:val="20"/>
              </w:rPr>
              <w:t>PRODUCTOS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191,662,412.22</w:t>
            </w:r>
          </w:p>
        </w:tc>
      </w:tr>
      <w:tr w:rsidR="00A04969" w:rsidRPr="00866F44">
        <w:trPr>
          <w:divId w:val="62333536"/>
          <w:tblCellSpacing w:w="15" w:type="dxa"/>
        </w:trPr>
        <w:tc>
          <w:tcPr>
            <w:tcW w:w="0" w:type="auto"/>
            <w:vAlign w:val="center"/>
            <w:hideMark/>
          </w:tcPr>
          <w:p w:rsidR="00A04969" w:rsidRPr="00866F44" w:rsidRDefault="00347F2A">
            <w:pPr>
              <w:divId w:val="1550921297"/>
              <w:rPr>
                <w:rFonts w:ascii="Lato" w:eastAsia="Times New Roman" w:hAnsi="Lato"/>
                <w:color w:val="000000"/>
                <w:sz w:val="20"/>
                <w:szCs w:val="20"/>
              </w:rPr>
            </w:pPr>
            <w:r w:rsidRPr="00866F44">
              <w:rPr>
                <w:rFonts w:ascii="Lato" w:eastAsia="Times New Roman" w:hAnsi="Lato"/>
                <w:color w:val="000000"/>
                <w:sz w:val="20"/>
                <w:szCs w:val="20"/>
              </w:rPr>
              <w:t>APROVECHAMIENTOS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209,117,422.92</w:t>
            </w:r>
          </w:p>
        </w:tc>
      </w:tr>
      <w:tr w:rsidR="00A04969" w:rsidRPr="00866F44">
        <w:trPr>
          <w:divId w:val="62333536"/>
          <w:tblCellSpacing w:w="15" w:type="dxa"/>
        </w:trPr>
        <w:tc>
          <w:tcPr>
            <w:tcW w:w="0" w:type="auto"/>
            <w:vAlign w:val="center"/>
            <w:hideMark/>
          </w:tcPr>
          <w:p w:rsidR="00A04969" w:rsidRPr="00866F44" w:rsidRDefault="00347F2A">
            <w:pPr>
              <w:divId w:val="1999527659"/>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4,999,351,290.05</w:t>
            </w:r>
          </w:p>
        </w:tc>
      </w:tr>
    </w:tbl>
    <w:p w:rsidR="00A04969" w:rsidRPr="00866F44" w:rsidRDefault="00A04969">
      <w:pPr>
        <w:divId w:val="1574702958"/>
        <w:rPr>
          <w:rFonts w:ascii="Lato" w:eastAsia="Times New Roman" w:hAnsi="Lato"/>
          <w:sz w:val="20"/>
          <w:szCs w:val="20"/>
        </w:rPr>
      </w:pPr>
    </w:p>
    <w:p w:rsidR="00A04969" w:rsidRPr="00866F44" w:rsidRDefault="00347F2A">
      <w:pPr>
        <w:divId w:val="174997510"/>
        <w:rPr>
          <w:rFonts w:ascii="Lato" w:eastAsia="Times New Roman" w:hAnsi="Lato"/>
          <w:sz w:val="20"/>
          <w:szCs w:val="20"/>
        </w:rPr>
      </w:pPr>
      <w:r w:rsidRPr="00866F44">
        <w:rPr>
          <w:rFonts w:ascii="Lato" w:eastAsia="Times New Roman" w:hAnsi="Lato"/>
          <w:sz w:val="20"/>
          <w:szCs w:val="20"/>
        </w:rPr>
        <w:t>2.- Las cuentas que integran los ingresos por participaciones, aportaciones, convenios, incentivos derivados de la colaboración fiscal, fondos distintos de aportaciones, transferencias, asignaciones, subsidios y otras ayudas presentan los siguientes saldos:</w:t>
      </w:r>
    </w:p>
    <w:p w:rsidR="00A04969" w:rsidRPr="00866F44" w:rsidRDefault="00A04969">
      <w:pPr>
        <w:divId w:val="1008093296"/>
        <w:rPr>
          <w:rFonts w:ascii="Lato" w:eastAsia="Times New Roman" w:hAnsi="Lato"/>
          <w:sz w:val="20"/>
          <w:szCs w:val="20"/>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597"/>
        <w:gridCol w:w="1771"/>
      </w:tblGrid>
      <w:tr w:rsidR="00A04969" w:rsidRPr="00866F44">
        <w:trPr>
          <w:divId w:val="2089039495"/>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PARTICIPACIONES, APORTACIONES, CONVENIOS, INCENTIVOS DERIVADOS DE LA COLABORACIÓN FISCAL, FONDOS DISTINTOS DE APORTACIONES, TRANSFERENCIAS, ASIGNACIONES, SUBCIDIOS Y SUBVENCIONES, Y PENSIONES Y JUBILACIONES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2089039495"/>
          <w:tblCellSpacing w:w="15" w:type="dxa"/>
        </w:trPr>
        <w:tc>
          <w:tcPr>
            <w:tcW w:w="0" w:type="auto"/>
            <w:vAlign w:val="center"/>
            <w:hideMark/>
          </w:tcPr>
          <w:p w:rsidR="00A04969" w:rsidRPr="00866F44" w:rsidRDefault="00347F2A">
            <w:pPr>
              <w:divId w:val="1178153065"/>
              <w:rPr>
                <w:rFonts w:ascii="Lato" w:eastAsia="Times New Roman" w:hAnsi="Lato"/>
                <w:color w:val="000000"/>
                <w:sz w:val="20"/>
                <w:szCs w:val="20"/>
              </w:rPr>
            </w:pPr>
            <w:r w:rsidRPr="00866F44">
              <w:rPr>
                <w:rFonts w:ascii="Lato" w:eastAsia="Times New Roman" w:hAnsi="Lato"/>
                <w:color w:val="000000"/>
                <w:sz w:val="20"/>
                <w:szCs w:val="20"/>
              </w:rPr>
              <w:t>PARTICIPACIONES, APORTACIONES, CONVENIOS, INCENTIVOS DERIVADOS DE LA COLABORACIÓN FISCAL, FONDOS DISTINTOS DE APORTACIONES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33,291,195,406.46</w:t>
            </w:r>
          </w:p>
        </w:tc>
      </w:tr>
      <w:tr w:rsidR="00A04969" w:rsidRPr="00866F44">
        <w:trPr>
          <w:divId w:val="2089039495"/>
          <w:tblCellSpacing w:w="15" w:type="dxa"/>
        </w:trPr>
        <w:tc>
          <w:tcPr>
            <w:tcW w:w="0" w:type="auto"/>
            <w:vAlign w:val="center"/>
            <w:hideMark/>
          </w:tcPr>
          <w:p w:rsidR="00A04969" w:rsidRPr="00866F44" w:rsidRDefault="00347F2A">
            <w:pPr>
              <w:divId w:val="1185048176"/>
              <w:rPr>
                <w:rFonts w:ascii="Lato" w:eastAsia="Times New Roman" w:hAnsi="Lato"/>
                <w:color w:val="000000"/>
                <w:sz w:val="20"/>
                <w:szCs w:val="20"/>
              </w:rPr>
            </w:pPr>
            <w:r w:rsidRPr="00866F44">
              <w:rPr>
                <w:rFonts w:ascii="Lato" w:eastAsia="Times New Roman" w:hAnsi="Lato"/>
                <w:color w:val="000000"/>
                <w:sz w:val="20"/>
                <w:szCs w:val="20"/>
              </w:rPr>
              <w:t>TRANSFERENCIAS, ASIGNACIONES, SUBSIDIOS Y SUBVENCIONES, Y PENSIONES Y JUBILACIONES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2,095,591,000.00</w:t>
            </w:r>
          </w:p>
        </w:tc>
      </w:tr>
      <w:tr w:rsidR="00A04969" w:rsidRPr="00866F44">
        <w:trPr>
          <w:divId w:val="2089039495"/>
          <w:tblCellSpacing w:w="15" w:type="dxa"/>
        </w:trPr>
        <w:tc>
          <w:tcPr>
            <w:tcW w:w="0" w:type="auto"/>
            <w:vAlign w:val="center"/>
            <w:hideMark/>
          </w:tcPr>
          <w:p w:rsidR="00A04969" w:rsidRPr="00866F44" w:rsidRDefault="00347F2A">
            <w:pPr>
              <w:divId w:val="13192943"/>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35,386,786,406.46</w:t>
            </w:r>
          </w:p>
        </w:tc>
      </w:tr>
    </w:tbl>
    <w:p w:rsidR="00A04969" w:rsidRPr="00866F44" w:rsidRDefault="00347F2A">
      <w:pPr>
        <w:divId w:val="728529501"/>
        <w:rPr>
          <w:rFonts w:ascii="Lato" w:eastAsia="Times New Roman" w:hAnsi="Lato"/>
          <w:sz w:val="20"/>
          <w:szCs w:val="20"/>
        </w:rPr>
      </w:pPr>
      <w:r w:rsidRPr="00866F44">
        <w:rPr>
          <w:rStyle w:val="Textoennegrita"/>
          <w:rFonts w:ascii="Lato" w:eastAsia="Times New Roman" w:hAnsi="Lato"/>
          <w:sz w:val="20"/>
          <w:szCs w:val="20"/>
        </w:rPr>
        <w:t>Gastos y Otras Pérdidas</w:t>
      </w:r>
    </w:p>
    <w:p w:rsidR="00A04969" w:rsidRPr="00866F44" w:rsidRDefault="00347F2A">
      <w:pPr>
        <w:divId w:val="1859200562"/>
        <w:rPr>
          <w:rFonts w:ascii="Lato" w:eastAsia="Times New Roman" w:hAnsi="Lato"/>
          <w:sz w:val="20"/>
          <w:szCs w:val="20"/>
        </w:rPr>
      </w:pPr>
      <w:r w:rsidRPr="00866F44">
        <w:rPr>
          <w:rFonts w:ascii="Lato" w:eastAsia="Times New Roman" w:hAnsi="Lato"/>
          <w:sz w:val="20"/>
          <w:szCs w:val="20"/>
        </w:rPr>
        <w:t>1.- Los gastos más relevantes en relación al total del gasto se integran a continuación:</w:t>
      </w:r>
    </w:p>
    <w:p w:rsidR="00A04969" w:rsidRPr="00866F44" w:rsidRDefault="00A04969">
      <w:pPr>
        <w:divId w:val="1382707860"/>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4948"/>
        <w:gridCol w:w="2828"/>
      </w:tblGrid>
      <w:tr w:rsidR="00A04969" w:rsidRPr="00866F44">
        <w:trPr>
          <w:divId w:val="1009529474"/>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GASTOS DE FUNCIONAMIENTO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009529474"/>
          <w:tblCellSpacing w:w="15" w:type="dxa"/>
        </w:trPr>
        <w:tc>
          <w:tcPr>
            <w:tcW w:w="0" w:type="auto"/>
            <w:vAlign w:val="center"/>
            <w:hideMark/>
          </w:tcPr>
          <w:p w:rsidR="00A04969" w:rsidRPr="00866F44" w:rsidRDefault="00347F2A">
            <w:pPr>
              <w:divId w:val="1711103260"/>
              <w:rPr>
                <w:rFonts w:ascii="Lato" w:eastAsia="Times New Roman" w:hAnsi="Lato"/>
                <w:color w:val="000000"/>
                <w:sz w:val="20"/>
                <w:szCs w:val="20"/>
              </w:rPr>
            </w:pPr>
            <w:r w:rsidRPr="00866F44">
              <w:rPr>
                <w:rFonts w:ascii="Lato" w:eastAsia="Times New Roman" w:hAnsi="Lato"/>
                <w:color w:val="000000"/>
                <w:sz w:val="20"/>
                <w:szCs w:val="20"/>
              </w:rPr>
              <w:t>SERVICIOS PERSONALES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11,016,289,425.78</w:t>
            </w:r>
          </w:p>
        </w:tc>
      </w:tr>
      <w:tr w:rsidR="00A04969" w:rsidRPr="00866F44">
        <w:trPr>
          <w:divId w:val="1009529474"/>
          <w:tblCellSpacing w:w="15" w:type="dxa"/>
        </w:trPr>
        <w:tc>
          <w:tcPr>
            <w:tcW w:w="0" w:type="auto"/>
            <w:vAlign w:val="center"/>
            <w:hideMark/>
          </w:tcPr>
          <w:p w:rsidR="00A04969" w:rsidRPr="00866F44" w:rsidRDefault="00347F2A">
            <w:pPr>
              <w:divId w:val="638386483"/>
              <w:rPr>
                <w:rFonts w:ascii="Lato" w:eastAsia="Times New Roman" w:hAnsi="Lato"/>
                <w:color w:val="000000"/>
                <w:sz w:val="20"/>
                <w:szCs w:val="20"/>
              </w:rPr>
            </w:pPr>
            <w:r w:rsidRPr="00866F44">
              <w:rPr>
                <w:rFonts w:ascii="Lato" w:eastAsia="Times New Roman" w:hAnsi="Lato"/>
                <w:color w:val="000000"/>
                <w:sz w:val="20"/>
                <w:szCs w:val="20"/>
              </w:rPr>
              <w:t>MATERIALES Y SUMINISTROS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826,977,722.27</w:t>
            </w:r>
          </w:p>
        </w:tc>
      </w:tr>
      <w:tr w:rsidR="00A04969" w:rsidRPr="00866F44">
        <w:trPr>
          <w:divId w:val="1009529474"/>
          <w:tblCellSpacing w:w="15" w:type="dxa"/>
        </w:trPr>
        <w:tc>
          <w:tcPr>
            <w:tcW w:w="0" w:type="auto"/>
            <w:vAlign w:val="center"/>
            <w:hideMark/>
          </w:tcPr>
          <w:p w:rsidR="00A04969" w:rsidRPr="00866F44" w:rsidRDefault="00347F2A">
            <w:pPr>
              <w:divId w:val="364258586"/>
              <w:rPr>
                <w:rFonts w:ascii="Lato" w:eastAsia="Times New Roman" w:hAnsi="Lato"/>
                <w:color w:val="000000"/>
                <w:sz w:val="20"/>
                <w:szCs w:val="20"/>
              </w:rPr>
            </w:pPr>
            <w:r w:rsidRPr="00866F44">
              <w:rPr>
                <w:rFonts w:ascii="Lato" w:eastAsia="Times New Roman" w:hAnsi="Lato"/>
                <w:color w:val="000000"/>
                <w:sz w:val="20"/>
                <w:szCs w:val="20"/>
              </w:rPr>
              <w:t>SERVICIOS GENERALES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3,193,592,013.31</w:t>
            </w:r>
          </w:p>
        </w:tc>
      </w:tr>
      <w:tr w:rsidR="00A04969" w:rsidRPr="00866F44">
        <w:trPr>
          <w:divId w:val="1009529474"/>
          <w:tblCellSpacing w:w="15" w:type="dxa"/>
        </w:trPr>
        <w:tc>
          <w:tcPr>
            <w:tcW w:w="0" w:type="auto"/>
            <w:vAlign w:val="center"/>
            <w:hideMark/>
          </w:tcPr>
          <w:p w:rsidR="00A04969" w:rsidRPr="00866F44" w:rsidRDefault="00347F2A">
            <w:pPr>
              <w:divId w:val="1721319361"/>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rsidP="00CC1850">
            <w:pPr>
              <w:ind w:left="587" w:hanging="587"/>
              <w:jc w:val="right"/>
              <w:rPr>
                <w:rFonts w:ascii="Lato" w:eastAsia="Times New Roman" w:hAnsi="Lato"/>
                <w:sz w:val="20"/>
                <w:szCs w:val="20"/>
              </w:rPr>
            </w:pPr>
            <w:r w:rsidRPr="00866F44">
              <w:rPr>
                <w:rStyle w:val="Textoennegrita"/>
                <w:rFonts w:ascii="Lato" w:eastAsia="Times New Roman" w:hAnsi="Lato"/>
                <w:color w:val="000000"/>
                <w:sz w:val="20"/>
                <w:szCs w:val="20"/>
              </w:rPr>
              <w:t>15,036,859,161.36</w:t>
            </w:r>
          </w:p>
        </w:tc>
      </w:tr>
    </w:tbl>
    <w:p w:rsidR="00A04969" w:rsidRPr="00866F44" w:rsidRDefault="00A04969">
      <w:pPr>
        <w:divId w:val="950433158"/>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005"/>
        <w:gridCol w:w="1771"/>
      </w:tblGrid>
      <w:tr w:rsidR="00A04969" w:rsidRPr="00866F44">
        <w:trPr>
          <w:divId w:val="1414203633"/>
          <w:tblCellSpacing w:w="15" w:type="dxa"/>
        </w:trPr>
        <w:tc>
          <w:tcPr>
            <w:tcW w:w="0" w:type="auto"/>
            <w:vAlign w:val="center"/>
            <w:hideMark/>
          </w:tcPr>
          <w:p w:rsidR="000A7242" w:rsidRDefault="000A7242">
            <w:pPr>
              <w:rPr>
                <w:rStyle w:val="Textoennegrita"/>
                <w:rFonts w:ascii="Lato" w:eastAsia="Times New Roman" w:hAnsi="Lato"/>
                <w:color w:val="000000"/>
                <w:sz w:val="20"/>
                <w:szCs w:val="20"/>
              </w:rPr>
            </w:pPr>
          </w:p>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lastRenderedPageBreak/>
              <w:t>TRANSFERENCIAS, ASIGNACIONES, SUBSIDIOS Y OTRAS AYUDAS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414203633"/>
          <w:tblCellSpacing w:w="15" w:type="dxa"/>
        </w:trPr>
        <w:tc>
          <w:tcPr>
            <w:tcW w:w="0" w:type="auto"/>
            <w:vAlign w:val="center"/>
            <w:hideMark/>
          </w:tcPr>
          <w:p w:rsidR="00A04969" w:rsidRPr="00866F44" w:rsidRDefault="00347F2A">
            <w:pPr>
              <w:divId w:val="509103367"/>
              <w:rPr>
                <w:rFonts w:ascii="Lato" w:eastAsia="Times New Roman" w:hAnsi="Lato"/>
                <w:color w:val="000000"/>
                <w:sz w:val="20"/>
                <w:szCs w:val="20"/>
              </w:rPr>
            </w:pPr>
            <w:r w:rsidRPr="00866F44">
              <w:rPr>
                <w:rFonts w:ascii="Lato" w:eastAsia="Times New Roman" w:hAnsi="Lato"/>
                <w:color w:val="000000"/>
                <w:sz w:val="20"/>
                <w:szCs w:val="20"/>
              </w:rPr>
              <w:lastRenderedPageBreak/>
              <w:t>TRANSFERENCIAS INTERNAS Y ASIGNACIONES AL SECTOR PÚBLICO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15,885,697,060.83</w:t>
            </w:r>
          </w:p>
        </w:tc>
      </w:tr>
      <w:tr w:rsidR="00A04969" w:rsidRPr="00866F44">
        <w:trPr>
          <w:divId w:val="1414203633"/>
          <w:tblCellSpacing w:w="15" w:type="dxa"/>
        </w:trPr>
        <w:tc>
          <w:tcPr>
            <w:tcW w:w="0" w:type="auto"/>
            <w:vAlign w:val="center"/>
            <w:hideMark/>
          </w:tcPr>
          <w:p w:rsidR="00A04969" w:rsidRPr="00866F44" w:rsidRDefault="00347F2A">
            <w:pPr>
              <w:divId w:val="617295722"/>
              <w:rPr>
                <w:rFonts w:ascii="Lato" w:eastAsia="Times New Roman" w:hAnsi="Lato"/>
                <w:color w:val="000000"/>
                <w:sz w:val="20"/>
                <w:szCs w:val="20"/>
              </w:rPr>
            </w:pPr>
            <w:r w:rsidRPr="00866F44">
              <w:rPr>
                <w:rFonts w:ascii="Lato" w:eastAsia="Times New Roman" w:hAnsi="Lato"/>
                <w:color w:val="000000"/>
                <w:sz w:val="20"/>
                <w:szCs w:val="20"/>
              </w:rPr>
              <w:t>TRANSFERENCIAS AL RESTO DEL SECTOR PÚBLICO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110,761,250.00</w:t>
            </w:r>
          </w:p>
        </w:tc>
      </w:tr>
      <w:tr w:rsidR="00A04969" w:rsidRPr="00866F44">
        <w:trPr>
          <w:divId w:val="1414203633"/>
          <w:tblCellSpacing w:w="15" w:type="dxa"/>
        </w:trPr>
        <w:tc>
          <w:tcPr>
            <w:tcW w:w="0" w:type="auto"/>
            <w:vAlign w:val="center"/>
            <w:hideMark/>
          </w:tcPr>
          <w:p w:rsidR="00A04969" w:rsidRPr="00866F44" w:rsidRDefault="00347F2A">
            <w:pPr>
              <w:divId w:val="512914061"/>
              <w:rPr>
                <w:rFonts w:ascii="Lato" w:eastAsia="Times New Roman" w:hAnsi="Lato"/>
                <w:color w:val="000000"/>
                <w:sz w:val="20"/>
                <w:szCs w:val="20"/>
              </w:rPr>
            </w:pPr>
            <w:r w:rsidRPr="00866F44">
              <w:rPr>
                <w:rFonts w:ascii="Lato" w:eastAsia="Times New Roman" w:hAnsi="Lato"/>
                <w:color w:val="000000"/>
                <w:sz w:val="20"/>
                <w:szCs w:val="20"/>
              </w:rPr>
              <w:t>SUBSIDIOS Y SUBVENCIONES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630,599,535.96</w:t>
            </w:r>
          </w:p>
        </w:tc>
      </w:tr>
      <w:tr w:rsidR="00A04969" w:rsidRPr="00866F44">
        <w:trPr>
          <w:divId w:val="1414203633"/>
          <w:tblCellSpacing w:w="15" w:type="dxa"/>
        </w:trPr>
        <w:tc>
          <w:tcPr>
            <w:tcW w:w="0" w:type="auto"/>
            <w:vAlign w:val="center"/>
            <w:hideMark/>
          </w:tcPr>
          <w:p w:rsidR="00A04969" w:rsidRPr="00866F44" w:rsidRDefault="00347F2A">
            <w:pPr>
              <w:divId w:val="1029530369"/>
              <w:rPr>
                <w:rFonts w:ascii="Lato" w:eastAsia="Times New Roman" w:hAnsi="Lato"/>
                <w:color w:val="000000"/>
                <w:sz w:val="20"/>
                <w:szCs w:val="20"/>
              </w:rPr>
            </w:pPr>
            <w:r w:rsidRPr="00866F44">
              <w:rPr>
                <w:rFonts w:ascii="Lato" w:eastAsia="Times New Roman" w:hAnsi="Lato"/>
                <w:color w:val="000000"/>
                <w:sz w:val="20"/>
                <w:szCs w:val="20"/>
              </w:rPr>
              <w:t>AYUDAS SOCIALES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651,762,608.16</w:t>
            </w:r>
          </w:p>
        </w:tc>
      </w:tr>
      <w:tr w:rsidR="00A04969" w:rsidRPr="00866F44">
        <w:trPr>
          <w:divId w:val="1414203633"/>
          <w:tblCellSpacing w:w="15" w:type="dxa"/>
        </w:trPr>
        <w:tc>
          <w:tcPr>
            <w:tcW w:w="0" w:type="auto"/>
            <w:vAlign w:val="center"/>
            <w:hideMark/>
          </w:tcPr>
          <w:p w:rsidR="00A04969" w:rsidRPr="00866F44" w:rsidRDefault="00347F2A">
            <w:pPr>
              <w:divId w:val="1434208061"/>
              <w:rPr>
                <w:rFonts w:ascii="Lato" w:eastAsia="Times New Roman" w:hAnsi="Lato"/>
                <w:color w:val="000000"/>
                <w:sz w:val="20"/>
                <w:szCs w:val="20"/>
              </w:rPr>
            </w:pPr>
            <w:r w:rsidRPr="00866F44">
              <w:rPr>
                <w:rFonts w:ascii="Lato" w:eastAsia="Times New Roman" w:hAnsi="Lato"/>
                <w:color w:val="000000"/>
                <w:sz w:val="20"/>
                <w:szCs w:val="20"/>
              </w:rPr>
              <w:t>PENSIONES Y JUBILACIONES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836,702,384.18</w:t>
            </w:r>
          </w:p>
        </w:tc>
      </w:tr>
      <w:tr w:rsidR="00A04969" w:rsidRPr="00866F44">
        <w:trPr>
          <w:divId w:val="1414203633"/>
          <w:tblCellSpacing w:w="15" w:type="dxa"/>
        </w:trPr>
        <w:tc>
          <w:tcPr>
            <w:tcW w:w="0" w:type="auto"/>
            <w:vAlign w:val="center"/>
            <w:hideMark/>
          </w:tcPr>
          <w:p w:rsidR="00A04969" w:rsidRPr="00866F44" w:rsidRDefault="00347F2A">
            <w:pPr>
              <w:divId w:val="457573932"/>
              <w:rPr>
                <w:rFonts w:ascii="Lato" w:eastAsia="Times New Roman" w:hAnsi="Lato"/>
                <w:color w:val="000000"/>
                <w:sz w:val="20"/>
                <w:szCs w:val="20"/>
              </w:rPr>
            </w:pPr>
            <w:r w:rsidRPr="00866F44">
              <w:rPr>
                <w:rFonts w:ascii="Lato" w:eastAsia="Times New Roman" w:hAnsi="Lato"/>
                <w:color w:val="000000"/>
                <w:sz w:val="20"/>
                <w:szCs w:val="20"/>
              </w:rPr>
              <w:t>TRANSFERENCIAS A FIDEICOMISOS, MANDATOS Y OTROS ANÁLOGOS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145,566,189.96</w:t>
            </w:r>
          </w:p>
        </w:tc>
      </w:tr>
      <w:tr w:rsidR="00A04969" w:rsidRPr="00866F44">
        <w:trPr>
          <w:divId w:val="1414203633"/>
          <w:tblCellSpacing w:w="15" w:type="dxa"/>
        </w:trPr>
        <w:tc>
          <w:tcPr>
            <w:tcW w:w="0" w:type="auto"/>
            <w:vAlign w:val="center"/>
            <w:hideMark/>
          </w:tcPr>
          <w:p w:rsidR="00A04969" w:rsidRPr="00866F44" w:rsidRDefault="00347F2A">
            <w:pPr>
              <w:divId w:val="1601839451"/>
              <w:rPr>
                <w:rFonts w:ascii="Lato" w:eastAsia="Times New Roman" w:hAnsi="Lato"/>
                <w:color w:val="000000"/>
                <w:sz w:val="20"/>
                <w:szCs w:val="20"/>
              </w:rPr>
            </w:pPr>
            <w:r w:rsidRPr="00866F44">
              <w:rPr>
                <w:rFonts w:ascii="Lato" w:eastAsia="Times New Roman" w:hAnsi="Lato"/>
                <w:color w:val="000000"/>
                <w:sz w:val="20"/>
                <w:szCs w:val="20"/>
              </w:rPr>
              <w:t>DONATIVOS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20,989,000.00</w:t>
            </w:r>
          </w:p>
        </w:tc>
      </w:tr>
      <w:tr w:rsidR="00A04969" w:rsidRPr="00866F44">
        <w:trPr>
          <w:divId w:val="1414203633"/>
          <w:tblCellSpacing w:w="15" w:type="dxa"/>
        </w:trPr>
        <w:tc>
          <w:tcPr>
            <w:tcW w:w="0" w:type="auto"/>
            <w:vAlign w:val="center"/>
            <w:hideMark/>
          </w:tcPr>
          <w:p w:rsidR="00A04969" w:rsidRPr="00866F44" w:rsidRDefault="00347F2A">
            <w:pPr>
              <w:divId w:val="1156535617"/>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18,282,078,029.09</w:t>
            </w:r>
          </w:p>
        </w:tc>
      </w:tr>
    </w:tbl>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337"/>
        <w:gridCol w:w="2439"/>
      </w:tblGrid>
      <w:tr w:rsidR="00A04969" w:rsidRPr="00866F44">
        <w:trPr>
          <w:divId w:val="2037734976"/>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PARTICIPACIONES Y APORTACIONES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2037734976"/>
          <w:tblCellSpacing w:w="15" w:type="dxa"/>
        </w:trPr>
        <w:tc>
          <w:tcPr>
            <w:tcW w:w="0" w:type="auto"/>
            <w:vAlign w:val="center"/>
            <w:hideMark/>
          </w:tcPr>
          <w:p w:rsidR="00A04969" w:rsidRPr="00866F44" w:rsidRDefault="00347F2A">
            <w:pPr>
              <w:divId w:val="204408987"/>
              <w:rPr>
                <w:rFonts w:ascii="Lato" w:eastAsia="Times New Roman" w:hAnsi="Lato"/>
                <w:color w:val="000000"/>
                <w:sz w:val="20"/>
                <w:szCs w:val="20"/>
              </w:rPr>
            </w:pPr>
            <w:r w:rsidRPr="00866F44">
              <w:rPr>
                <w:rFonts w:ascii="Lato" w:eastAsia="Times New Roman" w:hAnsi="Lato"/>
                <w:color w:val="000000"/>
                <w:sz w:val="20"/>
                <w:szCs w:val="20"/>
              </w:rPr>
              <w:t>PARTICIPACIONES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3,967,267,600.07</w:t>
            </w:r>
          </w:p>
        </w:tc>
      </w:tr>
      <w:tr w:rsidR="00A04969" w:rsidRPr="00866F44">
        <w:trPr>
          <w:divId w:val="2037734976"/>
          <w:tblCellSpacing w:w="15" w:type="dxa"/>
        </w:trPr>
        <w:tc>
          <w:tcPr>
            <w:tcW w:w="0" w:type="auto"/>
            <w:vAlign w:val="center"/>
            <w:hideMark/>
          </w:tcPr>
          <w:p w:rsidR="00A04969" w:rsidRPr="00866F44" w:rsidRDefault="00347F2A">
            <w:pPr>
              <w:divId w:val="509219856"/>
              <w:rPr>
                <w:rFonts w:ascii="Lato" w:eastAsia="Times New Roman" w:hAnsi="Lato"/>
                <w:color w:val="000000"/>
                <w:sz w:val="20"/>
                <w:szCs w:val="20"/>
              </w:rPr>
            </w:pPr>
            <w:r w:rsidRPr="00866F44">
              <w:rPr>
                <w:rFonts w:ascii="Lato" w:eastAsia="Times New Roman" w:hAnsi="Lato"/>
                <w:color w:val="000000"/>
                <w:sz w:val="20"/>
                <w:szCs w:val="20"/>
              </w:rPr>
              <w:t>APORTACIONES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3,171,292,224.00</w:t>
            </w:r>
          </w:p>
        </w:tc>
      </w:tr>
      <w:tr w:rsidR="00A04969" w:rsidRPr="00866F44">
        <w:trPr>
          <w:divId w:val="2037734976"/>
          <w:tblCellSpacing w:w="15" w:type="dxa"/>
        </w:trPr>
        <w:tc>
          <w:tcPr>
            <w:tcW w:w="0" w:type="auto"/>
            <w:vAlign w:val="center"/>
            <w:hideMark/>
          </w:tcPr>
          <w:p w:rsidR="00A04969" w:rsidRPr="00866F44" w:rsidRDefault="00347F2A">
            <w:pPr>
              <w:divId w:val="630600446"/>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7,138,559,824.07</w:t>
            </w:r>
          </w:p>
        </w:tc>
      </w:tr>
    </w:tbl>
    <w:p w:rsidR="00A04969" w:rsidRDefault="00A04969">
      <w:pPr>
        <w:divId w:val="1498958467"/>
        <w:rPr>
          <w:rFonts w:ascii="Lato" w:eastAsia="Times New Roman" w:hAnsi="Lato"/>
          <w:sz w:val="20"/>
          <w:szCs w:val="20"/>
        </w:rPr>
      </w:pPr>
    </w:p>
    <w:p w:rsidR="000A7242" w:rsidRDefault="000A7242">
      <w:pPr>
        <w:divId w:val="1498958467"/>
        <w:rPr>
          <w:rFonts w:ascii="Lato" w:eastAsia="Times New Roman" w:hAnsi="Lato"/>
          <w:sz w:val="20"/>
          <w:szCs w:val="20"/>
        </w:rPr>
      </w:pPr>
    </w:p>
    <w:p w:rsidR="000A7242" w:rsidRPr="00866F44" w:rsidRDefault="000A7242">
      <w:pPr>
        <w:divId w:val="1498958467"/>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83"/>
        <w:gridCol w:w="1493"/>
      </w:tblGrid>
      <w:tr w:rsidR="00A04969" w:rsidRPr="00866F44">
        <w:trPr>
          <w:divId w:val="1997997813"/>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lastRenderedPageBreak/>
              <w:t>INTERESES, COMISIONES Y OTROS GASTOS DE LA DEUDA PUBLICA</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997997813"/>
          <w:tblCellSpacing w:w="15" w:type="dxa"/>
        </w:trPr>
        <w:tc>
          <w:tcPr>
            <w:tcW w:w="0" w:type="auto"/>
            <w:vAlign w:val="center"/>
            <w:hideMark/>
          </w:tcPr>
          <w:p w:rsidR="00A04969" w:rsidRPr="00866F44" w:rsidRDefault="00347F2A">
            <w:pPr>
              <w:divId w:val="1707754915"/>
              <w:rPr>
                <w:rFonts w:ascii="Lato" w:eastAsia="Times New Roman" w:hAnsi="Lato"/>
                <w:color w:val="000000"/>
                <w:sz w:val="20"/>
                <w:szCs w:val="20"/>
              </w:rPr>
            </w:pPr>
            <w:r w:rsidRPr="00866F44">
              <w:rPr>
                <w:rFonts w:ascii="Lato" w:eastAsia="Times New Roman" w:hAnsi="Lato"/>
                <w:color w:val="000000"/>
                <w:sz w:val="20"/>
                <w:szCs w:val="20"/>
              </w:rPr>
              <w:t>INTERESES DE LA DEUDA PÚBLICA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686,719,987.59</w:t>
            </w:r>
          </w:p>
        </w:tc>
      </w:tr>
      <w:tr w:rsidR="00A04969" w:rsidRPr="00866F44">
        <w:trPr>
          <w:divId w:val="1997997813"/>
          <w:tblCellSpacing w:w="15" w:type="dxa"/>
        </w:trPr>
        <w:tc>
          <w:tcPr>
            <w:tcW w:w="0" w:type="auto"/>
            <w:vAlign w:val="center"/>
            <w:hideMark/>
          </w:tcPr>
          <w:p w:rsidR="00A04969" w:rsidRPr="00866F44" w:rsidRDefault="00347F2A">
            <w:pPr>
              <w:divId w:val="166288641"/>
              <w:rPr>
                <w:rFonts w:ascii="Lato" w:eastAsia="Times New Roman" w:hAnsi="Lato"/>
                <w:color w:val="000000"/>
                <w:sz w:val="20"/>
                <w:szCs w:val="20"/>
              </w:rPr>
            </w:pPr>
            <w:r w:rsidRPr="00866F44">
              <w:rPr>
                <w:rFonts w:ascii="Lato" w:eastAsia="Times New Roman" w:hAnsi="Lato"/>
                <w:color w:val="000000"/>
                <w:sz w:val="20"/>
                <w:szCs w:val="20"/>
              </w:rPr>
              <w:t>GASTOS DE LA DEUDA PÚBLICA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698,362.22</w:t>
            </w:r>
          </w:p>
        </w:tc>
      </w:tr>
      <w:tr w:rsidR="00A04969" w:rsidRPr="00866F44">
        <w:trPr>
          <w:divId w:val="1997997813"/>
          <w:tblCellSpacing w:w="15" w:type="dxa"/>
        </w:trPr>
        <w:tc>
          <w:tcPr>
            <w:tcW w:w="0" w:type="auto"/>
            <w:vAlign w:val="center"/>
            <w:hideMark/>
          </w:tcPr>
          <w:p w:rsidR="00A04969" w:rsidRPr="00866F44" w:rsidRDefault="00347F2A">
            <w:pPr>
              <w:divId w:val="288438894"/>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687,418,349.81</w:t>
            </w:r>
          </w:p>
        </w:tc>
      </w:tr>
    </w:tbl>
    <w:p w:rsidR="00A04969" w:rsidRPr="00866F44" w:rsidRDefault="00A04969">
      <w:pPr>
        <w:divId w:val="1734889463"/>
        <w:rPr>
          <w:rFonts w:ascii="Lato" w:eastAsia="Times New Roman" w:hAnsi="Lato"/>
          <w:sz w:val="20"/>
          <w:szCs w:val="20"/>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8794"/>
        <w:gridCol w:w="1574"/>
      </w:tblGrid>
      <w:tr w:rsidR="00A04969" w:rsidRPr="00866F44">
        <w:trPr>
          <w:divId w:val="1817145303"/>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OTROS GASTOS Y PERDIDAS EXTRAORDINARIAS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817145303"/>
          <w:tblCellSpacing w:w="15" w:type="dxa"/>
        </w:trPr>
        <w:tc>
          <w:tcPr>
            <w:tcW w:w="0" w:type="auto"/>
            <w:vAlign w:val="center"/>
            <w:hideMark/>
          </w:tcPr>
          <w:p w:rsidR="00A04969" w:rsidRPr="00866F44" w:rsidRDefault="00347F2A">
            <w:pPr>
              <w:divId w:val="1614247955"/>
              <w:rPr>
                <w:rFonts w:ascii="Lato" w:eastAsia="Times New Roman" w:hAnsi="Lato"/>
                <w:color w:val="000000"/>
                <w:sz w:val="20"/>
                <w:szCs w:val="20"/>
              </w:rPr>
            </w:pPr>
            <w:r w:rsidRPr="00866F44">
              <w:rPr>
                <w:rFonts w:ascii="Lato" w:eastAsia="Times New Roman" w:hAnsi="Lato"/>
                <w:color w:val="000000"/>
                <w:sz w:val="20"/>
                <w:szCs w:val="20"/>
              </w:rPr>
              <w:t>ESTIMACIONES, DEPRECIACIONES, DETERIOROS, OBSOLESCENCIA Y AMORTIZACIONES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266,962,456.35</w:t>
            </w:r>
          </w:p>
        </w:tc>
      </w:tr>
      <w:tr w:rsidR="00A04969" w:rsidRPr="00866F44">
        <w:trPr>
          <w:divId w:val="1817145303"/>
          <w:tblCellSpacing w:w="15" w:type="dxa"/>
        </w:trPr>
        <w:tc>
          <w:tcPr>
            <w:tcW w:w="0" w:type="auto"/>
            <w:vAlign w:val="center"/>
            <w:hideMark/>
          </w:tcPr>
          <w:p w:rsidR="00A04969" w:rsidRPr="00866F44" w:rsidRDefault="00347F2A">
            <w:pPr>
              <w:divId w:val="471139975"/>
              <w:rPr>
                <w:rFonts w:ascii="Lato" w:eastAsia="Times New Roman" w:hAnsi="Lato"/>
                <w:color w:val="000000"/>
                <w:sz w:val="20"/>
                <w:szCs w:val="20"/>
              </w:rPr>
            </w:pPr>
            <w:r w:rsidRPr="00866F44">
              <w:rPr>
                <w:rFonts w:ascii="Lato" w:eastAsia="Times New Roman" w:hAnsi="Lato"/>
                <w:color w:val="000000"/>
                <w:sz w:val="20"/>
                <w:szCs w:val="20"/>
              </w:rPr>
              <w:t>OTROS GASTOS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59,881,573.91</w:t>
            </w:r>
          </w:p>
        </w:tc>
      </w:tr>
      <w:tr w:rsidR="00A04969" w:rsidRPr="00866F44">
        <w:trPr>
          <w:divId w:val="1817145303"/>
          <w:tblCellSpacing w:w="15" w:type="dxa"/>
        </w:trPr>
        <w:tc>
          <w:tcPr>
            <w:tcW w:w="0" w:type="auto"/>
            <w:vAlign w:val="center"/>
            <w:hideMark/>
          </w:tcPr>
          <w:p w:rsidR="00A04969" w:rsidRPr="00866F44" w:rsidRDefault="00347F2A">
            <w:pPr>
              <w:divId w:val="1936554220"/>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326,844,030.26</w:t>
            </w:r>
          </w:p>
        </w:tc>
      </w:tr>
    </w:tbl>
    <w:p w:rsidR="00A04969" w:rsidRPr="00866F44" w:rsidRDefault="00A04969">
      <w:pPr>
        <w:divId w:val="736824775"/>
        <w:rPr>
          <w:rFonts w:ascii="Lato" w:eastAsia="Times New Roman" w:hAnsi="Lato"/>
          <w:sz w:val="20"/>
          <w:szCs w:val="20"/>
        </w:rPr>
      </w:pPr>
    </w:p>
    <w:p w:rsidR="00911439" w:rsidRPr="00866F44" w:rsidRDefault="00911439">
      <w:pPr>
        <w:divId w:val="317853382"/>
        <w:rPr>
          <w:rFonts w:ascii="Lato" w:eastAsia="Times New Roman" w:hAnsi="Lato"/>
          <w:sz w:val="20"/>
          <w:szCs w:val="20"/>
        </w:rPr>
      </w:pPr>
    </w:p>
    <w:p w:rsidR="00A04969" w:rsidRPr="00866F44" w:rsidRDefault="00347F2A">
      <w:pPr>
        <w:divId w:val="317853382"/>
        <w:rPr>
          <w:rFonts w:ascii="Lato" w:eastAsia="Times New Roman" w:hAnsi="Lato"/>
          <w:sz w:val="20"/>
          <w:szCs w:val="20"/>
        </w:rPr>
      </w:pPr>
      <w:r w:rsidRPr="00866F44">
        <w:rPr>
          <w:rFonts w:ascii="Lato" w:eastAsia="Times New Roman" w:hAnsi="Lato"/>
          <w:sz w:val="20"/>
          <w:szCs w:val="20"/>
        </w:rPr>
        <w:t>A. La cuenta de “Servicios</w:t>
      </w:r>
      <w:r w:rsidR="00DC0FC3" w:rsidRPr="00866F44">
        <w:rPr>
          <w:rFonts w:ascii="Lato" w:eastAsia="Times New Roman" w:hAnsi="Lato"/>
          <w:sz w:val="20"/>
          <w:szCs w:val="20"/>
        </w:rPr>
        <w:t xml:space="preserve"> Personales” representa el 26.51</w:t>
      </w:r>
      <w:r w:rsidRPr="00866F44">
        <w:rPr>
          <w:rFonts w:ascii="Lato" w:eastAsia="Times New Roman" w:hAnsi="Lato"/>
          <w:sz w:val="20"/>
          <w:szCs w:val="20"/>
        </w:rPr>
        <w:t xml:space="preserve">%, el cual corresponde al pago el capítulo 1000 de 18 dependencias centralizadas del Poder Ejecutivo. </w:t>
      </w:r>
    </w:p>
    <w:p w:rsidR="00A04969" w:rsidRPr="00866F44" w:rsidRDefault="00347F2A">
      <w:pPr>
        <w:divId w:val="1128474373"/>
        <w:rPr>
          <w:rFonts w:ascii="Lato" w:eastAsia="Times New Roman" w:hAnsi="Lato"/>
          <w:sz w:val="20"/>
          <w:szCs w:val="20"/>
        </w:rPr>
      </w:pPr>
      <w:r w:rsidRPr="00866F44">
        <w:rPr>
          <w:rFonts w:ascii="Lato" w:eastAsia="Times New Roman" w:hAnsi="Lato"/>
          <w:sz w:val="20"/>
          <w:szCs w:val="20"/>
        </w:rPr>
        <w:t>Son los recursos empleados para cubrir las remuneraciones del personal al servicio de las Dependencias y Órganos Desconcentrados, que integran el Poder Ejecutivo, encargados de ofrecer a la ciudadanía servicios de seguridad pública y justicia, salud, educación, entre otros.</w:t>
      </w:r>
    </w:p>
    <w:p w:rsidR="00A04969" w:rsidRPr="00866F44" w:rsidRDefault="00347F2A">
      <w:pPr>
        <w:divId w:val="1938948697"/>
        <w:rPr>
          <w:rFonts w:ascii="Lato" w:eastAsia="Times New Roman" w:hAnsi="Lato"/>
          <w:sz w:val="20"/>
          <w:szCs w:val="20"/>
        </w:rPr>
      </w:pPr>
      <w:r w:rsidRPr="00866F44">
        <w:rPr>
          <w:rFonts w:ascii="Lato" w:eastAsia="Times New Roman" w:hAnsi="Lato"/>
          <w:sz w:val="20"/>
          <w:szCs w:val="20"/>
        </w:rPr>
        <w:t>B. Las cuentas de “Transferencias, Asignaciones, Subsidios y Ayudas”, representa e</w:t>
      </w:r>
      <w:r w:rsidR="00C00585" w:rsidRPr="00866F44">
        <w:rPr>
          <w:rFonts w:ascii="Lato" w:eastAsia="Times New Roman" w:hAnsi="Lato"/>
          <w:sz w:val="20"/>
          <w:szCs w:val="20"/>
        </w:rPr>
        <w:t>l 44.0</w:t>
      </w:r>
      <w:r w:rsidRPr="00866F44">
        <w:rPr>
          <w:rFonts w:ascii="Lato" w:eastAsia="Times New Roman" w:hAnsi="Lato"/>
          <w:sz w:val="20"/>
          <w:szCs w:val="20"/>
        </w:rPr>
        <w:t>% del total de otros gastos, dicho importe corresponde a los recursos transferidos a las demás entidades del sector público.</w:t>
      </w:r>
    </w:p>
    <w:p w:rsidR="00A04969" w:rsidRPr="00866F44" w:rsidRDefault="00347F2A">
      <w:pPr>
        <w:divId w:val="698163447"/>
        <w:rPr>
          <w:rFonts w:ascii="Lato" w:eastAsia="Times New Roman" w:hAnsi="Lato"/>
          <w:sz w:val="20"/>
          <w:szCs w:val="20"/>
        </w:rPr>
      </w:pPr>
      <w:r w:rsidRPr="00866F44">
        <w:rPr>
          <w:rFonts w:ascii="Lato" w:eastAsia="Times New Roman" w:hAnsi="Lato"/>
          <w:sz w:val="20"/>
          <w:szCs w:val="20"/>
        </w:rPr>
        <w:t>C. Las cuentas de “Participaciones y Ap</w:t>
      </w:r>
      <w:r w:rsidR="00C00585" w:rsidRPr="00866F44">
        <w:rPr>
          <w:rFonts w:ascii="Lato" w:eastAsia="Times New Roman" w:hAnsi="Lato"/>
          <w:sz w:val="20"/>
          <w:szCs w:val="20"/>
        </w:rPr>
        <w:t>ortaciones”, representa el 17.18</w:t>
      </w:r>
      <w:r w:rsidRPr="00866F44">
        <w:rPr>
          <w:rFonts w:ascii="Lato" w:eastAsia="Times New Roman" w:hAnsi="Lato"/>
          <w:sz w:val="20"/>
          <w:szCs w:val="20"/>
        </w:rPr>
        <w:t>% del total de los recursos transferidos a los municipios.</w:t>
      </w:r>
    </w:p>
    <w:p w:rsidR="00A04969" w:rsidRDefault="00A04969">
      <w:pPr>
        <w:divId w:val="779448399"/>
        <w:rPr>
          <w:rFonts w:ascii="Lato" w:eastAsia="Times New Roman" w:hAnsi="Lato"/>
          <w:sz w:val="20"/>
          <w:szCs w:val="20"/>
        </w:rPr>
      </w:pPr>
    </w:p>
    <w:p w:rsidR="000A7242" w:rsidRPr="00866F44" w:rsidRDefault="000A7242">
      <w:pPr>
        <w:divId w:val="779448399"/>
        <w:rPr>
          <w:rFonts w:ascii="Lato" w:eastAsia="Times New Roman" w:hAnsi="Lato"/>
          <w:sz w:val="20"/>
          <w:szCs w:val="20"/>
        </w:rPr>
      </w:pPr>
    </w:p>
    <w:p w:rsidR="00A04969" w:rsidRPr="00866F44" w:rsidRDefault="00347F2A">
      <w:pPr>
        <w:divId w:val="661784801"/>
        <w:rPr>
          <w:rFonts w:ascii="Lato" w:eastAsia="Times New Roman" w:hAnsi="Lato"/>
          <w:sz w:val="20"/>
          <w:szCs w:val="20"/>
        </w:rPr>
      </w:pPr>
      <w:r w:rsidRPr="00866F44">
        <w:rPr>
          <w:rStyle w:val="Textoennegrita"/>
          <w:rFonts w:ascii="Lato" w:eastAsia="Times New Roman" w:hAnsi="Lato"/>
          <w:sz w:val="20"/>
          <w:szCs w:val="20"/>
        </w:rPr>
        <w:lastRenderedPageBreak/>
        <w:t>II) NOTAS AL ESTADO DE SITUACIÓN FINANCIERA.</w:t>
      </w:r>
    </w:p>
    <w:p w:rsidR="00A04969" w:rsidRPr="00866F44" w:rsidRDefault="00347F2A">
      <w:pPr>
        <w:divId w:val="628167707"/>
        <w:rPr>
          <w:rFonts w:ascii="Lato" w:eastAsia="Times New Roman" w:hAnsi="Lato"/>
          <w:sz w:val="20"/>
          <w:szCs w:val="20"/>
        </w:rPr>
      </w:pPr>
      <w:r w:rsidRPr="00866F44">
        <w:rPr>
          <w:rStyle w:val="Textoennegrita"/>
          <w:rFonts w:ascii="Lato" w:eastAsia="Times New Roman" w:hAnsi="Lato"/>
          <w:sz w:val="20"/>
          <w:szCs w:val="20"/>
        </w:rPr>
        <w:t xml:space="preserve">Activo </w:t>
      </w:r>
    </w:p>
    <w:p w:rsidR="00A04969" w:rsidRPr="00866F44" w:rsidRDefault="00347F2A">
      <w:pPr>
        <w:divId w:val="1263341963"/>
        <w:rPr>
          <w:rFonts w:ascii="Lato" w:eastAsia="Times New Roman" w:hAnsi="Lato"/>
          <w:sz w:val="20"/>
          <w:szCs w:val="20"/>
        </w:rPr>
      </w:pPr>
      <w:r w:rsidRPr="00866F44">
        <w:rPr>
          <w:rStyle w:val="Textoennegrita"/>
          <w:rFonts w:ascii="Lato" w:eastAsia="Times New Roman" w:hAnsi="Lato"/>
          <w:sz w:val="20"/>
          <w:szCs w:val="20"/>
        </w:rPr>
        <w:t>Efectivo y Equivalentes</w:t>
      </w:r>
    </w:p>
    <w:p w:rsidR="00A04969" w:rsidRPr="00866F44" w:rsidRDefault="00347F2A">
      <w:pPr>
        <w:divId w:val="321935936"/>
        <w:rPr>
          <w:rFonts w:ascii="Lato" w:eastAsia="Times New Roman" w:hAnsi="Lato"/>
          <w:sz w:val="20"/>
          <w:szCs w:val="20"/>
        </w:rPr>
      </w:pPr>
      <w:r w:rsidRPr="00866F44">
        <w:rPr>
          <w:rFonts w:ascii="Lato" w:eastAsia="Times New Roman" w:hAnsi="Lato"/>
          <w:sz w:val="20"/>
          <w:szCs w:val="20"/>
        </w:rPr>
        <w:t>1.- La cuenta de bancos y la de inversiones temporales que integra el 97.99 % de la cuenta de efectivo y equivalentes se encuentra integrada por tipo de cuenta bancaria de la siguiente manera:</w:t>
      </w:r>
    </w:p>
    <w:p w:rsidR="00A04969" w:rsidRPr="00866F44" w:rsidRDefault="00A04969">
      <w:pPr>
        <w:divId w:val="1669018739"/>
        <w:rPr>
          <w:rFonts w:ascii="Lato" w:eastAsia="Times New Roman" w:hAnsi="Lato"/>
          <w:sz w:val="20"/>
          <w:szCs w:val="20"/>
        </w:rPr>
      </w:pPr>
    </w:p>
    <w:tbl>
      <w:tblPr>
        <w:tblW w:w="2000" w:type="pct"/>
        <w:tblCellSpacing w:w="15" w:type="dxa"/>
        <w:tblCellMar>
          <w:top w:w="15" w:type="dxa"/>
          <w:left w:w="15" w:type="dxa"/>
          <w:bottom w:w="15" w:type="dxa"/>
          <w:right w:w="15" w:type="dxa"/>
        </w:tblCellMar>
        <w:tblLook w:val="04A0" w:firstRow="1" w:lastRow="0" w:firstColumn="1" w:lastColumn="0" w:noHBand="0" w:noVBand="1"/>
      </w:tblPr>
      <w:tblGrid>
        <w:gridCol w:w="1351"/>
        <w:gridCol w:w="1642"/>
        <w:gridCol w:w="2191"/>
      </w:tblGrid>
      <w:tr w:rsidR="00A04969" w:rsidRPr="00866F44">
        <w:trPr>
          <w:divId w:val="1498763473"/>
          <w:tblCellSpacing w:w="15" w:type="dxa"/>
        </w:trPr>
        <w:tc>
          <w:tcPr>
            <w:tcW w:w="0" w:type="auto"/>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color w:val="000000"/>
                <w:sz w:val="20"/>
                <w:szCs w:val="20"/>
              </w:rPr>
              <w:t>Tipo de Banco</w:t>
            </w:r>
          </w:p>
        </w:tc>
        <w:tc>
          <w:tcPr>
            <w:tcW w:w="0" w:type="auto"/>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color w:val="000000"/>
                <w:sz w:val="20"/>
                <w:szCs w:val="20"/>
              </w:rPr>
              <w:t>Bancos</w:t>
            </w:r>
          </w:p>
        </w:tc>
        <w:tc>
          <w:tcPr>
            <w:tcW w:w="0" w:type="auto"/>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color w:val="000000"/>
                <w:sz w:val="20"/>
                <w:szCs w:val="20"/>
              </w:rPr>
              <w:t>Inversiones Temporales</w:t>
            </w:r>
          </w:p>
        </w:tc>
      </w:tr>
      <w:tr w:rsidR="00A04969" w:rsidRPr="00866F44">
        <w:trPr>
          <w:divId w:val="1498763473"/>
          <w:tblCellSpacing w:w="15" w:type="dxa"/>
        </w:trPr>
        <w:tc>
          <w:tcPr>
            <w:tcW w:w="0" w:type="auto"/>
            <w:vAlign w:val="center"/>
            <w:hideMark/>
          </w:tcPr>
          <w:p w:rsidR="00A04969" w:rsidRPr="00866F44" w:rsidRDefault="00347F2A">
            <w:pPr>
              <w:divId w:val="1064261666"/>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1,202,590,055.31</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659,922,764.74</w:t>
            </w:r>
          </w:p>
        </w:tc>
      </w:tr>
    </w:tbl>
    <w:p w:rsidR="00A04969" w:rsidRPr="00866F44" w:rsidRDefault="00A04969">
      <w:pPr>
        <w:divId w:val="213203639"/>
        <w:rPr>
          <w:rFonts w:ascii="Lato" w:eastAsia="Times New Roman" w:hAnsi="Lato"/>
          <w:sz w:val="20"/>
          <w:szCs w:val="20"/>
        </w:rPr>
      </w:pPr>
    </w:p>
    <w:p w:rsidR="00A04969" w:rsidRPr="00866F44" w:rsidRDefault="00A04969">
      <w:pPr>
        <w:divId w:val="1732652298"/>
        <w:rPr>
          <w:rFonts w:ascii="Lato" w:eastAsia="Times New Roman" w:hAnsi="Lato"/>
          <w:sz w:val="20"/>
          <w:szCs w:val="20"/>
        </w:rPr>
      </w:pPr>
    </w:p>
    <w:p w:rsidR="00A04969" w:rsidRPr="00866F44" w:rsidRDefault="00347F2A">
      <w:pPr>
        <w:divId w:val="1759863700"/>
        <w:rPr>
          <w:rFonts w:ascii="Lato" w:eastAsia="Times New Roman" w:hAnsi="Lato"/>
          <w:sz w:val="20"/>
          <w:szCs w:val="20"/>
        </w:rPr>
      </w:pPr>
      <w:r w:rsidRPr="00866F44">
        <w:rPr>
          <w:rFonts w:ascii="Lato" w:eastAsia="Times New Roman" w:hAnsi="Lato"/>
          <w:sz w:val="20"/>
          <w:szCs w:val="20"/>
        </w:rPr>
        <w:t>Esta información resulta de las operaciones sobre los recursos disponibles en cuentas bancarias, del ente público y que están asociadas a los recursos financieros que el Poder Ejecutivo, concentra, custodia y administra principalmente en la Secretaría de Administración y Finanzas y en menor medida, aquellos que están en poder de las Unidades Ejecutoras del Gasto del Sector Central.</w:t>
      </w:r>
    </w:p>
    <w:p w:rsidR="00A04969" w:rsidRPr="00866F44" w:rsidRDefault="00A04969">
      <w:pPr>
        <w:divId w:val="1268348541"/>
        <w:rPr>
          <w:rFonts w:ascii="Lato" w:eastAsia="Times New Roman" w:hAnsi="Lato"/>
          <w:sz w:val="20"/>
          <w:szCs w:val="20"/>
        </w:rPr>
      </w:pPr>
    </w:p>
    <w:p w:rsidR="004D2C7D" w:rsidRPr="00866F44" w:rsidRDefault="004D2C7D">
      <w:pPr>
        <w:divId w:val="1268348541"/>
        <w:rPr>
          <w:rFonts w:ascii="Lato" w:eastAsia="Times New Roman" w:hAnsi="Lato"/>
          <w:sz w:val="20"/>
          <w:szCs w:val="20"/>
        </w:rPr>
      </w:pPr>
    </w:p>
    <w:p w:rsidR="00A04969" w:rsidRPr="00866F44" w:rsidRDefault="00347F2A">
      <w:pPr>
        <w:divId w:val="1058942865"/>
        <w:rPr>
          <w:rFonts w:ascii="Lato" w:eastAsia="Times New Roman" w:hAnsi="Lato"/>
          <w:sz w:val="20"/>
          <w:szCs w:val="20"/>
        </w:rPr>
      </w:pPr>
      <w:r w:rsidRPr="00866F44">
        <w:rPr>
          <w:rStyle w:val="Textoennegrita"/>
          <w:rFonts w:ascii="Lato" w:eastAsia="Times New Roman" w:hAnsi="Lato"/>
          <w:sz w:val="20"/>
          <w:szCs w:val="20"/>
        </w:rPr>
        <w:t>Derechos a Recibir Efectivo y Equivalentes y Bienes y Servicios a Recibir</w:t>
      </w:r>
    </w:p>
    <w:p w:rsidR="00A04969" w:rsidRPr="00866F44" w:rsidRDefault="00347F2A">
      <w:pPr>
        <w:divId w:val="1722169766"/>
        <w:rPr>
          <w:rFonts w:ascii="Lato" w:eastAsia="Times New Roman" w:hAnsi="Lato"/>
          <w:sz w:val="20"/>
          <w:szCs w:val="20"/>
        </w:rPr>
      </w:pPr>
      <w:r w:rsidRPr="00866F44">
        <w:rPr>
          <w:rFonts w:ascii="Lato" w:eastAsia="Times New Roman" w:hAnsi="Lato"/>
          <w:sz w:val="20"/>
          <w:szCs w:val="20"/>
        </w:rPr>
        <w:t>2.- El saldo final de la cuenta 1.1.2.4.1 Carteras Agencia de Administración Fiscal, es de $ 0.00</w:t>
      </w:r>
    </w:p>
    <w:p w:rsidR="00A04969" w:rsidRPr="00866F44" w:rsidRDefault="00347F2A">
      <w:pPr>
        <w:divId w:val="1000818033"/>
        <w:rPr>
          <w:rFonts w:ascii="Lato" w:eastAsia="Times New Roman" w:hAnsi="Lato"/>
          <w:sz w:val="20"/>
          <w:szCs w:val="20"/>
        </w:rPr>
      </w:pPr>
      <w:r w:rsidRPr="00866F44">
        <w:rPr>
          <w:rFonts w:ascii="Lato" w:eastAsia="Times New Roman" w:hAnsi="Lato"/>
          <w:sz w:val="20"/>
          <w:szCs w:val="20"/>
        </w:rPr>
        <w:t>3.- La cuenta derechos a recibir efectivo o equivalentes, presenta cuentas por cobrar las cuales, se encuentran integradas de la siguiente manera:</w:t>
      </w:r>
    </w:p>
    <w:p w:rsidR="00A04969" w:rsidRPr="00866F44" w:rsidRDefault="00A04969">
      <w:pPr>
        <w:divId w:val="478763502"/>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83"/>
        <w:gridCol w:w="1493"/>
      </w:tblGrid>
      <w:tr w:rsidR="00A04969" w:rsidRPr="00866F44">
        <w:trPr>
          <w:divId w:val="1410344211"/>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DERECHOS A RECIBIR EFECTIVO O EQUIVALENTES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410344211"/>
          <w:tblCellSpacing w:w="15" w:type="dxa"/>
        </w:trPr>
        <w:tc>
          <w:tcPr>
            <w:tcW w:w="0" w:type="auto"/>
            <w:vAlign w:val="center"/>
            <w:hideMark/>
          </w:tcPr>
          <w:p w:rsidR="00A04969" w:rsidRPr="00866F44" w:rsidRDefault="00347F2A">
            <w:pPr>
              <w:divId w:val="945959909"/>
              <w:rPr>
                <w:rFonts w:ascii="Lato" w:eastAsia="Times New Roman" w:hAnsi="Lato"/>
                <w:sz w:val="20"/>
                <w:szCs w:val="20"/>
              </w:rPr>
            </w:pPr>
            <w:r w:rsidRPr="00866F44">
              <w:rPr>
                <w:rStyle w:val="Textoennegrita"/>
                <w:rFonts w:ascii="Lato" w:eastAsia="Times New Roman" w:hAnsi="Lato"/>
                <w:color w:val="000000"/>
                <w:sz w:val="20"/>
                <w:szCs w:val="20"/>
              </w:rPr>
              <w:t>DEUDORES DIVERSOS POR COBRAR A CORTO PLAZO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410344211"/>
          <w:tblCellSpacing w:w="15" w:type="dxa"/>
        </w:trPr>
        <w:tc>
          <w:tcPr>
            <w:tcW w:w="0" w:type="auto"/>
            <w:vAlign w:val="center"/>
            <w:hideMark/>
          </w:tcPr>
          <w:p w:rsidR="00A04969" w:rsidRPr="00866F44" w:rsidRDefault="00347F2A">
            <w:pPr>
              <w:divId w:val="1985086290"/>
              <w:rPr>
                <w:rFonts w:ascii="Lato" w:eastAsia="Times New Roman" w:hAnsi="Lato"/>
                <w:color w:val="000000"/>
                <w:sz w:val="20"/>
                <w:szCs w:val="20"/>
              </w:rPr>
            </w:pPr>
            <w:r w:rsidRPr="00866F44">
              <w:rPr>
                <w:rFonts w:ascii="Lato" w:eastAsia="Times New Roman" w:hAnsi="Lato"/>
                <w:color w:val="000000"/>
                <w:sz w:val="20"/>
                <w:szCs w:val="20"/>
              </w:rPr>
              <w:lastRenderedPageBreak/>
              <w:t>CREDITOS PUENTE</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22,750,000.00</w:t>
            </w:r>
          </w:p>
        </w:tc>
      </w:tr>
      <w:tr w:rsidR="00A04969" w:rsidRPr="00866F44">
        <w:trPr>
          <w:divId w:val="1410344211"/>
          <w:tblCellSpacing w:w="15" w:type="dxa"/>
        </w:trPr>
        <w:tc>
          <w:tcPr>
            <w:tcW w:w="0" w:type="auto"/>
            <w:vAlign w:val="center"/>
            <w:hideMark/>
          </w:tcPr>
          <w:p w:rsidR="00A04969" w:rsidRPr="00866F44" w:rsidRDefault="00347F2A">
            <w:pPr>
              <w:divId w:val="2079278395"/>
              <w:rPr>
                <w:rFonts w:ascii="Lato" w:eastAsia="Times New Roman" w:hAnsi="Lato"/>
                <w:color w:val="000000"/>
                <w:sz w:val="20"/>
                <w:szCs w:val="20"/>
              </w:rPr>
            </w:pPr>
            <w:r w:rsidRPr="00866F44">
              <w:rPr>
                <w:rFonts w:ascii="Lato" w:eastAsia="Times New Roman" w:hAnsi="Lato"/>
                <w:color w:val="000000"/>
                <w:sz w:val="20"/>
                <w:szCs w:val="20"/>
              </w:rPr>
              <w:t>SUBSIDIO AL EMPLEO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236,878.83</w:t>
            </w:r>
          </w:p>
        </w:tc>
      </w:tr>
      <w:tr w:rsidR="00A04969" w:rsidRPr="00866F44">
        <w:trPr>
          <w:divId w:val="1410344211"/>
          <w:tblCellSpacing w:w="15" w:type="dxa"/>
        </w:trPr>
        <w:tc>
          <w:tcPr>
            <w:tcW w:w="0" w:type="auto"/>
            <w:vAlign w:val="center"/>
            <w:hideMark/>
          </w:tcPr>
          <w:p w:rsidR="00A04969" w:rsidRPr="00866F44" w:rsidRDefault="00347F2A">
            <w:pPr>
              <w:divId w:val="240799537"/>
              <w:rPr>
                <w:rFonts w:ascii="Lato" w:eastAsia="Times New Roman" w:hAnsi="Lato"/>
                <w:color w:val="000000"/>
                <w:sz w:val="20"/>
                <w:szCs w:val="20"/>
              </w:rPr>
            </w:pPr>
            <w:r w:rsidRPr="00866F44">
              <w:rPr>
                <w:rFonts w:ascii="Lato" w:eastAsia="Times New Roman" w:hAnsi="Lato"/>
                <w:color w:val="000000"/>
                <w:sz w:val="20"/>
                <w:szCs w:val="20"/>
              </w:rPr>
              <w:t>DEUDORES DIVERSOS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26,577,900.99</w:t>
            </w:r>
          </w:p>
        </w:tc>
      </w:tr>
      <w:tr w:rsidR="00A04969" w:rsidRPr="00866F44">
        <w:trPr>
          <w:divId w:val="1410344211"/>
          <w:tblCellSpacing w:w="15" w:type="dxa"/>
        </w:trPr>
        <w:tc>
          <w:tcPr>
            <w:tcW w:w="0" w:type="auto"/>
            <w:vAlign w:val="center"/>
            <w:hideMark/>
          </w:tcPr>
          <w:p w:rsidR="00A04969" w:rsidRPr="00866F44" w:rsidRDefault="00347F2A">
            <w:pPr>
              <w:divId w:val="402803573"/>
              <w:rPr>
                <w:rFonts w:ascii="Lato" w:eastAsia="Times New Roman" w:hAnsi="Lato"/>
                <w:color w:val="000000"/>
                <w:sz w:val="20"/>
                <w:szCs w:val="20"/>
              </w:rPr>
            </w:pPr>
            <w:r w:rsidRPr="00866F44">
              <w:rPr>
                <w:rFonts w:ascii="Lato" w:eastAsia="Times New Roman" w:hAnsi="Lato"/>
                <w:color w:val="000000"/>
                <w:sz w:val="20"/>
                <w:szCs w:val="20"/>
              </w:rPr>
              <w:t>OTROS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12,138,540.29</w:t>
            </w:r>
          </w:p>
        </w:tc>
      </w:tr>
      <w:tr w:rsidR="00A04969" w:rsidRPr="00866F44">
        <w:trPr>
          <w:divId w:val="1410344211"/>
          <w:tblCellSpacing w:w="15" w:type="dxa"/>
        </w:trPr>
        <w:tc>
          <w:tcPr>
            <w:tcW w:w="0" w:type="auto"/>
            <w:vAlign w:val="center"/>
            <w:hideMark/>
          </w:tcPr>
          <w:p w:rsidR="00A04969" w:rsidRPr="00866F44" w:rsidRDefault="00347F2A">
            <w:pPr>
              <w:divId w:val="2023506034"/>
              <w:rPr>
                <w:rFonts w:ascii="Lato" w:eastAsia="Times New Roman" w:hAnsi="Lato"/>
                <w:sz w:val="20"/>
                <w:szCs w:val="20"/>
              </w:rPr>
            </w:pPr>
            <w:r w:rsidRPr="00866F44">
              <w:rPr>
                <w:rStyle w:val="Textoennegrita"/>
                <w:rFonts w:ascii="Lato" w:eastAsia="Times New Roman" w:hAnsi="Lato"/>
                <w:color w:val="000000"/>
                <w:sz w:val="20"/>
                <w:szCs w:val="20"/>
              </w:rPr>
              <w:t>PRÉSTAMOS OTORGADOS A CORTO PLAZO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410344211"/>
          <w:tblCellSpacing w:w="15" w:type="dxa"/>
        </w:trPr>
        <w:tc>
          <w:tcPr>
            <w:tcW w:w="0" w:type="auto"/>
            <w:vAlign w:val="center"/>
            <w:hideMark/>
          </w:tcPr>
          <w:p w:rsidR="00A04969" w:rsidRPr="00866F44" w:rsidRDefault="00347F2A">
            <w:pPr>
              <w:divId w:val="2132089282"/>
              <w:rPr>
                <w:rFonts w:ascii="Lato" w:eastAsia="Times New Roman" w:hAnsi="Lato"/>
                <w:color w:val="000000"/>
                <w:sz w:val="20"/>
                <w:szCs w:val="20"/>
              </w:rPr>
            </w:pPr>
            <w:r w:rsidRPr="00866F44">
              <w:rPr>
                <w:rFonts w:ascii="Lato" w:eastAsia="Times New Roman" w:hAnsi="Lato"/>
                <w:color w:val="000000"/>
                <w:sz w:val="20"/>
                <w:szCs w:val="20"/>
              </w:rPr>
              <w:t>CRÉDITOS OTORGADOS POR ENTIDADES FEDERATIVAS Y MUNICIPIOS AL SECTOR SOCIAL Y PRIVADO PARA EL FOMENTO DE ACTIVIDADES PRODUCTIVAS.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45,387,167.00</w:t>
            </w:r>
          </w:p>
        </w:tc>
      </w:tr>
      <w:tr w:rsidR="00A04969" w:rsidRPr="00866F44">
        <w:trPr>
          <w:divId w:val="1410344211"/>
          <w:tblCellSpacing w:w="15" w:type="dxa"/>
        </w:trPr>
        <w:tc>
          <w:tcPr>
            <w:tcW w:w="0" w:type="auto"/>
            <w:vAlign w:val="center"/>
            <w:hideMark/>
          </w:tcPr>
          <w:p w:rsidR="00A04969" w:rsidRPr="00866F44" w:rsidRDefault="00347F2A">
            <w:pPr>
              <w:divId w:val="1119568708"/>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107,090,487.11</w:t>
            </w:r>
          </w:p>
        </w:tc>
      </w:tr>
    </w:tbl>
    <w:p w:rsidR="00A04969" w:rsidRPr="00866F44" w:rsidRDefault="00A04969">
      <w:pPr>
        <w:divId w:val="1480999031"/>
        <w:rPr>
          <w:rFonts w:ascii="Lato" w:eastAsia="Times New Roman" w:hAnsi="Lato"/>
          <w:sz w:val="20"/>
          <w:szCs w:val="20"/>
        </w:rPr>
      </w:pPr>
    </w:p>
    <w:p w:rsidR="00A04969" w:rsidRPr="00866F44" w:rsidRDefault="00347F2A">
      <w:pPr>
        <w:divId w:val="671496326"/>
        <w:rPr>
          <w:rFonts w:ascii="Lato" w:eastAsia="Times New Roman" w:hAnsi="Lato"/>
          <w:sz w:val="20"/>
          <w:szCs w:val="20"/>
        </w:rPr>
      </w:pPr>
      <w:r w:rsidRPr="00866F44">
        <w:rPr>
          <w:rStyle w:val="Textoennegrita"/>
          <w:rFonts w:ascii="Lato" w:eastAsia="Times New Roman" w:hAnsi="Lato"/>
          <w:sz w:val="20"/>
          <w:szCs w:val="20"/>
        </w:rPr>
        <w:t>Bienes Disponibles para su Transformación o Consumo (Inventarios)</w:t>
      </w:r>
    </w:p>
    <w:p w:rsidR="00A04969" w:rsidRPr="00866F44" w:rsidRDefault="00347F2A">
      <w:pPr>
        <w:divId w:val="2109307188"/>
        <w:rPr>
          <w:rFonts w:ascii="Lato" w:eastAsia="Times New Roman" w:hAnsi="Lato"/>
          <w:sz w:val="20"/>
          <w:szCs w:val="20"/>
        </w:rPr>
      </w:pPr>
      <w:r w:rsidRPr="00866F44">
        <w:rPr>
          <w:rFonts w:ascii="Lato" w:eastAsia="Times New Roman" w:hAnsi="Lato"/>
          <w:sz w:val="20"/>
          <w:szCs w:val="20"/>
        </w:rPr>
        <w:t>4.- El Poder Ejecutivo no realiza ningún proceso de transformación y/o elaboración de bienes.</w:t>
      </w:r>
    </w:p>
    <w:p w:rsidR="00A04969" w:rsidRPr="00866F44" w:rsidRDefault="00347F2A">
      <w:pPr>
        <w:divId w:val="1632439132"/>
        <w:rPr>
          <w:rFonts w:ascii="Lato" w:eastAsia="Times New Roman" w:hAnsi="Lato"/>
          <w:sz w:val="20"/>
          <w:szCs w:val="20"/>
        </w:rPr>
      </w:pPr>
      <w:r w:rsidRPr="00866F44">
        <w:rPr>
          <w:rFonts w:ascii="Lato" w:eastAsia="Times New Roman" w:hAnsi="Lato"/>
          <w:sz w:val="20"/>
          <w:szCs w:val="20"/>
        </w:rPr>
        <w:t xml:space="preserve">5.- </w:t>
      </w:r>
      <w:r w:rsidR="00726157" w:rsidRPr="00866F44">
        <w:rPr>
          <w:rFonts w:ascii="Lato" w:eastAsia="Times New Roman" w:hAnsi="Lato"/>
          <w:sz w:val="20"/>
          <w:szCs w:val="20"/>
        </w:rPr>
        <w:t xml:space="preserve"> El Poder Ejecutivo a partir del 19 de junio del presente año, realiza mediante el sistema integral, el registro a la cuenta de almacenes </w:t>
      </w:r>
      <w:r w:rsidR="00726157" w:rsidRPr="00866F44">
        <w:rPr>
          <w:rFonts w:ascii="Lato" w:hAnsi="Lato"/>
          <w:sz w:val="20"/>
          <w:szCs w:val="20"/>
        </w:rPr>
        <w:t>de Materiales y Suministros de Consumo</w:t>
      </w:r>
      <w:r w:rsidR="00726157" w:rsidRPr="00866F44">
        <w:rPr>
          <w:rFonts w:ascii="Lato" w:eastAsia="Times New Roman" w:hAnsi="Lato"/>
          <w:sz w:val="20"/>
          <w:szCs w:val="20"/>
        </w:rPr>
        <w:t>.</w:t>
      </w:r>
    </w:p>
    <w:p w:rsidR="00A04969" w:rsidRPr="00866F44" w:rsidRDefault="00347F2A">
      <w:pPr>
        <w:divId w:val="1561400183"/>
        <w:rPr>
          <w:rFonts w:ascii="Lato" w:eastAsia="Times New Roman" w:hAnsi="Lato"/>
          <w:sz w:val="20"/>
          <w:szCs w:val="20"/>
        </w:rPr>
      </w:pPr>
      <w:r w:rsidRPr="00866F44">
        <w:rPr>
          <w:rFonts w:ascii="Lato" w:eastAsia="Times New Roman" w:hAnsi="Lato"/>
          <w:sz w:val="20"/>
          <w:szCs w:val="20"/>
        </w:rPr>
        <w:t>6.- El saldo del rubro de Inversiones Financieras, se integra como sigue:</w:t>
      </w:r>
    </w:p>
    <w:p w:rsidR="00A04969" w:rsidRPr="00866F44" w:rsidRDefault="00A04969">
      <w:pPr>
        <w:divId w:val="1325816771"/>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121"/>
        <w:gridCol w:w="1655"/>
      </w:tblGrid>
      <w:tr w:rsidR="00A04969" w:rsidRPr="00866F44">
        <w:trPr>
          <w:divId w:val="1572734845"/>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INVERSIONES FINANCIERAS A LARGO PLAZO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572734845"/>
          <w:tblCellSpacing w:w="15" w:type="dxa"/>
        </w:trPr>
        <w:tc>
          <w:tcPr>
            <w:tcW w:w="0" w:type="auto"/>
            <w:vAlign w:val="center"/>
            <w:hideMark/>
          </w:tcPr>
          <w:p w:rsidR="00A04969" w:rsidRPr="00866F44" w:rsidRDefault="00347F2A">
            <w:pPr>
              <w:divId w:val="1411922520"/>
              <w:rPr>
                <w:rFonts w:ascii="Lato" w:eastAsia="Times New Roman" w:hAnsi="Lato"/>
                <w:sz w:val="20"/>
                <w:szCs w:val="20"/>
              </w:rPr>
            </w:pPr>
            <w:r w:rsidRPr="00866F44">
              <w:rPr>
                <w:rStyle w:val="Textoennegrita"/>
                <w:rFonts w:ascii="Lato" w:eastAsia="Times New Roman" w:hAnsi="Lato"/>
                <w:color w:val="000000"/>
                <w:sz w:val="20"/>
                <w:szCs w:val="20"/>
              </w:rPr>
              <w:t>INVERSIONES A LARGO PLAZO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572734845"/>
          <w:tblCellSpacing w:w="15" w:type="dxa"/>
        </w:trPr>
        <w:tc>
          <w:tcPr>
            <w:tcW w:w="0" w:type="auto"/>
            <w:vAlign w:val="center"/>
            <w:hideMark/>
          </w:tcPr>
          <w:p w:rsidR="00A04969" w:rsidRPr="00866F44" w:rsidRDefault="00347F2A">
            <w:pPr>
              <w:divId w:val="1632780333"/>
              <w:rPr>
                <w:rFonts w:ascii="Lato" w:eastAsia="Times New Roman" w:hAnsi="Lato"/>
                <w:sz w:val="20"/>
                <w:szCs w:val="20"/>
              </w:rPr>
            </w:pPr>
            <w:r w:rsidRPr="00866F44">
              <w:rPr>
                <w:rStyle w:val="Textoennegrita"/>
                <w:rFonts w:ascii="Lato" w:eastAsia="Times New Roman" w:hAnsi="Lato"/>
                <w:color w:val="000000"/>
                <w:sz w:val="20"/>
                <w:szCs w:val="20"/>
              </w:rPr>
              <w:t>INVERSIONES EN ACCIONES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572734845"/>
          <w:tblCellSpacing w:w="15" w:type="dxa"/>
        </w:trPr>
        <w:tc>
          <w:tcPr>
            <w:tcW w:w="0" w:type="auto"/>
            <w:vAlign w:val="center"/>
            <w:hideMark/>
          </w:tcPr>
          <w:p w:rsidR="00A04969" w:rsidRPr="00866F44" w:rsidRDefault="00347F2A">
            <w:pPr>
              <w:divId w:val="379280960"/>
              <w:rPr>
                <w:rFonts w:ascii="Lato" w:eastAsia="Times New Roman" w:hAnsi="Lato"/>
                <w:color w:val="000000"/>
                <w:sz w:val="20"/>
                <w:szCs w:val="20"/>
              </w:rPr>
            </w:pPr>
            <w:r w:rsidRPr="00866F44">
              <w:rPr>
                <w:rFonts w:ascii="Lato" w:eastAsia="Times New Roman" w:hAnsi="Lato"/>
                <w:color w:val="000000"/>
                <w:sz w:val="20"/>
                <w:szCs w:val="20"/>
              </w:rPr>
              <w:t>SOCIEDAD COOPERATIVA DE PROD. LECHERA S.C.L.</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453,748.92</w:t>
            </w:r>
          </w:p>
        </w:tc>
      </w:tr>
      <w:tr w:rsidR="00A04969" w:rsidRPr="00866F44">
        <w:trPr>
          <w:divId w:val="1572734845"/>
          <w:tblCellSpacing w:w="15" w:type="dxa"/>
        </w:trPr>
        <w:tc>
          <w:tcPr>
            <w:tcW w:w="0" w:type="auto"/>
            <w:vAlign w:val="center"/>
            <w:hideMark/>
          </w:tcPr>
          <w:p w:rsidR="00A04969" w:rsidRPr="00866F44" w:rsidRDefault="00347F2A">
            <w:pPr>
              <w:divId w:val="1455365668"/>
              <w:rPr>
                <w:rFonts w:ascii="Lato" w:eastAsia="Times New Roman" w:hAnsi="Lato"/>
                <w:color w:val="000000"/>
                <w:sz w:val="20"/>
                <w:szCs w:val="20"/>
              </w:rPr>
            </w:pPr>
            <w:r w:rsidRPr="00866F44">
              <w:rPr>
                <w:rFonts w:ascii="Lato" w:eastAsia="Times New Roman" w:hAnsi="Lato"/>
                <w:color w:val="000000"/>
                <w:sz w:val="20"/>
                <w:szCs w:val="20"/>
              </w:rPr>
              <w:lastRenderedPageBreak/>
              <w:t>PROCESADORA DE BEBIDAS DE YUCATAN, SA DE CV.</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3,000,000.00</w:t>
            </w:r>
          </w:p>
        </w:tc>
      </w:tr>
      <w:tr w:rsidR="00A04969" w:rsidRPr="00866F44">
        <w:trPr>
          <w:divId w:val="1572734845"/>
          <w:tblCellSpacing w:w="15" w:type="dxa"/>
        </w:trPr>
        <w:tc>
          <w:tcPr>
            <w:tcW w:w="0" w:type="auto"/>
            <w:vAlign w:val="center"/>
            <w:hideMark/>
          </w:tcPr>
          <w:p w:rsidR="00A04969" w:rsidRPr="00866F44" w:rsidRDefault="00347F2A">
            <w:pPr>
              <w:divId w:val="1303273981"/>
              <w:rPr>
                <w:rFonts w:ascii="Lato" w:eastAsia="Times New Roman" w:hAnsi="Lato"/>
                <w:sz w:val="20"/>
                <w:szCs w:val="20"/>
              </w:rPr>
            </w:pPr>
            <w:r w:rsidRPr="00866F44">
              <w:rPr>
                <w:rStyle w:val="Textoennegrita"/>
                <w:rFonts w:ascii="Lato" w:eastAsia="Times New Roman" w:hAnsi="Lato"/>
                <w:color w:val="000000"/>
                <w:sz w:val="20"/>
                <w:szCs w:val="20"/>
              </w:rPr>
              <w:t>INVERSIONES EN FIDEICOMISOS Y FONDOS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572734845"/>
          <w:tblCellSpacing w:w="15" w:type="dxa"/>
        </w:trPr>
        <w:tc>
          <w:tcPr>
            <w:tcW w:w="0" w:type="auto"/>
            <w:vAlign w:val="center"/>
            <w:hideMark/>
          </w:tcPr>
          <w:p w:rsidR="00A04969" w:rsidRPr="00866F44" w:rsidRDefault="00347F2A">
            <w:pPr>
              <w:divId w:val="1251625466"/>
              <w:rPr>
                <w:rFonts w:ascii="Lato" w:eastAsia="Times New Roman" w:hAnsi="Lato"/>
                <w:color w:val="000000"/>
                <w:sz w:val="20"/>
                <w:szCs w:val="20"/>
              </w:rPr>
            </w:pPr>
            <w:r w:rsidRPr="00866F44">
              <w:rPr>
                <w:rFonts w:ascii="Lato" w:eastAsia="Times New Roman" w:hAnsi="Lato"/>
                <w:color w:val="000000"/>
                <w:sz w:val="20"/>
                <w:szCs w:val="20"/>
              </w:rPr>
              <w:t>FIDEICOMISO CONST-AUTOP.KANTUNIL-CANCUN</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87,531,686.00</w:t>
            </w:r>
          </w:p>
        </w:tc>
      </w:tr>
      <w:tr w:rsidR="00A04969" w:rsidRPr="00866F44">
        <w:trPr>
          <w:divId w:val="1572734845"/>
          <w:tblCellSpacing w:w="15" w:type="dxa"/>
        </w:trPr>
        <w:tc>
          <w:tcPr>
            <w:tcW w:w="0" w:type="auto"/>
            <w:vAlign w:val="center"/>
            <w:hideMark/>
          </w:tcPr>
          <w:p w:rsidR="00A04969" w:rsidRPr="00866F44" w:rsidRDefault="00347F2A">
            <w:pPr>
              <w:divId w:val="478694036"/>
              <w:rPr>
                <w:rFonts w:ascii="Lato" w:eastAsia="Times New Roman" w:hAnsi="Lato"/>
                <w:color w:val="000000"/>
                <w:sz w:val="20"/>
                <w:szCs w:val="20"/>
              </w:rPr>
            </w:pPr>
            <w:r w:rsidRPr="00866F44">
              <w:rPr>
                <w:rFonts w:ascii="Lato" w:eastAsia="Times New Roman" w:hAnsi="Lato"/>
                <w:color w:val="000000"/>
                <w:sz w:val="20"/>
                <w:szCs w:val="20"/>
              </w:rPr>
              <w:t>FONDO ESTATAL PARA EL FOMENTO DEL EMPLEO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14,802,000.00</w:t>
            </w:r>
          </w:p>
        </w:tc>
      </w:tr>
      <w:tr w:rsidR="00A04969" w:rsidRPr="00866F44">
        <w:trPr>
          <w:divId w:val="1572734845"/>
          <w:tblCellSpacing w:w="15" w:type="dxa"/>
        </w:trPr>
        <w:tc>
          <w:tcPr>
            <w:tcW w:w="0" w:type="auto"/>
            <w:vAlign w:val="center"/>
            <w:hideMark/>
          </w:tcPr>
          <w:p w:rsidR="00A04969" w:rsidRPr="00866F44" w:rsidRDefault="00347F2A">
            <w:pPr>
              <w:divId w:val="628587156"/>
              <w:rPr>
                <w:rFonts w:ascii="Lato" w:eastAsia="Times New Roman" w:hAnsi="Lato"/>
                <w:color w:val="000000"/>
                <w:sz w:val="20"/>
                <w:szCs w:val="20"/>
              </w:rPr>
            </w:pPr>
            <w:r w:rsidRPr="00866F44">
              <w:rPr>
                <w:rFonts w:ascii="Lato" w:eastAsia="Times New Roman" w:hAnsi="Lato"/>
                <w:color w:val="000000"/>
                <w:sz w:val="20"/>
                <w:szCs w:val="20"/>
              </w:rPr>
              <w:t>FONDO DE APOYO PRODUCTIVIDAD AGROP. DEL ESTADO DE YUCATAN</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11,695,336.26</w:t>
            </w:r>
          </w:p>
        </w:tc>
      </w:tr>
      <w:tr w:rsidR="00A04969" w:rsidRPr="00866F44">
        <w:trPr>
          <w:divId w:val="1572734845"/>
          <w:tblCellSpacing w:w="15" w:type="dxa"/>
        </w:trPr>
        <w:tc>
          <w:tcPr>
            <w:tcW w:w="0" w:type="auto"/>
            <w:vAlign w:val="center"/>
            <w:hideMark/>
          </w:tcPr>
          <w:p w:rsidR="00A04969" w:rsidRPr="00866F44" w:rsidRDefault="00347F2A">
            <w:pPr>
              <w:divId w:val="828448369"/>
              <w:rPr>
                <w:rFonts w:ascii="Lato" w:eastAsia="Times New Roman" w:hAnsi="Lato"/>
                <w:sz w:val="20"/>
                <w:szCs w:val="20"/>
              </w:rPr>
            </w:pPr>
            <w:r w:rsidRPr="00866F44">
              <w:rPr>
                <w:rStyle w:val="Textoennegrita"/>
                <w:rFonts w:ascii="Lato" w:eastAsia="Times New Roman" w:hAnsi="Lato"/>
                <w:color w:val="000000"/>
                <w:sz w:val="20"/>
                <w:szCs w:val="20"/>
              </w:rPr>
              <w:t>FIDEICOMISOS, MANDATOS Y CONTRATOS ANÁLOGOS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572734845"/>
          <w:tblCellSpacing w:w="15" w:type="dxa"/>
        </w:trPr>
        <w:tc>
          <w:tcPr>
            <w:tcW w:w="0" w:type="auto"/>
            <w:vAlign w:val="center"/>
            <w:hideMark/>
          </w:tcPr>
          <w:p w:rsidR="00A04969" w:rsidRPr="00866F44" w:rsidRDefault="00347F2A">
            <w:pPr>
              <w:divId w:val="1547838371"/>
              <w:rPr>
                <w:rFonts w:ascii="Lato" w:eastAsia="Times New Roman" w:hAnsi="Lato"/>
                <w:sz w:val="20"/>
                <w:szCs w:val="20"/>
              </w:rPr>
            </w:pPr>
            <w:r w:rsidRPr="00866F44">
              <w:rPr>
                <w:rStyle w:val="Textoennegrita"/>
                <w:rFonts w:ascii="Lato" w:eastAsia="Times New Roman" w:hAnsi="Lato"/>
                <w:color w:val="000000"/>
                <w:sz w:val="20"/>
                <w:szCs w:val="20"/>
              </w:rPr>
              <w:t>FIDEICOMISOS, MANDATOS Y CONTRATIOS ÁNALOGOS DEL PODER EJECUTIVO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572734845"/>
          <w:tblCellSpacing w:w="15" w:type="dxa"/>
        </w:trPr>
        <w:tc>
          <w:tcPr>
            <w:tcW w:w="0" w:type="auto"/>
            <w:vAlign w:val="center"/>
            <w:hideMark/>
          </w:tcPr>
          <w:p w:rsidR="00A04969" w:rsidRPr="00866F44" w:rsidRDefault="00347F2A">
            <w:pPr>
              <w:divId w:val="737825210"/>
              <w:rPr>
                <w:rFonts w:ascii="Lato" w:eastAsia="Times New Roman" w:hAnsi="Lato"/>
                <w:color w:val="000000"/>
                <w:sz w:val="20"/>
                <w:szCs w:val="20"/>
              </w:rPr>
            </w:pPr>
            <w:r w:rsidRPr="00866F44">
              <w:rPr>
                <w:rFonts w:ascii="Lato" w:eastAsia="Times New Roman" w:hAnsi="Lato"/>
                <w:color w:val="000000"/>
                <w:sz w:val="20"/>
                <w:szCs w:val="20"/>
              </w:rPr>
              <w:t>SECRETARIA DE DESARROLLO RURAL</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24,802,617.82</w:t>
            </w:r>
          </w:p>
        </w:tc>
      </w:tr>
      <w:tr w:rsidR="00A04969" w:rsidRPr="00866F44">
        <w:trPr>
          <w:divId w:val="1572734845"/>
          <w:tblCellSpacing w:w="15" w:type="dxa"/>
        </w:trPr>
        <w:tc>
          <w:tcPr>
            <w:tcW w:w="0" w:type="auto"/>
            <w:vAlign w:val="center"/>
            <w:hideMark/>
          </w:tcPr>
          <w:p w:rsidR="00A04969" w:rsidRPr="00866F44" w:rsidRDefault="00347F2A">
            <w:pPr>
              <w:divId w:val="1882934729"/>
              <w:rPr>
                <w:rFonts w:ascii="Lato" w:eastAsia="Times New Roman" w:hAnsi="Lato"/>
                <w:color w:val="000000"/>
                <w:sz w:val="20"/>
                <w:szCs w:val="20"/>
              </w:rPr>
            </w:pPr>
            <w:r w:rsidRPr="00866F44">
              <w:rPr>
                <w:rFonts w:ascii="Lato" w:eastAsia="Times New Roman" w:hAnsi="Lato"/>
                <w:color w:val="000000"/>
                <w:sz w:val="20"/>
                <w:szCs w:val="20"/>
              </w:rPr>
              <w:t>SECRETARIA DE FOMENTO ECONOMICO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76,779,949.99</w:t>
            </w:r>
          </w:p>
        </w:tc>
      </w:tr>
      <w:tr w:rsidR="00A04969" w:rsidRPr="00866F44">
        <w:trPr>
          <w:divId w:val="1572734845"/>
          <w:tblCellSpacing w:w="15" w:type="dxa"/>
        </w:trPr>
        <w:tc>
          <w:tcPr>
            <w:tcW w:w="0" w:type="auto"/>
            <w:vAlign w:val="center"/>
            <w:hideMark/>
          </w:tcPr>
          <w:p w:rsidR="00A04969" w:rsidRPr="00866F44" w:rsidRDefault="00347F2A">
            <w:pPr>
              <w:divId w:val="1143814879"/>
              <w:rPr>
                <w:rFonts w:ascii="Lato" w:eastAsia="Times New Roman" w:hAnsi="Lato"/>
                <w:color w:val="000000"/>
                <w:sz w:val="20"/>
                <w:szCs w:val="20"/>
              </w:rPr>
            </w:pPr>
            <w:r w:rsidRPr="00866F44">
              <w:rPr>
                <w:rFonts w:ascii="Lato" w:eastAsia="Times New Roman" w:hAnsi="Lato"/>
                <w:color w:val="000000"/>
                <w:sz w:val="20"/>
                <w:szCs w:val="20"/>
              </w:rPr>
              <w:t>SECRETARIA DE FOMENTO TURISTICO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95,991,107.50</w:t>
            </w:r>
          </w:p>
        </w:tc>
      </w:tr>
      <w:tr w:rsidR="00A04969" w:rsidRPr="00866F44">
        <w:trPr>
          <w:divId w:val="1572734845"/>
          <w:tblCellSpacing w:w="15" w:type="dxa"/>
        </w:trPr>
        <w:tc>
          <w:tcPr>
            <w:tcW w:w="0" w:type="auto"/>
            <w:vAlign w:val="center"/>
            <w:hideMark/>
          </w:tcPr>
          <w:p w:rsidR="00A04969" w:rsidRPr="00866F44" w:rsidRDefault="00347F2A">
            <w:pPr>
              <w:divId w:val="360936038"/>
              <w:rPr>
                <w:rFonts w:ascii="Lato" w:eastAsia="Times New Roman" w:hAnsi="Lato"/>
                <w:color w:val="000000"/>
                <w:sz w:val="20"/>
                <w:szCs w:val="20"/>
              </w:rPr>
            </w:pPr>
            <w:r w:rsidRPr="00866F44">
              <w:rPr>
                <w:rFonts w:ascii="Lato" w:eastAsia="Times New Roman" w:hAnsi="Lato"/>
                <w:color w:val="000000"/>
                <w:sz w:val="20"/>
                <w:szCs w:val="20"/>
              </w:rPr>
              <w:t>SECRETARIA DE DESARROLLO SUSTENTABLE</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754,485,978.55</w:t>
            </w:r>
          </w:p>
        </w:tc>
      </w:tr>
      <w:tr w:rsidR="00A04969" w:rsidRPr="00866F44">
        <w:trPr>
          <w:divId w:val="1572734845"/>
          <w:tblCellSpacing w:w="15" w:type="dxa"/>
        </w:trPr>
        <w:tc>
          <w:tcPr>
            <w:tcW w:w="0" w:type="auto"/>
            <w:vAlign w:val="center"/>
            <w:hideMark/>
          </w:tcPr>
          <w:p w:rsidR="00A04969" w:rsidRPr="00866F44" w:rsidRDefault="00347F2A">
            <w:pPr>
              <w:divId w:val="1312834421"/>
              <w:rPr>
                <w:rFonts w:ascii="Lato" w:eastAsia="Times New Roman" w:hAnsi="Lato"/>
                <w:color w:val="000000"/>
                <w:sz w:val="20"/>
                <w:szCs w:val="20"/>
              </w:rPr>
            </w:pPr>
            <w:r w:rsidRPr="00866F44">
              <w:rPr>
                <w:rFonts w:ascii="Lato" w:eastAsia="Times New Roman" w:hAnsi="Lato"/>
                <w:color w:val="000000"/>
                <w:sz w:val="20"/>
                <w:szCs w:val="20"/>
              </w:rPr>
              <w:t>SECRETARIA GENERAL DE GOBIERNO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15,733,551.02</w:t>
            </w:r>
          </w:p>
        </w:tc>
      </w:tr>
      <w:tr w:rsidR="00A04969" w:rsidRPr="00866F44">
        <w:trPr>
          <w:divId w:val="1572734845"/>
          <w:tblCellSpacing w:w="15" w:type="dxa"/>
        </w:trPr>
        <w:tc>
          <w:tcPr>
            <w:tcW w:w="0" w:type="auto"/>
            <w:vAlign w:val="center"/>
            <w:hideMark/>
          </w:tcPr>
          <w:p w:rsidR="00A04969" w:rsidRPr="00866F44" w:rsidRDefault="00347F2A">
            <w:pPr>
              <w:divId w:val="2113893285"/>
              <w:rPr>
                <w:rFonts w:ascii="Lato" w:eastAsia="Times New Roman" w:hAnsi="Lato"/>
                <w:color w:val="000000"/>
                <w:sz w:val="20"/>
                <w:szCs w:val="20"/>
              </w:rPr>
            </w:pPr>
            <w:r w:rsidRPr="00866F44">
              <w:rPr>
                <w:rFonts w:ascii="Lato" w:eastAsia="Times New Roman" w:hAnsi="Lato"/>
                <w:color w:val="000000"/>
                <w:sz w:val="20"/>
                <w:szCs w:val="20"/>
              </w:rPr>
              <w:t>SECRETARIA DE ADMINISTRACIÓN Y FINANZAS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362,067,197.98</w:t>
            </w:r>
          </w:p>
        </w:tc>
      </w:tr>
      <w:tr w:rsidR="00A04969" w:rsidRPr="00866F44">
        <w:trPr>
          <w:divId w:val="1572734845"/>
          <w:tblCellSpacing w:w="15" w:type="dxa"/>
        </w:trPr>
        <w:tc>
          <w:tcPr>
            <w:tcW w:w="0" w:type="auto"/>
            <w:vAlign w:val="center"/>
            <w:hideMark/>
          </w:tcPr>
          <w:p w:rsidR="00A04969" w:rsidRPr="00866F44" w:rsidRDefault="00347F2A">
            <w:pPr>
              <w:divId w:val="838620972"/>
              <w:rPr>
                <w:rFonts w:ascii="Lato" w:eastAsia="Times New Roman" w:hAnsi="Lato"/>
                <w:color w:val="000000"/>
                <w:sz w:val="20"/>
                <w:szCs w:val="20"/>
              </w:rPr>
            </w:pPr>
            <w:r w:rsidRPr="00866F44">
              <w:rPr>
                <w:rFonts w:ascii="Lato" w:eastAsia="Times New Roman" w:hAnsi="Lato"/>
                <w:color w:val="000000"/>
                <w:sz w:val="20"/>
                <w:szCs w:val="20"/>
              </w:rPr>
              <w:t>SECRETARIA DE OBRAS PUBLICAS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30,635,764.01</w:t>
            </w:r>
          </w:p>
        </w:tc>
      </w:tr>
      <w:tr w:rsidR="00A04969" w:rsidRPr="00866F44">
        <w:trPr>
          <w:divId w:val="1572734845"/>
          <w:tblCellSpacing w:w="15" w:type="dxa"/>
        </w:trPr>
        <w:tc>
          <w:tcPr>
            <w:tcW w:w="0" w:type="auto"/>
            <w:vAlign w:val="center"/>
            <w:hideMark/>
          </w:tcPr>
          <w:p w:rsidR="00A04969" w:rsidRPr="00866F44" w:rsidRDefault="00347F2A">
            <w:pPr>
              <w:divId w:val="1340739826"/>
              <w:rPr>
                <w:rFonts w:ascii="Lato" w:eastAsia="Times New Roman" w:hAnsi="Lato"/>
                <w:color w:val="000000"/>
                <w:sz w:val="20"/>
                <w:szCs w:val="20"/>
              </w:rPr>
            </w:pPr>
            <w:r w:rsidRPr="00866F44">
              <w:rPr>
                <w:rFonts w:ascii="Lato" w:eastAsia="Times New Roman" w:hAnsi="Lato"/>
                <w:color w:val="000000"/>
                <w:sz w:val="20"/>
                <w:szCs w:val="20"/>
              </w:rPr>
              <w:t>SECRETARIA DE SEGURIDAD PUBLICA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10,934,635.31</w:t>
            </w:r>
          </w:p>
        </w:tc>
      </w:tr>
      <w:tr w:rsidR="00A04969" w:rsidRPr="00866F44">
        <w:trPr>
          <w:divId w:val="1572734845"/>
          <w:tblCellSpacing w:w="15" w:type="dxa"/>
        </w:trPr>
        <w:tc>
          <w:tcPr>
            <w:tcW w:w="0" w:type="auto"/>
            <w:vAlign w:val="center"/>
            <w:hideMark/>
          </w:tcPr>
          <w:p w:rsidR="00A04969" w:rsidRPr="00866F44" w:rsidRDefault="00347F2A">
            <w:pPr>
              <w:divId w:val="813449477"/>
              <w:rPr>
                <w:rFonts w:ascii="Lato" w:eastAsia="Times New Roman" w:hAnsi="Lato"/>
                <w:color w:val="000000"/>
                <w:sz w:val="20"/>
                <w:szCs w:val="20"/>
              </w:rPr>
            </w:pPr>
            <w:r w:rsidRPr="00866F44">
              <w:rPr>
                <w:rFonts w:ascii="Lato" w:eastAsia="Times New Roman" w:hAnsi="Lato"/>
                <w:color w:val="000000"/>
                <w:sz w:val="20"/>
                <w:szCs w:val="20"/>
              </w:rPr>
              <w:t>SECRETARIA DE EDUCACIÓN</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30,799,906.89</w:t>
            </w:r>
          </w:p>
        </w:tc>
      </w:tr>
      <w:tr w:rsidR="00A04969" w:rsidRPr="00866F44">
        <w:trPr>
          <w:divId w:val="1572734845"/>
          <w:tblCellSpacing w:w="15" w:type="dxa"/>
        </w:trPr>
        <w:tc>
          <w:tcPr>
            <w:tcW w:w="0" w:type="auto"/>
            <w:vAlign w:val="center"/>
            <w:hideMark/>
          </w:tcPr>
          <w:p w:rsidR="00A04969" w:rsidRPr="00866F44" w:rsidRDefault="00347F2A">
            <w:pPr>
              <w:divId w:val="85267646"/>
              <w:rPr>
                <w:rFonts w:ascii="Lato" w:eastAsia="Times New Roman" w:hAnsi="Lato"/>
                <w:color w:val="000000"/>
                <w:sz w:val="20"/>
                <w:szCs w:val="20"/>
              </w:rPr>
            </w:pPr>
            <w:r w:rsidRPr="00866F44">
              <w:rPr>
                <w:rFonts w:ascii="Lato" w:eastAsia="Times New Roman" w:hAnsi="Lato"/>
                <w:color w:val="000000"/>
                <w:sz w:val="20"/>
                <w:szCs w:val="20"/>
              </w:rPr>
              <w:t>PERIODO 2022</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206.64</w:t>
            </w:r>
          </w:p>
        </w:tc>
      </w:tr>
      <w:tr w:rsidR="00A04969" w:rsidRPr="00866F44">
        <w:trPr>
          <w:divId w:val="1572734845"/>
          <w:tblCellSpacing w:w="15" w:type="dxa"/>
        </w:trPr>
        <w:tc>
          <w:tcPr>
            <w:tcW w:w="0" w:type="auto"/>
            <w:vAlign w:val="center"/>
            <w:hideMark/>
          </w:tcPr>
          <w:p w:rsidR="00A04969" w:rsidRPr="00866F44" w:rsidRDefault="00347F2A">
            <w:pPr>
              <w:divId w:val="1353995502"/>
              <w:rPr>
                <w:rFonts w:ascii="Lato" w:eastAsia="Times New Roman" w:hAnsi="Lato"/>
                <w:sz w:val="20"/>
                <w:szCs w:val="20"/>
              </w:rPr>
            </w:pPr>
            <w:r w:rsidRPr="00866F44">
              <w:rPr>
                <w:rStyle w:val="Textoennegrita"/>
                <w:rFonts w:ascii="Lato" w:eastAsia="Times New Roman" w:hAnsi="Lato"/>
                <w:color w:val="000000"/>
                <w:sz w:val="20"/>
                <w:szCs w:val="20"/>
              </w:rPr>
              <w:lastRenderedPageBreak/>
              <w:t>FIDEICOMISOS, MANDATOS Y CONTRATOS ANALOGOS PÚBLICOS NO EMPRESARIALES Y NO FINANCIEROS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572734845"/>
          <w:tblCellSpacing w:w="15" w:type="dxa"/>
        </w:trPr>
        <w:tc>
          <w:tcPr>
            <w:tcW w:w="0" w:type="auto"/>
            <w:vAlign w:val="center"/>
            <w:hideMark/>
          </w:tcPr>
          <w:p w:rsidR="00A04969" w:rsidRPr="00866F44" w:rsidRDefault="00347F2A">
            <w:pPr>
              <w:divId w:val="1561134324"/>
              <w:rPr>
                <w:rFonts w:ascii="Lato" w:eastAsia="Times New Roman" w:hAnsi="Lato"/>
                <w:color w:val="000000"/>
                <w:sz w:val="20"/>
                <w:szCs w:val="20"/>
              </w:rPr>
            </w:pPr>
            <w:r w:rsidRPr="00866F44">
              <w:rPr>
                <w:rFonts w:ascii="Lato" w:eastAsia="Times New Roman" w:hAnsi="Lato"/>
                <w:color w:val="000000"/>
                <w:sz w:val="20"/>
                <w:szCs w:val="20"/>
              </w:rPr>
              <w:t>INSTITUTO DE PROCEDIMIENTOS ELECTORALES Y PARTICIPACIÓN CIUDADANA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6,502,801.56</w:t>
            </w:r>
          </w:p>
        </w:tc>
      </w:tr>
      <w:tr w:rsidR="00A04969" w:rsidRPr="00866F44">
        <w:trPr>
          <w:divId w:val="1572734845"/>
          <w:tblCellSpacing w:w="15" w:type="dxa"/>
        </w:trPr>
        <w:tc>
          <w:tcPr>
            <w:tcW w:w="0" w:type="auto"/>
            <w:vAlign w:val="center"/>
            <w:hideMark/>
          </w:tcPr>
          <w:p w:rsidR="00A04969" w:rsidRPr="00866F44" w:rsidRDefault="00347F2A">
            <w:pPr>
              <w:divId w:val="519858226"/>
              <w:rPr>
                <w:rFonts w:ascii="Lato" w:eastAsia="Times New Roman" w:hAnsi="Lato"/>
                <w:color w:val="000000"/>
                <w:sz w:val="20"/>
                <w:szCs w:val="20"/>
              </w:rPr>
            </w:pPr>
            <w:r w:rsidRPr="00866F44">
              <w:rPr>
                <w:rFonts w:ascii="Lato" w:eastAsia="Times New Roman" w:hAnsi="Lato"/>
                <w:color w:val="000000"/>
                <w:sz w:val="20"/>
                <w:szCs w:val="20"/>
              </w:rPr>
              <w:t>UNIVERSIDAD AUTÓNOMA DE YUCATÁN</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326,352.09</w:t>
            </w:r>
          </w:p>
        </w:tc>
      </w:tr>
      <w:tr w:rsidR="00A04969" w:rsidRPr="00866F44">
        <w:trPr>
          <w:divId w:val="1572734845"/>
          <w:tblCellSpacing w:w="15" w:type="dxa"/>
        </w:trPr>
        <w:tc>
          <w:tcPr>
            <w:tcW w:w="0" w:type="auto"/>
            <w:vAlign w:val="center"/>
            <w:hideMark/>
          </w:tcPr>
          <w:p w:rsidR="00A04969" w:rsidRPr="00866F44" w:rsidRDefault="00347F2A">
            <w:pPr>
              <w:divId w:val="1657610046"/>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1,526,542,840.54</w:t>
            </w:r>
          </w:p>
        </w:tc>
      </w:tr>
    </w:tbl>
    <w:p w:rsidR="00A04969" w:rsidRPr="00866F44" w:rsidRDefault="00347F2A">
      <w:pPr>
        <w:divId w:val="1646356795"/>
        <w:rPr>
          <w:rFonts w:ascii="Lato" w:eastAsia="Times New Roman" w:hAnsi="Lato"/>
          <w:sz w:val="20"/>
          <w:szCs w:val="20"/>
        </w:rPr>
      </w:pPr>
      <w:r w:rsidRPr="00866F44">
        <w:rPr>
          <w:rFonts w:ascii="Lato" w:eastAsia="Times New Roman" w:hAnsi="Lato"/>
          <w:sz w:val="20"/>
          <w:szCs w:val="20"/>
        </w:rPr>
        <w:t>7.- El saldo del rubro de Participaciones y aportaciones de capital:</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83"/>
        <w:gridCol w:w="1493"/>
      </w:tblGrid>
      <w:tr w:rsidR="00A04969" w:rsidRPr="00866F44">
        <w:trPr>
          <w:divId w:val="1167593327"/>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PARTICIPACIONES Y APORTACIONES DE CAPITAL</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167593327"/>
          <w:tblCellSpacing w:w="15" w:type="dxa"/>
        </w:trPr>
        <w:tc>
          <w:tcPr>
            <w:tcW w:w="0" w:type="auto"/>
            <w:vAlign w:val="center"/>
            <w:hideMark/>
          </w:tcPr>
          <w:p w:rsidR="00A04969" w:rsidRPr="00866F44" w:rsidRDefault="00347F2A">
            <w:pPr>
              <w:divId w:val="1993099465"/>
              <w:rPr>
                <w:rFonts w:ascii="Lato" w:eastAsia="Times New Roman" w:hAnsi="Lato"/>
                <w:color w:val="000000"/>
                <w:sz w:val="20"/>
                <w:szCs w:val="20"/>
              </w:rPr>
            </w:pPr>
            <w:r w:rsidRPr="00866F44">
              <w:rPr>
                <w:rFonts w:ascii="Lato" w:eastAsia="Times New Roman" w:hAnsi="Lato"/>
                <w:color w:val="000000"/>
                <w:sz w:val="20"/>
                <w:szCs w:val="20"/>
              </w:rPr>
              <w:t>PARTICIPACIONES Y APORTACIONES DE CAPITAL A LP EN EL SECTOR PÚBLICO</w:t>
            </w:r>
          </w:p>
        </w:tc>
        <w:tc>
          <w:tcPr>
            <w:tcW w:w="0" w:type="auto"/>
            <w:vAlign w:val="center"/>
            <w:hideMark/>
          </w:tcPr>
          <w:p w:rsidR="00A04969" w:rsidRPr="00866F44" w:rsidRDefault="003D2545">
            <w:pPr>
              <w:jc w:val="right"/>
              <w:rPr>
                <w:rFonts w:ascii="Lato" w:eastAsia="Times New Roman" w:hAnsi="Lato"/>
                <w:sz w:val="20"/>
                <w:szCs w:val="20"/>
              </w:rPr>
            </w:pPr>
            <w:r w:rsidRPr="00866F44">
              <w:rPr>
                <w:rFonts w:ascii="Lato" w:eastAsia="Times New Roman" w:hAnsi="Lato"/>
                <w:color w:val="000000"/>
                <w:sz w:val="20"/>
                <w:szCs w:val="20"/>
              </w:rPr>
              <w:t>427,839,226.00</w:t>
            </w:r>
          </w:p>
        </w:tc>
      </w:tr>
      <w:tr w:rsidR="00A04969" w:rsidRPr="00866F44">
        <w:trPr>
          <w:divId w:val="1167593327"/>
          <w:tblCellSpacing w:w="15" w:type="dxa"/>
        </w:trPr>
        <w:tc>
          <w:tcPr>
            <w:tcW w:w="0" w:type="auto"/>
            <w:vAlign w:val="center"/>
            <w:hideMark/>
          </w:tcPr>
          <w:p w:rsidR="00A04969" w:rsidRPr="00866F44" w:rsidRDefault="00347F2A">
            <w:pPr>
              <w:divId w:val="1930773240"/>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D2545">
            <w:pPr>
              <w:jc w:val="right"/>
              <w:rPr>
                <w:rFonts w:ascii="Lato" w:eastAsia="Times New Roman" w:hAnsi="Lato"/>
                <w:sz w:val="20"/>
                <w:szCs w:val="20"/>
              </w:rPr>
            </w:pPr>
            <w:r w:rsidRPr="00866F44">
              <w:rPr>
                <w:rStyle w:val="Textoennegrita"/>
                <w:rFonts w:ascii="Lato" w:eastAsia="Times New Roman" w:hAnsi="Lato"/>
                <w:color w:val="000000"/>
                <w:sz w:val="20"/>
                <w:szCs w:val="20"/>
              </w:rPr>
              <w:t>427,839,226.00</w:t>
            </w:r>
          </w:p>
        </w:tc>
      </w:tr>
    </w:tbl>
    <w:p w:rsidR="00A04969" w:rsidRPr="00866F44" w:rsidRDefault="00A04969">
      <w:pPr>
        <w:divId w:val="529413797"/>
        <w:rPr>
          <w:rFonts w:ascii="Lato" w:eastAsia="Times New Roman" w:hAnsi="Lato"/>
          <w:sz w:val="20"/>
          <w:szCs w:val="20"/>
        </w:rPr>
      </w:pPr>
    </w:p>
    <w:p w:rsidR="00A04969" w:rsidRPr="00866F44" w:rsidRDefault="00347F2A">
      <w:pPr>
        <w:divId w:val="1998997700"/>
        <w:rPr>
          <w:rFonts w:ascii="Lato" w:eastAsia="Times New Roman" w:hAnsi="Lato"/>
          <w:sz w:val="20"/>
          <w:szCs w:val="20"/>
        </w:rPr>
      </w:pPr>
      <w:r w:rsidRPr="00866F44">
        <w:rPr>
          <w:rFonts w:ascii="Lato" w:eastAsia="Times New Roman" w:hAnsi="Lato"/>
          <w:sz w:val="20"/>
          <w:szCs w:val="20"/>
        </w:rPr>
        <w:t>8.- El saldo del rubro Bienes muebles e inmuebles que figura en el Estado de situación financiera, se integra como sigue:</w:t>
      </w:r>
    </w:p>
    <w:p w:rsidR="00523185" w:rsidRPr="00866F44" w:rsidRDefault="00523185">
      <w:pPr>
        <w:divId w:val="1998997700"/>
        <w:rPr>
          <w:rFonts w:ascii="Lato" w:eastAsia="Times New Roman" w:hAnsi="Lato"/>
          <w:sz w:val="20"/>
          <w:szCs w:val="20"/>
        </w:rPr>
      </w:pPr>
    </w:p>
    <w:tbl>
      <w:tblPr>
        <w:tblW w:w="11660" w:type="dxa"/>
        <w:tblCellMar>
          <w:left w:w="70" w:type="dxa"/>
          <w:right w:w="70" w:type="dxa"/>
        </w:tblCellMar>
        <w:tblLook w:val="04A0" w:firstRow="1" w:lastRow="0" w:firstColumn="1" w:lastColumn="0" w:noHBand="0" w:noVBand="1"/>
      </w:tblPr>
      <w:tblGrid>
        <w:gridCol w:w="5380"/>
        <w:gridCol w:w="2020"/>
        <w:gridCol w:w="2300"/>
        <w:gridCol w:w="1960"/>
      </w:tblGrid>
      <w:tr w:rsidR="008205B7" w:rsidRPr="00866F44" w:rsidTr="008205B7">
        <w:trPr>
          <w:divId w:val="1998997700"/>
          <w:trHeight w:val="51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BIENES MUEBLES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IMPORTE</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DEPRECIACIÓN DEL EJERCICIO</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DEPRECIACIÓN ACUMULADA</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MOBILIARIO Y EQUIPO DE ADMINISTRACIÓN</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MUEBLES DE OFICINA Y ESTANTERÍA</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512,679,053.13</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6,294,287.22</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96,213,728.64</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MUEBLES, EXCEPTO DE OFICINA Y ESTANTERÍA</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11,149,146.18</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654,007.84</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5,605,298.01</w:t>
            </w:r>
          </w:p>
        </w:tc>
      </w:tr>
      <w:tr w:rsidR="008205B7" w:rsidRPr="00866F44" w:rsidTr="008205B7">
        <w:trPr>
          <w:divId w:val="1998997700"/>
          <w:trHeight w:val="51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EQUIPO DE CÓMPUTO Y DE TECNOLOGÍAS DE LA INFORMACIÓN</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874,687,754.40</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71,720,240.02</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551,953,197.78</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OTROS MOBILIARIOS Y EQUIPOS DE ADMINISTRACIÓN</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80,930,231.99</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2,239,909.14</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28,010,070.35</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MOBILIARIO Y EQUIPO EDUCACIONAL Y RECREATIVO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lastRenderedPageBreak/>
              <w:t>EQUIPOS Y APARATOS AUDIOVISUALES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428,139,665.68</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50,113,543.98</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229,965,966.70</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APARATOS DEPORTIVOS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1,487,941.48</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14,366.97</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1,272,316.38</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CÁMARAS FOTOGRÁFICAS Y DE VIDEO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31,870,725.97</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1,411,958.26</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27,182,538.43</w:t>
            </w:r>
          </w:p>
        </w:tc>
      </w:tr>
      <w:tr w:rsidR="008205B7" w:rsidRPr="00866F44" w:rsidTr="008205B7">
        <w:trPr>
          <w:divId w:val="1998997700"/>
          <w:trHeight w:val="48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OTRO MOBILIARIO Y EQUIPO EDUCACIONAL Y RECREATIVO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60,040,182.52</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4,362,843.38</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33,477,166.46</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EQUIPO E INSTRUMENTAL MÉDICO Y DE LABORATORIO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EQUIPO MÉDICO Y DE LABORATORIO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35,003,672.91</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3,059,040.07</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22,507,640.20</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INSTRUMENTAL MÉDICO Y DE LABORATORIO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8,363,383.69</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544,079.45</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6,278,846.83</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VEHÍCULOS Y EQUIPO DE TRANSPORTE</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VEHÍCULOS Y EQUIPO DE TERRESTRE</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577,606,360.86</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9,819,744.28</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462,414,429.19</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CARROCERÍAS Y REMOLQUES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23,848,586.75</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473,835.64</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22,569,655.36</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EQUIPO AEROESPACIAL</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17,767,074.16</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22,967.96</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17,620,653.12</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EQUIPO FERROVIARIO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EMBARCACIONES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85,023,283.04</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5,773,172.92</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40,826,187.35</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OTROS EQUIPOS DE TRANSPORTE</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83,810,298.24</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8,748,945.63</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41,165,002.43</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EQUIPO DE DEFENSA Y SEGURIDAD</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63,870,994.38</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6,042,787.27</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42,621,029.59</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MAQUINARIA, OTROS EQUIPOS Y HERRAMIENTAS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MAQUINARIA Y EQUIPO AGROPECUARIO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5,848,007.22</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318,129.28</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1,307,061.76</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MAQUINARIA Y EQUIPO INDUSTRIAL</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19,417,776.29</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853,942.48</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10,976,329.74</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MAQUINARIA Y EQUIPO DE CONSTRUCCIÓN</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2,684,459.06</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4,100.58</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2,480,962.77</w:t>
            </w:r>
          </w:p>
        </w:tc>
      </w:tr>
      <w:tr w:rsidR="008205B7" w:rsidRPr="00866F44" w:rsidTr="008205B7">
        <w:trPr>
          <w:divId w:val="1998997700"/>
          <w:trHeight w:val="51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SISTEMAS DE AIRE ACONDICIONADO, CALEFACCIÓN Y DE REFRIGERACIÓN INDUSTRIAL Y COMERCIAL</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68,605,554.04</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2,112,573.22</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18,879,847.52</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EQUIPO DE COMUNICACIÓN Y TELECOMUNICACIÓN</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112,015,083.29</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5,499,917.69</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75,855,316.48</w:t>
            </w:r>
          </w:p>
        </w:tc>
      </w:tr>
      <w:tr w:rsidR="008205B7" w:rsidRPr="00866F44" w:rsidTr="008205B7">
        <w:trPr>
          <w:divId w:val="1998997700"/>
          <w:trHeight w:val="51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EQUIPOS DE GENERACIÓN ELÉCTRICA, APARATOS Y ACCESORIOS ELÉCTRICOS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67,364,175.21</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3,493,995.27</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26,713,337.05</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HERRAMIENTAS Y MÁQUINAS-HERRAMIENTA</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26,779,363.84</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1,078,675.10</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3,608,142.83</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OTROS EQUIPOS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28,771,271.76</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1,729,208.97</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12,727,517.69</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COLECCIONES, OBRAS DE ARTE Y OBJETOS VALIOSOS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BIENES ARTÍSTICOS, CULTURALES Y CIENTÍFICOS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22,492,137.74</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87,126.06</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75,974.58</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lastRenderedPageBreak/>
              <w:t>OBJETOS DE VALOR</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7,107,421.95</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18,595.35</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18,551.19</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ACTIVOS BIOLÓGICOS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Times New Roman"/>
                <w:sz w:val="20"/>
                <w:szCs w:val="20"/>
              </w:rPr>
            </w:pP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OVINOS Y CAPRINOS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PECES Y ACUICULTURA</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9,960.00</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166.00</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166.00</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ESPECIES MENORES Y DE ZOOLÓGICO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1,140,280.00</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9,144.66</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9,144.66</w:t>
            </w:r>
          </w:p>
        </w:tc>
      </w:tr>
      <w:tr w:rsidR="008205B7" w:rsidRPr="00866F44" w:rsidTr="008205B7">
        <w:trPr>
          <w:divId w:val="1998997700"/>
          <w:trHeight w:val="315"/>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TOTAL</w:t>
            </w:r>
          </w:p>
        </w:tc>
        <w:tc>
          <w:tcPr>
            <w:tcW w:w="2020" w:type="dxa"/>
            <w:tcBorders>
              <w:top w:val="single" w:sz="4" w:space="0" w:color="auto"/>
              <w:left w:val="nil"/>
              <w:bottom w:val="single" w:sz="8" w:space="0" w:color="auto"/>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3,258,513,845.78</w:t>
            </w:r>
          </w:p>
        </w:tc>
        <w:tc>
          <w:tcPr>
            <w:tcW w:w="2300" w:type="dxa"/>
            <w:tcBorders>
              <w:top w:val="single" w:sz="4" w:space="0" w:color="auto"/>
              <w:left w:val="nil"/>
              <w:bottom w:val="single" w:sz="8" w:space="0" w:color="auto"/>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186,501,304.69</w:t>
            </w:r>
          </w:p>
        </w:tc>
        <w:tc>
          <w:tcPr>
            <w:tcW w:w="1960" w:type="dxa"/>
            <w:tcBorders>
              <w:top w:val="single" w:sz="4" w:space="0" w:color="auto"/>
              <w:left w:val="nil"/>
              <w:bottom w:val="single" w:sz="8" w:space="0" w:color="auto"/>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1,782,336,079.09</w:t>
            </w:r>
          </w:p>
        </w:tc>
      </w:tr>
    </w:tbl>
    <w:p w:rsidR="008205B7" w:rsidRPr="00866F44" w:rsidRDefault="008205B7">
      <w:pPr>
        <w:divId w:val="1998997700"/>
        <w:rPr>
          <w:rFonts w:ascii="Lato" w:eastAsia="Times New Roman" w:hAnsi="Lato"/>
          <w:sz w:val="20"/>
          <w:szCs w:val="20"/>
        </w:rPr>
      </w:pPr>
    </w:p>
    <w:tbl>
      <w:tblPr>
        <w:tblW w:w="11660" w:type="dxa"/>
        <w:tblCellMar>
          <w:left w:w="70" w:type="dxa"/>
          <w:right w:w="70" w:type="dxa"/>
        </w:tblCellMar>
        <w:tblLook w:val="04A0" w:firstRow="1" w:lastRow="0" w:firstColumn="1" w:lastColumn="0" w:noHBand="0" w:noVBand="1"/>
      </w:tblPr>
      <w:tblGrid>
        <w:gridCol w:w="5380"/>
        <w:gridCol w:w="2020"/>
        <w:gridCol w:w="2300"/>
        <w:gridCol w:w="1960"/>
      </w:tblGrid>
      <w:tr w:rsidR="008205B7" w:rsidRPr="00866F44" w:rsidTr="008205B7">
        <w:trPr>
          <w:divId w:val="1998997700"/>
          <w:trHeight w:val="51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BIENES INMUEBLES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IMPORTE</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DEPRECIACIÓN DEL EJERCICIO</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DEPRECICIACIÓN ACUMULADA</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TERRENOS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3,920,502,925.35</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VIVIENDAS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7,377,529.82</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1,449.73</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5,177.59</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EDIFICIOS NO HABITACIONALES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2,036,503,073.42</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71,000,871.75</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1,303,798,364.14</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INFRAESTRUCTURA</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66,320,664.92</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r>
      <w:tr w:rsidR="008205B7" w:rsidRPr="00866F44" w:rsidTr="008205B7">
        <w:trPr>
          <w:divId w:val="1998997700"/>
          <w:trHeight w:val="51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CONSTRUCCIONES EN PROCESO EN BIENES DE DOMINIO PÚBLICO</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334,377,429.87</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r>
      <w:tr w:rsidR="008205B7" w:rsidRPr="00866F44" w:rsidTr="008205B7">
        <w:trPr>
          <w:divId w:val="1998997700"/>
          <w:trHeight w:val="300"/>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CONSTRUCCIONES EN PROCESO EN BIENES PROPIOS</w:t>
            </w:r>
          </w:p>
        </w:tc>
        <w:tc>
          <w:tcPr>
            <w:tcW w:w="202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230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196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r>
      <w:tr w:rsidR="008205B7" w:rsidRPr="00866F44" w:rsidTr="008205B7">
        <w:trPr>
          <w:divId w:val="1998997700"/>
          <w:trHeight w:val="315"/>
        </w:trPr>
        <w:tc>
          <w:tcPr>
            <w:tcW w:w="5380" w:type="dxa"/>
            <w:tcBorders>
              <w:top w:val="nil"/>
              <w:left w:val="nil"/>
              <w:bottom w:val="nil"/>
              <w:right w:val="nil"/>
            </w:tcBorders>
            <w:shd w:val="clear" w:color="auto" w:fill="auto"/>
            <w:vAlign w:val="center"/>
            <w:hideMark/>
          </w:tcPr>
          <w:p w:rsidR="008205B7" w:rsidRPr="00866F44" w:rsidRDefault="008205B7" w:rsidP="008205B7">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TOTAL</w:t>
            </w:r>
          </w:p>
        </w:tc>
        <w:tc>
          <w:tcPr>
            <w:tcW w:w="2020" w:type="dxa"/>
            <w:tcBorders>
              <w:top w:val="single" w:sz="4" w:space="0" w:color="auto"/>
              <w:left w:val="nil"/>
              <w:bottom w:val="single" w:sz="8" w:space="0" w:color="auto"/>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6,365,081,623.38</w:t>
            </w:r>
          </w:p>
        </w:tc>
        <w:tc>
          <w:tcPr>
            <w:tcW w:w="2300" w:type="dxa"/>
            <w:tcBorders>
              <w:top w:val="single" w:sz="4" w:space="0" w:color="auto"/>
              <w:left w:val="nil"/>
              <w:bottom w:val="single" w:sz="8" w:space="0" w:color="auto"/>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71,002,321.48</w:t>
            </w:r>
          </w:p>
        </w:tc>
        <w:tc>
          <w:tcPr>
            <w:tcW w:w="1960" w:type="dxa"/>
            <w:tcBorders>
              <w:top w:val="single" w:sz="4" w:space="0" w:color="auto"/>
              <w:left w:val="nil"/>
              <w:bottom w:val="single" w:sz="8" w:space="0" w:color="auto"/>
              <w:right w:val="nil"/>
            </w:tcBorders>
            <w:shd w:val="clear" w:color="auto" w:fill="auto"/>
            <w:vAlign w:val="center"/>
            <w:hideMark/>
          </w:tcPr>
          <w:p w:rsidR="008205B7" w:rsidRPr="00866F44" w:rsidRDefault="008205B7" w:rsidP="008205B7">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1,303,803,541.73</w:t>
            </w:r>
          </w:p>
        </w:tc>
      </w:tr>
    </w:tbl>
    <w:p w:rsidR="008205B7" w:rsidRPr="00866F44" w:rsidRDefault="008205B7">
      <w:pPr>
        <w:divId w:val="1998997700"/>
        <w:rPr>
          <w:rFonts w:ascii="Lato" w:eastAsia="Times New Roman" w:hAnsi="Lato"/>
          <w:sz w:val="20"/>
          <w:szCs w:val="20"/>
        </w:rPr>
      </w:pPr>
    </w:p>
    <w:p w:rsidR="00A04969" w:rsidRPr="00866F44" w:rsidRDefault="00347F2A">
      <w:pPr>
        <w:divId w:val="2066297176"/>
        <w:rPr>
          <w:rFonts w:ascii="Lato" w:eastAsia="Times New Roman" w:hAnsi="Lato"/>
          <w:sz w:val="20"/>
          <w:szCs w:val="20"/>
        </w:rPr>
      </w:pPr>
      <w:r w:rsidRPr="00866F44">
        <w:rPr>
          <w:rFonts w:ascii="Lato" w:eastAsia="Times New Roman" w:hAnsi="Lato"/>
          <w:sz w:val="20"/>
          <w:szCs w:val="20"/>
        </w:rPr>
        <w:t xml:space="preserve">Los saldos registrados en el rubro de Bienes Muebles e Inmuebles, representan el monto de la inversión realizada por el Poder Ejecutivo en Propiedades, Mobiliario y Equipo, para el desempeño de sus actividades administrativas, así como para la prestación de bienes y servicios a los habitantes del Estado de Yucatán. </w:t>
      </w:r>
    </w:p>
    <w:p w:rsidR="00A04969" w:rsidRPr="00866F44" w:rsidRDefault="00A04969">
      <w:pPr>
        <w:divId w:val="631444092"/>
        <w:rPr>
          <w:rFonts w:ascii="Lato" w:eastAsia="Times New Roman" w:hAnsi="Lato"/>
          <w:sz w:val="20"/>
          <w:szCs w:val="20"/>
        </w:rPr>
      </w:pPr>
    </w:p>
    <w:p w:rsidR="00A04969" w:rsidRPr="00866F44" w:rsidRDefault="00347F2A">
      <w:pPr>
        <w:divId w:val="754979531"/>
        <w:rPr>
          <w:rFonts w:ascii="Lato" w:eastAsia="Times New Roman" w:hAnsi="Lato"/>
          <w:sz w:val="20"/>
          <w:szCs w:val="20"/>
        </w:rPr>
      </w:pPr>
      <w:r w:rsidRPr="00866F44">
        <w:rPr>
          <w:rFonts w:ascii="Lato" w:eastAsia="Times New Roman" w:hAnsi="Lato"/>
          <w:sz w:val="20"/>
          <w:szCs w:val="20"/>
        </w:rPr>
        <w:t>Respecto a la depreciación se indica lo siguiente:</w:t>
      </w:r>
    </w:p>
    <w:p w:rsidR="00A04969" w:rsidRPr="00866F44" w:rsidRDefault="00A04969">
      <w:pPr>
        <w:divId w:val="1941452442"/>
        <w:rPr>
          <w:rFonts w:ascii="Lato" w:eastAsia="Times New Roman" w:hAnsi="Lato"/>
          <w:sz w:val="20"/>
          <w:szCs w:val="20"/>
        </w:rPr>
      </w:pPr>
    </w:p>
    <w:p w:rsidR="00A04969" w:rsidRPr="00866F44" w:rsidRDefault="00347F2A">
      <w:pPr>
        <w:divId w:val="948003457"/>
        <w:rPr>
          <w:rFonts w:ascii="Lato" w:eastAsia="Times New Roman" w:hAnsi="Lato"/>
          <w:sz w:val="20"/>
          <w:szCs w:val="20"/>
        </w:rPr>
      </w:pPr>
      <w:r w:rsidRPr="00866F44">
        <w:rPr>
          <w:rFonts w:ascii="Lato" w:eastAsia="Times New Roman" w:hAnsi="Lato" w:cs="Times New Roman"/>
          <w:sz w:val="20"/>
          <w:szCs w:val="20"/>
        </w:rPr>
        <w:t>●</w:t>
      </w:r>
      <w:r w:rsidRPr="00866F44">
        <w:rPr>
          <w:rFonts w:ascii="Lato" w:eastAsia="Times New Roman" w:hAnsi="Lato"/>
          <w:sz w:val="20"/>
          <w:szCs w:val="20"/>
        </w:rPr>
        <w:t xml:space="preserve"> Para el c</w:t>
      </w:r>
      <w:r w:rsidRPr="00866F44">
        <w:rPr>
          <w:rFonts w:ascii="Lato" w:eastAsia="Times New Roman" w:hAnsi="Lato" w:cs="Barlow"/>
          <w:sz w:val="20"/>
          <w:szCs w:val="20"/>
        </w:rPr>
        <w:t>á</w:t>
      </w:r>
      <w:r w:rsidRPr="00866F44">
        <w:rPr>
          <w:rFonts w:ascii="Lato" w:eastAsia="Times New Roman" w:hAnsi="Lato"/>
          <w:sz w:val="20"/>
          <w:szCs w:val="20"/>
        </w:rPr>
        <w:t>lculo de la depreciaci</w:t>
      </w:r>
      <w:r w:rsidRPr="00866F44">
        <w:rPr>
          <w:rFonts w:ascii="Lato" w:eastAsia="Times New Roman" w:hAnsi="Lato" w:cs="Barlow"/>
          <w:sz w:val="20"/>
          <w:szCs w:val="20"/>
        </w:rPr>
        <w:t>ó</w:t>
      </w:r>
      <w:r w:rsidRPr="00866F44">
        <w:rPr>
          <w:rFonts w:ascii="Lato" w:eastAsia="Times New Roman" w:hAnsi="Lato"/>
          <w:sz w:val="20"/>
          <w:szCs w:val="20"/>
        </w:rPr>
        <w:t>n se utiliza el m</w:t>
      </w:r>
      <w:r w:rsidRPr="00866F44">
        <w:rPr>
          <w:rFonts w:ascii="Lato" w:eastAsia="Times New Roman" w:hAnsi="Lato" w:cs="Barlow"/>
          <w:sz w:val="20"/>
          <w:szCs w:val="20"/>
        </w:rPr>
        <w:t>é</w:t>
      </w:r>
      <w:r w:rsidRPr="00866F44">
        <w:rPr>
          <w:rFonts w:ascii="Lato" w:eastAsia="Times New Roman" w:hAnsi="Lato"/>
          <w:sz w:val="20"/>
          <w:szCs w:val="20"/>
        </w:rPr>
        <w:t>todo establecido por el CONAC mediante las Reglas Espec</w:t>
      </w:r>
      <w:r w:rsidRPr="00866F44">
        <w:rPr>
          <w:rFonts w:ascii="Lato" w:eastAsia="Times New Roman" w:hAnsi="Lato" w:cs="Barlow"/>
          <w:sz w:val="20"/>
          <w:szCs w:val="20"/>
        </w:rPr>
        <w:t>í</w:t>
      </w:r>
      <w:r w:rsidRPr="00866F44">
        <w:rPr>
          <w:rFonts w:ascii="Lato" w:eastAsia="Times New Roman" w:hAnsi="Lato"/>
          <w:sz w:val="20"/>
          <w:szCs w:val="20"/>
        </w:rPr>
        <w:t>ficas del Registro y Valoraci</w:t>
      </w:r>
      <w:r w:rsidRPr="00866F44">
        <w:rPr>
          <w:rFonts w:ascii="Lato" w:eastAsia="Times New Roman" w:hAnsi="Lato" w:cs="Barlow"/>
          <w:sz w:val="20"/>
          <w:szCs w:val="20"/>
        </w:rPr>
        <w:t>ó</w:t>
      </w:r>
      <w:r w:rsidRPr="00866F44">
        <w:rPr>
          <w:rFonts w:ascii="Lato" w:eastAsia="Times New Roman" w:hAnsi="Lato"/>
          <w:sz w:val="20"/>
          <w:szCs w:val="20"/>
        </w:rPr>
        <w:t>n del Activo.</w:t>
      </w:r>
    </w:p>
    <w:p w:rsidR="00A04969" w:rsidRPr="00866F44" w:rsidRDefault="00A04969">
      <w:pPr>
        <w:divId w:val="158618076"/>
        <w:rPr>
          <w:rFonts w:ascii="Lato" w:eastAsia="Times New Roman" w:hAnsi="Lato"/>
          <w:sz w:val="20"/>
          <w:szCs w:val="20"/>
        </w:rPr>
      </w:pPr>
    </w:p>
    <w:p w:rsidR="00A04969" w:rsidRPr="00866F44" w:rsidRDefault="00347F2A">
      <w:pPr>
        <w:divId w:val="384254312"/>
        <w:rPr>
          <w:rFonts w:ascii="Lato" w:eastAsia="Times New Roman" w:hAnsi="Lato"/>
          <w:sz w:val="20"/>
          <w:szCs w:val="20"/>
        </w:rPr>
      </w:pPr>
      <w:r w:rsidRPr="00866F44">
        <w:rPr>
          <w:rFonts w:ascii="Lato" w:eastAsia="Times New Roman" w:hAnsi="Lato"/>
          <w:sz w:val="20"/>
          <w:szCs w:val="20"/>
        </w:rPr>
        <w:lastRenderedPageBreak/>
        <w:t>9.- El saldo en Bienes Intangibles y diferidos se integra como sigue:</w:t>
      </w:r>
    </w:p>
    <w:tbl>
      <w:tblPr>
        <w:tblW w:w="11660" w:type="dxa"/>
        <w:tblCellMar>
          <w:left w:w="70" w:type="dxa"/>
          <w:right w:w="70" w:type="dxa"/>
        </w:tblCellMar>
        <w:tblLook w:val="04A0" w:firstRow="1" w:lastRow="0" w:firstColumn="1" w:lastColumn="0" w:noHBand="0" w:noVBand="1"/>
      </w:tblPr>
      <w:tblGrid>
        <w:gridCol w:w="5380"/>
        <w:gridCol w:w="2020"/>
        <w:gridCol w:w="2300"/>
        <w:gridCol w:w="1960"/>
      </w:tblGrid>
      <w:tr w:rsidR="00C5694A" w:rsidRPr="00866F44" w:rsidTr="00C5694A">
        <w:trPr>
          <w:divId w:val="1486508767"/>
          <w:trHeight w:val="510"/>
        </w:trPr>
        <w:tc>
          <w:tcPr>
            <w:tcW w:w="538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ACTIVOS INTANGIBLES Y DIFERIDOS</w:t>
            </w:r>
          </w:p>
        </w:tc>
        <w:tc>
          <w:tcPr>
            <w:tcW w:w="202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IMPORTE</w:t>
            </w:r>
          </w:p>
        </w:tc>
        <w:tc>
          <w:tcPr>
            <w:tcW w:w="230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DEPRECIACIÓN DLE EJERCICIO</w:t>
            </w:r>
          </w:p>
        </w:tc>
        <w:tc>
          <w:tcPr>
            <w:tcW w:w="196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DEPRECIACIÓN ACUMULADA</w:t>
            </w:r>
          </w:p>
        </w:tc>
      </w:tr>
      <w:tr w:rsidR="00C5694A" w:rsidRPr="00866F44" w:rsidTr="00C5694A">
        <w:trPr>
          <w:divId w:val="1486508767"/>
          <w:trHeight w:val="300"/>
        </w:trPr>
        <w:tc>
          <w:tcPr>
            <w:tcW w:w="538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ACTIVOS INTANGIBLES</w:t>
            </w:r>
          </w:p>
        </w:tc>
        <w:tc>
          <w:tcPr>
            <w:tcW w:w="202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color w:val="000000"/>
                <w:sz w:val="20"/>
                <w:szCs w:val="20"/>
              </w:rPr>
            </w:pPr>
          </w:p>
        </w:tc>
        <w:tc>
          <w:tcPr>
            <w:tcW w:w="230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Times New Roman"/>
                <w:sz w:val="20"/>
                <w:szCs w:val="20"/>
              </w:rPr>
            </w:pPr>
          </w:p>
        </w:tc>
      </w:tr>
      <w:tr w:rsidR="00C5694A" w:rsidRPr="00866F44" w:rsidTr="00C5694A">
        <w:trPr>
          <w:divId w:val="1486508767"/>
          <w:trHeight w:val="300"/>
        </w:trPr>
        <w:tc>
          <w:tcPr>
            <w:tcW w:w="538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SOFTWARE</w:t>
            </w:r>
          </w:p>
        </w:tc>
        <w:tc>
          <w:tcPr>
            <w:tcW w:w="202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39,093,483.76</w:t>
            </w:r>
          </w:p>
        </w:tc>
        <w:tc>
          <w:tcPr>
            <w:tcW w:w="230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2,522,984.67</w:t>
            </w:r>
          </w:p>
        </w:tc>
        <w:tc>
          <w:tcPr>
            <w:tcW w:w="196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62,500,652.37</w:t>
            </w:r>
          </w:p>
        </w:tc>
      </w:tr>
      <w:tr w:rsidR="00C5694A" w:rsidRPr="00866F44" w:rsidTr="00C5694A">
        <w:trPr>
          <w:divId w:val="1486508767"/>
          <w:trHeight w:val="300"/>
        </w:trPr>
        <w:tc>
          <w:tcPr>
            <w:tcW w:w="538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LICENCIAS</w:t>
            </w:r>
          </w:p>
        </w:tc>
        <w:tc>
          <w:tcPr>
            <w:tcW w:w="202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color w:val="000000"/>
                <w:sz w:val="20"/>
                <w:szCs w:val="20"/>
              </w:rPr>
            </w:pPr>
          </w:p>
        </w:tc>
        <w:tc>
          <w:tcPr>
            <w:tcW w:w="230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Times New Roman"/>
                <w:sz w:val="20"/>
                <w:szCs w:val="20"/>
              </w:rPr>
            </w:pPr>
          </w:p>
        </w:tc>
      </w:tr>
      <w:tr w:rsidR="00C5694A" w:rsidRPr="00866F44" w:rsidTr="00C5694A">
        <w:trPr>
          <w:divId w:val="1486508767"/>
          <w:trHeight w:val="300"/>
        </w:trPr>
        <w:tc>
          <w:tcPr>
            <w:tcW w:w="538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LICENCIAS INFORMATICAS E INTELECTULES</w:t>
            </w:r>
          </w:p>
        </w:tc>
        <w:tc>
          <w:tcPr>
            <w:tcW w:w="202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159,227,189.65</w:t>
            </w:r>
          </w:p>
        </w:tc>
        <w:tc>
          <w:tcPr>
            <w:tcW w:w="230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4,925,491.67</w:t>
            </w:r>
          </w:p>
        </w:tc>
        <w:tc>
          <w:tcPr>
            <w:tcW w:w="196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148,086,576.35</w:t>
            </w:r>
          </w:p>
        </w:tc>
      </w:tr>
      <w:tr w:rsidR="00C5694A" w:rsidRPr="00866F44" w:rsidTr="00C5694A">
        <w:trPr>
          <w:divId w:val="1486508767"/>
          <w:trHeight w:val="300"/>
        </w:trPr>
        <w:tc>
          <w:tcPr>
            <w:tcW w:w="538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ACTIVOS DIFERIDOS</w:t>
            </w:r>
          </w:p>
        </w:tc>
        <w:tc>
          <w:tcPr>
            <w:tcW w:w="202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color w:val="000000"/>
                <w:sz w:val="20"/>
                <w:szCs w:val="20"/>
              </w:rPr>
            </w:pPr>
          </w:p>
        </w:tc>
        <w:tc>
          <w:tcPr>
            <w:tcW w:w="230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Times New Roman"/>
                <w:sz w:val="20"/>
                <w:szCs w:val="20"/>
              </w:rPr>
            </w:pPr>
          </w:p>
        </w:tc>
        <w:tc>
          <w:tcPr>
            <w:tcW w:w="196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Times New Roman"/>
                <w:sz w:val="20"/>
                <w:szCs w:val="20"/>
              </w:rPr>
            </w:pPr>
          </w:p>
        </w:tc>
      </w:tr>
      <w:tr w:rsidR="00C5694A" w:rsidRPr="00866F44" w:rsidTr="00C5694A">
        <w:trPr>
          <w:divId w:val="1486508767"/>
          <w:trHeight w:val="300"/>
        </w:trPr>
        <w:tc>
          <w:tcPr>
            <w:tcW w:w="538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GASTOS PAGADOS POR ADELANTADO A LARGO PLAZO</w:t>
            </w:r>
          </w:p>
        </w:tc>
        <w:tc>
          <w:tcPr>
            <w:tcW w:w="202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1,823,306.07</w:t>
            </w:r>
          </w:p>
        </w:tc>
        <w:tc>
          <w:tcPr>
            <w:tcW w:w="230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196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r>
      <w:tr w:rsidR="00C5694A" w:rsidRPr="00866F44" w:rsidTr="00C5694A">
        <w:trPr>
          <w:divId w:val="1486508767"/>
          <w:trHeight w:val="315"/>
        </w:trPr>
        <w:tc>
          <w:tcPr>
            <w:tcW w:w="5380" w:type="dxa"/>
            <w:tcBorders>
              <w:top w:val="nil"/>
              <w:left w:val="nil"/>
              <w:bottom w:val="nil"/>
              <w:right w:val="nil"/>
            </w:tcBorders>
            <w:shd w:val="clear" w:color="auto" w:fill="auto"/>
            <w:vAlign w:val="center"/>
            <w:hideMark/>
          </w:tcPr>
          <w:p w:rsidR="00C5694A" w:rsidRPr="00866F44" w:rsidRDefault="00C5694A" w:rsidP="00C5694A">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TOTAL</w:t>
            </w:r>
          </w:p>
        </w:tc>
        <w:tc>
          <w:tcPr>
            <w:tcW w:w="2020" w:type="dxa"/>
            <w:tcBorders>
              <w:top w:val="single" w:sz="4" w:space="0" w:color="auto"/>
              <w:left w:val="nil"/>
              <w:bottom w:val="single" w:sz="8" w:space="0" w:color="auto"/>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200,143,979.48</w:t>
            </w:r>
          </w:p>
        </w:tc>
        <w:tc>
          <w:tcPr>
            <w:tcW w:w="2300" w:type="dxa"/>
            <w:tcBorders>
              <w:top w:val="single" w:sz="4" w:space="0" w:color="auto"/>
              <w:left w:val="nil"/>
              <w:bottom w:val="single" w:sz="8" w:space="0" w:color="auto"/>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7,448,476.34</w:t>
            </w:r>
          </w:p>
        </w:tc>
        <w:tc>
          <w:tcPr>
            <w:tcW w:w="1960" w:type="dxa"/>
            <w:tcBorders>
              <w:top w:val="single" w:sz="4" w:space="0" w:color="auto"/>
              <w:left w:val="nil"/>
              <w:bottom w:val="single" w:sz="8" w:space="0" w:color="auto"/>
              <w:right w:val="nil"/>
            </w:tcBorders>
            <w:shd w:val="clear" w:color="auto" w:fill="auto"/>
            <w:vAlign w:val="center"/>
            <w:hideMark/>
          </w:tcPr>
          <w:p w:rsidR="00C5694A" w:rsidRPr="00866F44" w:rsidRDefault="00C5694A" w:rsidP="00C5694A">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210,587,228.72</w:t>
            </w:r>
          </w:p>
        </w:tc>
      </w:tr>
    </w:tbl>
    <w:p w:rsidR="00A04969" w:rsidRPr="00866F44" w:rsidRDefault="00A04969">
      <w:pPr>
        <w:divId w:val="1486508767"/>
        <w:rPr>
          <w:rFonts w:ascii="Lato" w:eastAsia="Times New Roman" w:hAnsi="Lato"/>
          <w:sz w:val="20"/>
          <w:szCs w:val="20"/>
        </w:rPr>
      </w:pPr>
    </w:p>
    <w:p w:rsidR="00A04969" w:rsidRPr="00866F44" w:rsidRDefault="00347F2A">
      <w:pPr>
        <w:divId w:val="555894615"/>
        <w:rPr>
          <w:rFonts w:ascii="Lato" w:eastAsia="Times New Roman" w:hAnsi="Lato"/>
          <w:sz w:val="20"/>
          <w:szCs w:val="20"/>
        </w:rPr>
      </w:pPr>
      <w:r w:rsidRPr="00866F44">
        <w:rPr>
          <w:rStyle w:val="Textoennegrita"/>
          <w:rFonts w:ascii="Lato" w:eastAsia="Times New Roman" w:hAnsi="Lato"/>
          <w:sz w:val="20"/>
          <w:szCs w:val="20"/>
        </w:rPr>
        <w:t>Estimaciones y Deterioros</w:t>
      </w:r>
    </w:p>
    <w:p w:rsidR="00A04969" w:rsidRPr="00866F44" w:rsidRDefault="00A04969">
      <w:pPr>
        <w:divId w:val="1955019835"/>
        <w:rPr>
          <w:rFonts w:ascii="Lato" w:eastAsia="Times New Roman" w:hAnsi="Lato"/>
          <w:sz w:val="20"/>
          <w:szCs w:val="20"/>
        </w:rPr>
      </w:pPr>
    </w:p>
    <w:p w:rsidR="00A04969" w:rsidRPr="00866F44" w:rsidRDefault="00347F2A">
      <w:pPr>
        <w:divId w:val="933173409"/>
        <w:rPr>
          <w:rFonts w:ascii="Lato" w:eastAsia="Times New Roman" w:hAnsi="Lato"/>
          <w:sz w:val="20"/>
          <w:szCs w:val="20"/>
        </w:rPr>
      </w:pPr>
      <w:r w:rsidRPr="00866F44">
        <w:rPr>
          <w:rFonts w:ascii="Lato" w:eastAsia="Times New Roman" w:hAnsi="Lato"/>
          <w:sz w:val="20"/>
          <w:szCs w:val="20"/>
        </w:rPr>
        <w:t>10.- El Poder Ejecutivo no realizó al 30 de septiembre de 2024, la determinación de estimaciones de cuentas incobrables, inversiones deterioro de activos biológicos, etc.</w:t>
      </w:r>
    </w:p>
    <w:p w:rsidR="00A04969" w:rsidRPr="00866F44" w:rsidRDefault="00A04969">
      <w:pPr>
        <w:divId w:val="1990086285"/>
        <w:rPr>
          <w:rFonts w:ascii="Lato" w:eastAsia="Times New Roman" w:hAnsi="Lato"/>
          <w:sz w:val="20"/>
          <w:szCs w:val="20"/>
        </w:rPr>
      </w:pPr>
    </w:p>
    <w:p w:rsidR="00A04969" w:rsidRPr="00866F44" w:rsidRDefault="00347F2A">
      <w:pPr>
        <w:divId w:val="611790472"/>
        <w:rPr>
          <w:rFonts w:ascii="Lato" w:eastAsia="Times New Roman" w:hAnsi="Lato"/>
          <w:sz w:val="20"/>
          <w:szCs w:val="20"/>
        </w:rPr>
      </w:pPr>
      <w:r w:rsidRPr="00866F44">
        <w:rPr>
          <w:rStyle w:val="Textoennegrita"/>
          <w:rFonts w:ascii="Lato" w:eastAsia="Times New Roman" w:hAnsi="Lato"/>
          <w:sz w:val="20"/>
          <w:szCs w:val="20"/>
        </w:rPr>
        <w:t>Otros Activos</w:t>
      </w:r>
    </w:p>
    <w:p w:rsidR="00A04969" w:rsidRPr="00866F44" w:rsidRDefault="00347F2A">
      <w:pPr>
        <w:divId w:val="1008558993"/>
        <w:rPr>
          <w:rFonts w:ascii="Lato" w:eastAsia="Times New Roman" w:hAnsi="Lato"/>
          <w:sz w:val="20"/>
          <w:szCs w:val="20"/>
        </w:rPr>
      </w:pPr>
      <w:r w:rsidRPr="00866F44">
        <w:rPr>
          <w:rFonts w:ascii="Lato" w:eastAsia="Times New Roman" w:hAnsi="Lato"/>
          <w:sz w:val="20"/>
          <w:szCs w:val="20"/>
        </w:rPr>
        <w:t xml:space="preserve">11.- El Poder Ejecutivo registra en este rubro activo circulante derivado de embargos realizados por la agencia de administración fiscal. </w:t>
      </w:r>
    </w:p>
    <w:tbl>
      <w:tblPr>
        <w:tblW w:w="7400" w:type="dxa"/>
        <w:tblCellMar>
          <w:left w:w="70" w:type="dxa"/>
          <w:right w:w="70" w:type="dxa"/>
        </w:tblCellMar>
        <w:tblLook w:val="04A0" w:firstRow="1" w:lastRow="0" w:firstColumn="1" w:lastColumn="0" w:noHBand="0" w:noVBand="1"/>
      </w:tblPr>
      <w:tblGrid>
        <w:gridCol w:w="5380"/>
        <w:gridCol w:w="2020"/>
      </w:tblGrid>
      <w:tr w:rsidR="00184B78" w:rsidRPr="00866F44" w:rsidTr="00184B78">
        <w:trPr>
          <w:divId w:val="1008558993"/>
          <w:trHeight w:val="30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OTROS ACTIVOS CIRCULANTES</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b/>
                <w:bCs/>
                <w:color w:val="000000"/>
                <w:sz w:val="20"/>
                <w:szCs w:val="20"/>
              </w:rPr>
            </w:pPr>
          </w:p>
        </w:tc>
      </w:tr>
      <w:tr w:rsidR="00184B78" w:rsidRPr="00866F44" w:rsidTr="00184B78">
        <w:trPr>
          <w:divId w:val="1008558993"/>
          <w:trHeight w:val="51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BIENES DERIVADOS DE EMBARGOS, DECOMISOS, ASEGURAMIENTOS Y DACIÓN EN PAGO</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b/>
                <w:bCs/>
                <w:color w:val="000000"/>
                <w:sz w:val="20"/>
                <w:szCs w:val="20"/>
              </w:rPr>
            </w:pPr>
          </w:p>
        </w:tc>
      </w:tr>
      <w:tr w:rsidR="00184B78" w:rsidRPr="00866F44" w:rsidTr="00184B78">
        <w:trPr>
          <w:divId w:val="1008558993"/>
          <w:trHeight w:val="30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BIENES INMUEBLES</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b/>
                <w:bCs/>
                <w:color w:val="000000"/>
                <w:sz w:val="20"/>
                <w:szCs w:val="20"/>
              </w:rPr>
            </w:pPr>
          </w:p>
        </w:tc>
      </w:tr>
      <w:tr w:rsidR="00184B78" w:rsidRPr="00866F44" w:rsidTr="00184B78">
        <w:trPr>
          <w:divId w:val="1008558993"/>
          <w:trHeight w:val="30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TERRENOS</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2,871,360.00</w:t>
            </w:r>
          </w:p>
        </w:tc>
      </w:tr>
      <w:tr w:rsidR="00184B78" w:rsidRPr="00866F44" w:rsidTr="00184B78">
        <w:trPr>
          <w:divId w:val="1008558993"/>
          <w:trHeight w:val="30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VIVIENDAS</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2,180,679.00</w:t>
            </w:r>
          </w:p>
        </w:tc>
      </w:tr>
      <w:tr w:rsidR="00184B78" w:rsidRPr="00866F44" w:rsidTr="00184B78">
        <w:trPr>
          <w:divId w:val="1008558993"/>
          <w:trHeight w:val="30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BIENES MUEBLES</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b/>
                <w:bCs/>
                <w:color w:val="000000"/>
                <w:sz w:val="20"/>
                <w:szCs w:val="20"/>
              </w:rPr>
            </w:pPr>
          </w:p>
        </w:tc>
      </w:tr>
      <w:tr w:rsidR="00184B78" w:rsidRPr="00866F44" w:rsidTr="00184B78">
        <w:trPr>
          <w:divId w:val="1008558993"/>
          <w:trHeight w:val="30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MOBILIARIO Y EQUIPO DE ADMINISTRACIÓN</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307,974.21</w:t>
            </w:r>
          </w:p>
        </w:tc>
      </w:tr>
      <w:tr w:rsidR="00184B78" w:rsidRPr="00866F44" w:rsidTr="00184B78">
        <w:trPr>
          <w:divId w:val="1008558993"/>
          <w:trHeight w:val="30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lastRenderedPageBreak/>
              <w:t>MOBILIARIO Y EQUIPO EDUCACIONAL Y RECREATIVO</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112,353.42</w:t>
            </w:r>
          </w:p>
        </w:tc>
      </w:tr>
      <w:tr w:rsidR="00184B78" w:rsidRPr="00866F44" w:rsidTr="00184B78">
        <w:trPr>
          <w:divId w:val="1008558993"/>
          <w:trHeight w:val="51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EQUIPO E INSTRUMENTAL MÉDICO Y DE LABORATORIO</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2,673.00</w:t>
            </w:r>
          </w:p>
        </w:tc>
      </w:tr>
      <w:tr w:rsidR="00184B78" w:rsidRPr="00866F44" w:rsidTr="00184B78">
        <w:trPr>
          <w:divId w:val="1008558993"/>
          <w:trHeight w:val="30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VEHÍCULOS Y EQUIPOS DE TRANSPORTE</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96,556.00</w:t>
            </w:r>
          </w:p>
        </w:tc>
      </w:tr>
      <w:tr w:rsidR="00184B78" w:rsidRPr="00866F44" w:rsidTr="00184B78">
        <w:trPr>
          <w:divId w:val="1008558993"/>
          <w:trHeight w:val="300"/>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MAQUINARIA, OTROS EQUIPOS Y HERRAMIENTAS</w:t>
            </w:r>
          </w:p>
        </w:tc>
        <w:tc>
          <w:tcPr>
            <w:tcW w:w="202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24,612.00</w:t>
            </w:r>
          </w:p>
        </w:tc>
      </w:tr>
      <w:tr w:rsidR="00184B78" w:rsidRPr="00866F44" w:rsidTr="00184B78">
        <w:trPr>
          <w:divId w:val="1008558993"/>
          <w:trHeight w:val="315"/>
        </w:trPr>
        <w:tc>
          <w:tcPr>
            <w:tcW w:w="5380" w:type="dxa"/>
            <w:tcBorders>
              <w:top w:val="nil"/>
              <w:left w:val="nil"/>
              <w:bottom w:val="nil"/>
              <w:right w:val="nil"/>
            </w:tcBorders>
            <w:shd w:val="clear" w:color="auto" w:fill="auto"/>
            <w:vAlign w:val="center"/>
            <w:hideMark/>
          </w:tcPr>
          <w:p w:rsidR="00184B78" w:rsidRPr="00866F44" w:rsidRDefault="00184B78" w:rsidP="00184B78">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TOTAL</w:t>
            </w:r>
          </w:p>
        </w:tc>
        <w:tc>
          <w:tcPr>
            <w:tcW w:w="2020" w:type="dxa"/>
            <w:tcBorders>
              <w:top w:val="single" w:sz="4" w:space="0" w:color="auto"/>
              <w:left w:val="nil"/>
              <w:bottom w:val="single" w:sz="8" w:space="0" w:color="auto"/>
              <w:right w:val="nil"/>
            </w:tcBorders>
            <w:shd w:val="clear" w:color="auto" w:fill="auto"/>
            <w:vAlign w:val="center"/>
            <w:hideMark/>
          </w:tcPr>
          <w:p w:rsidR="00184B78" w:rsidRPr="00866F44" w:rsidRDefault="00184B78" w:rsidP="00184B78">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5,596,207.63</w:t>
            </w:r>
          </w:p>
        </w:tc>
      </w:tr>
    </w:tbl>
    <w:p w:rsidR="000A7242" w:rsidRDefault="000A7242">
      <w:pPr>
        <w:divId w:val="656762533"/>
        <w:rPr>
          <w:rStyle w:val="Textoennegrita"/>
          <w:rFonts w:ascii="Lato" w:eastAsia="Times New Roman" w:hAnsi="Lato"/>
          <w:sz w:val="20"/>
          <w:szCs w:val="20"/>
        </w:rPr>
      </w:pPr>
    </w:p>
    <w:p w:rsidR="00A04969" w:rsidRPr="00866F44" w:rsidRDefault="000A7242">
      <w:pPr>
        <w:divId w:val="656762533"/>
        <w:rPr>
          <w:rFonts w:ascii="Lato" w:eastAsia="Times New Roman" w:hAnsi="Lato"/>
          <w:sz w:val="20"/>
          <w:szCs w:val="20"/>
        </w:rPr>
      </w:pPr>
      <w:r>
        <w:rPr>
          <w:rStyle w:val="Textoennegrita"/>
          <w:rFonts w:ascii="Lato" w:eastAsia="Times New Roman" w:hAnsi="Lato"/>
          <w:sz w:val="20"/>
          <w:szCs w:val="20"/>
        </w:rPr>
        <w:t>PASIVOS</w:t>
      </w:r>
    </w:p>
    <w:p w:rsidR="00A04969" w:rsidRPr="00866F44" w:rsidRDefault="00347F2A">
      <w:pPr>
        <w:divId w:val="1611546249"/>
        <w:rPr>
          <w:rFonts w:ascii="Lato" w:eastAsia="Times New Roman" w:hAnsi="Lato"/>
          <w:sz w:val="20"/>
          <w:szCs w:val="20"/>
        </w:rPr>
      </w:pPr>
      <w:r w:rsidRPr="00866F44">
        <w:rPr>
          <w:rFonts w:ascii="Lato" w:eastAsia="Times New Roman" w:hAnsi="Lato"/>
          <w:sz w:val="20"/>
          <w:szCs w:val="20"/>
        </w:rPr>
        <w:t>1.- La Cuenta de Proveedores, Retenciones y Deuda Publica se integran como sigue:</w:t>
      </w:r>
    </w:p>
    <w:p w:rsidR="00A04969" w:rsidRPr="00866F44" w:rsidRDefault="00A04969">
      <w:pPr>
        <w:divId w:val="944658102"/>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796"/>
        <w:gridCol w:w="1980"/>
      </w:tblGrid>
      <w:tr w:rsidR="00A04969" w:rsidRPr="00866F44">
        <w:trPr>
          <w:divId w:val="153764949"/>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PROVEEDORES POR PAGAR A CORTO PLAZO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53764949"/>
          <w:tblCellSpacing w:w="15" w:type="dxa"/>
        </w:trPr>
        <w:tc>
          <w:tcPr>
            <w:tcW w:w="0" w:type="auto"/>
            <w:vAlign w:val="center"/>
            <w:hideMark/>
          </w:tcPr>
          <w:p w:rsidR="00A04969" w:rsidRPr="00866F44" w:rsidRDefault="00347F2A">
            <w:pPr>
              <w:divId w:val="254173859"/>
              <w:rPr>
                <w:rFonts w:ascii="Lato" w:eastAsia="Times New Roman" w:hAnsi="Lato"/>
                <w:color w:val="000000"/>
                <w:sz w:val="20"/>
                <w:szCs w:val="20"/>
              </w:rPr>
            </w:pPr>
            <w:r w:rsidRPr="00866F44">
              <w:rPr>
                <w:rFonts w:ascii="Lato" w:eastAsia="Times New Roman" w:hAnsi="Lato"/>
                <w:color w:val="000000"/>
                <w:sz w:val="20"/>
                <w:szCs w:val="20"/>
              </w:rPr>
              <w:t>EJERCICIO 2014</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133,560.04</w:t>
            </w:r>
          </w:p>
        </w:tc>
      </w:tr>
      <w:tr w:rsidR="00A04969" w:rsidRPr="00866F44">
        <w:trPr>
          <w:divId w:val="153764949"/>
          <w:tblCellSpacing w:w="15" w:type="dxa"/>
        </w:trPr>
        <w:tc>
          <w:tcPr>
            <w:tcW w:w="0" w:type="auto"/>
            <w:vAlign w:val="center"/>
            <w:hideMark/>
          </w:tcPr>
          <w:p w:rsidR="00A04969" w:rsidRPr="00866F44" w:rsidRDefault="00347F2A">
            <w:pPr>
              <w:divId w:val="773087578"/>
              <w:rPr>
                <w:rFonts w:ascii="Lato" w:eastAsia="Times New Roman" w:hAnsi="Lato"/>
                <w:color w:val="000000"/>
                <w:sz w:val="20"/>
                <w:szCs w:val="20"/>
              </w:rPr>
            </w:pPr>
            <w:r w:rsidRPr="00866F44">
              <w:rPr>
                <w:rFonts w:ascii="Lato" w:eastAsia="Times New Roman" w:hAnsi="Lato"/>
                <w:color w:val="000000"/>
                <w:sz w:val="20"/>
                <w:szCs w:val="20"/>
              </w:rPr>
              <w:t>EJERCICIO 2015</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72,790.32</w:t>
            </w:r>
          </w:p>
        </w:tc>
      </w:tr>
      <w:tr w:rsidR="00A04969" w:rsidRPr="00866F44">
        <w:trPr>
          <w:divId w:val="153764949"/>
          <w:tblCellSpacing w:w="15" w:type="dxa"/>
        </w:trPr>
        <w:tc>
          <w:tcPr>
            <w:tcW w:w="0" w:type="auto"/>
            <w:vAlign w:val="center"/>
            <w:hideMark/>
          </w:tcPr>
          <w:p w:rsidR="00A04969" w:rsidRPr="00866F44" w:rsidRDefault="00347F2A">
            <w:pPr>
              <w:divId w:val="1541824255"/>
              <w:rPr>
                <w:rFonts w:ascii="Lato" w:eastAsia="Times New Roman" w:hAnsi="Lato"/>
                <w:color w:val="000000"/>
                <w:sz w:val="20"/>
                <w:szCs w:val="20"/>
              </w:rPr>
            </w:pPr>
            <w:r w:rsidRPr="00866F44">
              <w:rPr>
                <w:rFonts w:ascii="Lato" w:eastAsia="Times New Roman" w:hAnsi="Lato"/>
                <w:color w:val="000000"/>
                <w:sz w:val="20"/>
                <w:szCs w:val="20"/>
              </w:rPr>
              <w:t>EJERCICIO 2016</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139,058.58</w:t>
            </w:r>
          </w:p>
        </w:tc>
      </w:tr>
      <w:tr w:rsidR="00A04969" w:rsidRPr="00866F44">
        <w:trPr>
          <w:divId w:val="153764949"/>
          <w:tblCellSpacing w:w="15" w:type="dxa"/>
        </w:trPr>
        <w:tc>
          <w:tcPr>
            <w:tcW w:w="0" w:type="auto"/>
            <w:vAlign w:val="center"/>
            <w:hideMark/>
          </w:tcPr>
          <w:p w:rsidR="00A04969" w:rsidRPr="00866F44" w:rsidRDefault="00347F2A">
            <w:pPr>
              <w:divId w:val="2042322688"/>
              <w:rPr>
                <w:rFonts w:ascii="Lato" w:eastAsia="Times New Roman" w:hAnsi="Lato"/>
                <w:color w:val="000000"/>
                <w:sz w:val="20"/>
                <w:szCs w:val="20"/>
              </w:rPr>
            </w:pPr>
            <w:r w:rsidRPr="00866F44">
              <w:rPr>
                <w:rFonts w:ascii="Lato" w:eastAsia="Times New Roman" w:hAnsi="Lato"/>
                <w:color w:val="000000"/>
                <w:sz w:val="20"/>
                <w:szCs w:val="20"/>
              </w:rPr>
              <w:t>EJERCICIO 2017</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144,607.32</w:t>
            </w:r>
          </w:p>
        </w:tc>
      </w:tr>
      <w:tr w:rsidR="00A04969" w:rsidRPr="00866F44">
        <w:trPr>
          <w:divId w:val="153764949"/>
          <w:tblCellSpacing w:w="15" w:type="dxa"/>
        </w:trPr>
        <w:tc>
          <w:tcPr>
            <w:tcW w:w="0" w:type="auto"/>
            <w:vAlign w:val="center"/>
            <w:hideMark/>
          </w:tcPr>
          <w:p w:rsidR="00A04969" w:rsidRPr="00866F44" w:rsidRDefault="00347F2A">
            <w:pPr>
              <w:divId w:val="428426918"/>
              <w:rPr>
                <w:rFonts w:ascii="Lato" w:eastAsia="Times New Roman" w:hAnsi="Lato"/>
                <w:color w:val="000000"/>
                <w:sz w:val="20"/>
                <w:szCs w:val="20"/>
              </w:rPr>
            </w:pPr>
            <w:r w:rsidRPr="00866F44">
              <w:rPr>
                <w:rFonts w:ascii="Lato" w:eastAsia="Times New Roman" w:hAnsi="Lato"/>
                <w:color w:val="000000"/>
                <w:sz w:val="20"/>
                <w:szCs w:val="20"/>
              </w:rPr>
              <w:t>EJERCICIO 2018</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50,266,975.19</w:t>
            </w:r>
          </w:p>
        </w:tc>
      </w:tr>
      <w:tr w:rsidR="00A04969" w:rsidRPr="00866F44">
        <w:trPr>
          <w:divId w:val="153764949"/>
          <w:tblCellSpacing w:w="15" w:type="dxa"/>
        </w:trPr>
        <w:tc>
          <w:tcPr>
            <w:tcW w:w="0" w:type="auto"/>
            <w:vAlign w:val="center"/>
            <w:hideMark/>
          </w:tcPr>
          <w:p w:rsidR="00A04969" w:rsidRPr="00866F44" w:rsidRDefault="00347F2A">
            <w:pPr>
              <w:divId w:val="1893879888"/>
              <w:rPr>
                <w:rFonts w:ascii="Lato" w:eastAsia="Times New Roman" w:hAnsi="Lato"/>
                <w:color w:val="000000"/>
                <w:sz w:val="20"/>
                <w:szCs w:val="20"/>
              </w:rPr>
            </w:pPr>
            <w:r w:rsidRPr="00866F44">
              <w:rPr>
                <w:rFonts w:ascii="Lato" w:eastAsia="Times New Roman" w:hAnsi="Lato"/>
                <w:color w:val="000000"/>
                <w:sz w:val="20"/>
                <w:szCs w:val="20"/>
              </w:rPr>
              <w:t>EJERCICIO 2019</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129,543.65</w:t>
            </w:r>
          </w:p>
        </w:tc>
      </w:tr>
      <w:tr w:rsidR="00A04969" w:rsidRPr="00866F44">
        <w:trPr>
          <w:divId w:val="153764949"/>
          <w:tblCellSpacing w:w="15" w:type="dxa"/>
        </w:trPr>
        <w:tc>
          <w:tcPr>
            <w:tcW w:w="0" w:type="auto"/>
            <w:vAlign w:val="center"/>
            <w:hideMark/>
          </w:tcPr>
          <w:p w:rsidR="00A04969" w:rsidRPr="00866F44" w:rsidRDefault="00347F2A">
            <w:pPr>
              <w:divId w:val="1064255597"/>
              <w:rPr>
                <w:rFonts w:ascii="Lato" w:eastAsia="Times New Roman" w:hAnsi="Lato"/>
                <w:color w:val="000000"/>
                <w:sz w:val="20"/>
                <w:szCs w:val="20"/>
              </w:rPr>
            </w:pPr>
            <w:r w:rsidRPr="00866F44">
              <w:rPr>
                <w:rFonts w:ascii="Lato" w:eastAsia="Times New Roman" w:hAnsi="Lato"/>
                <w:color w:val="000000"/>
                <w:sz w:val="20"/>
                <w:szCs w:val="20"/>
              </w:rPr>
              <w:t>EJERCICIO 2020</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693,730.89</w:t>
            </w:r>
          </w:p>
        </w:tc>
      </w:tr>
      <w:tr w:rsidR="00A04969" w:rsidRPr="00866F44">
        <w:trPr>
          <w:divId w:val="153764949"/>
          <w:tblCellSpacing w:w="15" w:type="dxa"/>
        </w:trPr>
        <w:tc>
          <w:tcPr>
            <w:tcW w:w="0" w:type="auto"/>
            <w:vAlign w:val="center"/>
            <w:hideMark/>
          </w:tcPr>
          <w:p w:rsidR="00A04969" w:rsidRPr="00866F44" w:rsidRDefault="00347F2A">
            <w:pPr>
              <w:divId w:val="1124274203"/>
              <w:rPr>
                <w:rFonts w:ascii="Lato" w:eastAsia="Times New Roman" w:hAnsi="Lato"/>
                <w:color w:val="000000"/>
                <w:sz w:val="20"/>
                <w:szCs w:val="20"/>
              </w:rPr>
            </w:pPr>
            <w:r w:rsidRPr="00866F44">
              <w:rPr>
                <w:rFonts w:ascii="Lato" w:eastAsia="Times New Roman" w:hAnsi="Lato"/>
                <w:color w:val="000000"/>
                <w:sz w:val="20"/>
                <w:szCs w:val="20"/>
              </w:rPr>
              <w:t>EJERCICIO 2021</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199,455.42</w:t>
            </w:r>
          </w:p>
        </w:tc>
      </w:tr>
      <w:tr w:rsidR="00A04969" w:rsidRPr="00866F44">
        <w:trPr>
          <w:divId w:val="153764949"/>
          <w:tblCellSpacing w:w="15" w:type="dxa"/>
        </w:trPr>
        <w:tc>
          <w:tcPr>
            <w:tcW w:w="0" w:type="auto"/>
            <w:vAlign w:val="center"/>
            <w:hideMark/>
          </w:tcPr>
          <w:p w:rsidR="00A04969" w:rsidRPr="00866F44" w:rsidRDefault="00347F2A">
            <w:pPr>
              <w:divId w:val="2010712503"/>
              <w:rPr>
                <w:rFonts w:ascii="Lato" w:eastAsia="Times New Roman" w:hAnsi="Lato"/>
                <w:color w:val="000000"/>
                <w:sz w:val="20"/>
                <w:szCs w:val="20"/>
              </w:rPr>
            </w:pPr>
            <w:r w:rsidRPr="00866F44">
              <w:rPr>
                <w:rFonts w:ascii="Lato" w:eastAsia="Times New Roman" w:hAnsi="Lato"/>
                <w:color w:val="000000"/>
                <w:sz w:val="20"/>
                <w:szCs w:val="20"/>
              </w:rPr>
              <w:t>EJERCICIO 2022</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1,291,113.39</w:t>
            </w:r>
          </w:p>
        </w:tc>
      </w:tr>
      <w:tr w:rsidR="00A04969" w:rsidRPr="00866F44">
        <w:trPr>
          <w:divId w:val="153764949"/>
          <w:tblCellSpacing w:w="15" w:type="dxa"/>
        </w:trPr>
        <w:tc>
          <w:tcPr>
            <w:tcW w:w="0" w:type="auto"/>
            <w:vAlign w:val="center"/>
            <w:hideMark/>
          </w:tcPr>
          <w:p w:rsidR="00A04969" w:rsidRPr="00866F44" w:rsidRDefault="00347F2A">
            <w:pPr>
              <w:divId w:val="1173951127"/>
              <w:rPr>
                <w:rFonts w:ascii="Lato" w:eastAsia="Times New Roman" w:hAnsi="Lato"/>
                <w:color w:val="000000"/>
                <w:sz w:val="20"/>
                <w:szCs w:val="20"/>
              </w:rPr>
            </w:pPr>
            <w:r w:rsidRPr="00866F44">
              <w:rPr>
                <w:rFonts w:ascii="Lato" w:eastAsia="Times New Roman" w:hAnsi="Lato"/>
                <w:color w:val="000000"/>
                <w:sz w:val="20"/>
                <w:szCs w:val="20"/>
              </w:rPr>
              <w:t>EJERCICIO 2023</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987.51</w:t>
            </w:r>
          </w:p>
        </w:tc>
      </w:tr>
      <w:tr w:rsidR="00A04969" w:rsidRPr="00866F44">
        <w:trPr>
          <w:divId w:val="153764949"/>
          <w:tblCellSpacing w:w="15" w:type="dxa"/>
        </w:trPr>
        <w:tc>
          <w:tcPr>
            <w:tcW w:w="0" w:type="auto"/>
            <w:vAlign w:val="center"/>
            <w:hideMark/>
          </w:tcPr>
          <w:p w:rsidR="00A04969" w:rsidRPr="00866F44" w:rsidRDefault="00347F2A">
            <w:pPr>
              <w:divId w:val="1214996970"/>
              <w:rPr>
                <w:rFonts w:ascii="Lato" w:eastAsia="Times New Roman" w:hAnsi="Lato"/>
                <w:color w:val="000000"/>
                <w:sz w:val="20"/>
                <w:szCs w:val="20"/>
              </w:rPr>
            </w:pPr>
            <w:r w:rsidRPr="00866F44">
              <w:rPr>
                <w:rFonts w:ascii="Lato" w:eastAsia="Times New Roman" w:hAnsi="Lato"/>
                <w:color w:val="000000"/>
                <w:sz w:val="20"/>
                <w:szCs w:val="20"/>
              </w:rPr>
              <w:lastRenderedPageBreak/>
              <w:t>EJERCICIO 2024</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471,774,752.30</w:t>
            </w:r>
          </w:p>
        </w:tc>
      </w:tr>
      <w:tr w:rsidR="00A04969" w:rsidRPr="00866F44">
        <w:trPr>
          <w:divId w:val="153764949"/>
          <w:tblCellSpacing w:w="15" w:type="dxa"/>
        </w:trPr>
        <w:tc>
          <w:tcPr>
            <w:tcW w:w="0" w:type="auto"/>
            <w:vAlign w:val="center"/>
            <w:hideMark/>
          </w:tcPr>
          <w:p w:rsidR="00A04969" w:rsidRPr="00866F44" w:rsidRDefault="00347F2A">
            <w:pPr>
              <w:divId w:val="1800144206"/>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524,846,574.61</w:t>
            </w:r>
          </w:p>
        </w:tc>
      </w:tr>
    </w:tbl>
    <w:p w:rsidR="00A04969" w:rsidRPr="00866F44" w:rsidRDefault="00A04969">
      <w:pPr>
        <w:divId w:val="2138185269"/>
        <w:rPr>
          <w:rFonts w:ascii="Lato" w:eastAsia="Times New Roman" w:hAnsi="Lato"/>
          <w:sz w:val="20"/>
          <w:szCs w:val="20"/>
        </w:rPr>
      </w:pPr>
    </w:p>
    <w:p w:rsidR="007D57B5" w:rsidRPr="00866F44" w:rsidRDefault="007D57B5">
      <w:pPr>
        <w:divId w:val="2138185269"/>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83"/>
        <w:gridCol w:w="1493"/>
      </w:tblGrid>
      <w:tr w:rsidR="00A04969" w:rsidRPr="00866F44">
        <w:trPr>
          <w:divId w:val="1420716912"/>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RETENCIONES Y CONTRIBUCIONES POR PAGAR A CORTO PLAZO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420716912"/>
          <w:tblCellSpacing w:w="15" w:type="dxa"/>
        </w:trPr>
        <w:tc>
          <w:tcPr>
            <w:tcW w:w="0" w:type="auto"/>
            <w:vAlign w:val="center"/>
            <w:hideMark/>
          </w:tcPr>
          <w:p w:rsidR="00A04969" w:rsidRPr="00866F44" w:rsidRDefault="00347F2A">
            <w:pPr>
              <w:divId w:val="494147927"/>
              <w:rPr>
                <w:rFonts w:ascii="Lato" w:eastAsia="Times New Roman" w:hAnsi="Lato"/>
                <w:color w:val="000000"/>
                <w:sz w:val="20"/>
                <w:szCs w:val="20"/>
              </w:rPr>
            </w:pPr>
            <w:r w:rsidRPr="00866F44">
              <w:rPr>
                <w:rFonts w:ascii="Lato" w:eastAsia="Times New Roman" w:hAnsi="Lato"/>
                <w:color w:val="000000"/>
                <w:sz w:val="20"/>
                <w:szCs w:val="20"/>
              </w:rPr>
              <w:t>RETENCIONES DE IMPUESTOS SOBRE LA RENTA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86,081,376.60</w:t>
            </w:r>
          </w:p>
        </w:tc>
      </w:tr>
      <w:tr w:rsidR="00A04969" w:rsidRPr="00866F44">
        <w:trPr>
          <w:divId w:val="1420716912"/>
          <w:tblCellSpacing w:w="15" w:type="dxa"/>
        </w:trPr>
        <w:tc>
          <w:tcPr>
            <w:tcW w:w="0" w:type="auto"/>
            <w:vAlign w:val="center"/>
            <w:hideMark/>
          </w:tcPr>
          <w:p w:rsidR="00A04969" w:rsidRPr="00866F44" w:rsidRDefault="00347F2A">
            <w:pPr>
              <w:divId w:val="494541185"/>
              <w:rPr>
                <w:rFonts w:ascii="Lato" w:eastAsia="Times New Roman" w:hAnsi="Lato"/>
                <w:color w:val="000000"/>
                <w:sz w:val="20"/>
                <w:szCs w:val="20"/>
              </w:rPr>
            </w:pPr>
            <w:r w:rsidRPr="00866F44">
              <w:rPr>
                <w:rFonts w:ascii="Lato" w:eastAsia="Times New Roman" w:hAnsi="Lato"/>
                <w:color w:val="000000"/>
                <w:sz w:val="20"/>
                <w:szCs w:val="20"/>
              </w:rPr>
              <w:t>RETENCIONES DIVERSAS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20,489,262.50</w:t>
            </w:r>
          </w:p>
        </w:tc>
      </w:tr>
      <w:tr w:rsidR="00A04969" w:rsidRPr="00866F44">
        <w:trPr>
          <w:divId w:val="1420716912"/>
          <w:tblCellSpacing w:w="15" w:type="dxa"/>
        </w:trPr>
        <w:tc>
          <w:tcPr>
            <w:tcW w:w="0" w:type="auto"/>
            <w:vAlign w:val="center"/>
            <w:hideMark/>
          </w:tcPr>
          <w:p w:rsidR="00A04969" w:rsidRPr="00866F44" w:rsidRDefault="00347F2A">
            <w:pPr>
              <w:divId w:val="186994192"/>
              <w:rPr>
                <w:rFonts w:ascii="Lato" w:eastAsia="Times New Roman" w:hAnsi="Lato"/>
                <w:color w:val="000000"/>
                <w:sz w:val="20"/>
                <w:szCs w:val="20"/>
              </w:rPr>
            </w:pPr>
            <w:r w:rsidRPr="00866F44">
              <w:rPr>
                <w:rFonts w:ascii="Lato" w:eastAsia="Times New Roman" w:hAnsi="Lato"/>
                <w:color w:val="000000"/>
                <w:sz w:val="20"/>
                <w:szCs w:val="20"/>
              </w:rPr>
              <w:t>RETENCIONES A FAVOR DEL ISSTEY</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55,285,379.43</w:t>
            </w:r>
          </w:p>
        </w:tc>
      </w:tr>
      <w:tr w:rsidR="00A04969" w:rsidRPr="00866F44">
        <w:trPr>
          <w:divId w:val="1420716912"/>
          <w:tblCellSpacing w:w="15" w:type="dxa"/>
        </w:trPr>
        <w:tc>
          <w:tcPr>
            <w:tcW w:w="0" w:type="auto"/>
            <w:vAlign w:val="center"/>
            <w:hideMark/>
          </w:tcPr>
          <w:p w:rsidR="00A04969" w:rsidRPr="00866F44" w:rsidRDefault="00347F2A">
            <w:pPr>
              <w:divId w:val="1344671933"/>
              <w:rPr>
                <w:rFonts w:ascii="Lato" w:eastAsia="Times New Roman" w:hAnsi="Lato"/>
                <w:color w:val="000000"/>
                <w:sz w:val="20"/>
                <w:szCs w:val="20"/>
              </w:rPr>
            </w:pPr>
            <w:r w:rsidRPr="00866F44">
              <w:rPr>
                <w:rFonts w:ascii="Lato" w:eastAsia="Times New Roman" w:hAnsi="Lato"/>
                <w:color w:val="000000"/>
                <w:sz w:val="20"/>
                <w:szCs w:val="20"/>
              </w:rPr>
              <w:t>CMIC</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44,771.35</w:t>
            </w:r>
          </w:p>
        </w:tc>
      </w:tr>
      <w:tr w:rsidR="00A04969" w:rsidRPr="00866F44">
        <w:trPr>
          <w:divId w:val="1420716912"/>
          <w:tblCellSpacing w:w="15" w:type="dxa"/>
        </w:trPr>
        <w:tc>
          <w:tcPr>
            <w:tcW w:w="0" w:type="auto"/>
            <w:vAlign w:val="center"/>
            <w:hideMark/>
          </w:tcPr>
          <w:p w:rsidR="00A04969" w:rsidRPr="00866F44" w:rsidRDefault="00347F2A">
            <w:pPr>
              <w:divId w:val="1044644699"/>
              <w:rPr>
                <w:rFonts w:ascii="Lato" w:eastAsia="Times New Roman" w:hAnsi="Lato"/>
                <w:color w:val="000000"/>
                <w:sz w:val="20"/>
                <w:szCs w:val="20"/>
              </w:rPr>
            </w:pPr>
            <w:r w:rsidRPr="00866F44">
              <w:rPr>
                <w:rFonts w:ascii="Lato" w:eastAsia="Times New Roman" w:hAnsi="Lato"/>
                <w:color w:val="000000"/>
                <w:sz w:val="20"/>
                <w:szCs w:val="20"/>
              </w:rPr>
              <w:t>ORGANO TÉCNICO DE FISCALIZACIÓN A LA LEGISLATURA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10,845.71</w:t>
            </w:r>
          </w:p>
        </w:tc>
      </w:tr>
      <w:tr w:rsidR="00A04969" w:rsidRPr="00866F44">
        <w:trPr>
          <w:divId w:val="1420716912"/>
          <w:tblCellSpacing w:w="15" w:type="dxa"/>
        </w:trPr>
        <w:tc>
          <w:tcPr>
            <w:tcW w:w="0" w:type="auto"/>
            <w:vAlign w:val="center"/>
            <w:hideMark/>
          </w:tcPr>
          <w:p w:rsidR="00A04969" w:rsidRPr="00866F44" w:rsidRDefault="00347F2A">
            <w:pPr>
              <w:divId w:val="1292637843"/>
              <w:rPr>
                <w:rFonts w:ascii="Lato" w:eastAsia="Times New Roman" w:hAnsi="Lato"/>
                <w:color w:val="000000"/>
                <w:sz w:val="20"/>
                <w:szCs w:val="20"/>
              </w:rPr>
            </w:pPr>
            <w:r w:rsidRPr="00866F44">
              <w:rPr>
                <w:rFonts w:ascii="Lato" w:eastAsia="Times New Roman" w:hAnsi="Lato"/>
                <w:color w:val="000000"/>
                <w:sz w:val="20"/>
                <w:szCs w:val="20"/>
              </w:rPr>
              <w:t>INSPECCIÓN Y VIGILANCIA POR CONVENIO DE COLABORACIÓN ADMINISTRATIVA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64,871.31</w:t>
            </w:r>
          </w:p>
        </w:tc>
      </w:tr>
      <w:tr w:rsidR="00A04969" w:rsidRPr="00866F44">
        <w:trPr>
          <w:divId w:val="1420716912"/>
          <w:tblCellSpacing w:w="15" w:type="dxa"/>
        </w:trPr>
        <w:tc>
          <w:tcPr>
            <w:tcW w:w="0" w:type="auto"/>
            <w:vAlign w:val="center"/>
            <w:hideMark/>
          </w:tcPr>
          <w:p w:rsidR="00A04969" w:rsidRPr="00866F44" w:rsidRDefault="00347F2A">
            <w:pPr>
              <w:divId w:val="467405312"/>
              <w:rPr>
                <w:rFonts w:ascii="Lato" w:eastAsia="Times New Roman" w:hAnsi="Lato"/>
                <w:color w:val="000000"/>
                <w:sz w:val="20"/>
                <w:szCs w:val="20"/>
              </w:rPr>
            </w:pPr>
            <w:r w:rsidRPr="00866F44">
              <w:rPr>
                <w:rFonts w:ascii="Lato" w:eastAsia="Times New Roman" w:hAnsi="Lato"/>
                <w:color w:val="000000"/>
                <w:sz w:val="20"/>
                <w:szCs w:val="20"/>
              </w:rPr>
              <w:t>IMPUESTO ESTATAL SOBRE NÓMINA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429,493.26</w:t>
            </w:r>
          </w:p>
        </w:tc>
      </w:tr>
      <w:tr w:rsidR="00A04969" w:rsidRPr="00866F44">
        <w:trPr>
          <w:divId w:val="1420716912"/>
          <w:tblCellSpacing w:w="15" w:type="dxa"/>
        </w:trPr>
        <w:tc>
          <w:tcPr>
            <w:tcW w:w="0" w:type="auto"/>
            <w:vAlign w:val="center"/>
            <w:hideMark/>
          </w:tcPr>
          <w:p w:rsidR="00A04969" w:rsidRPr="00866F44" w:rsidRDefault="00347F2A">
            <w:pPr>
              <w:divId w:val="755591058"/>
              <w:rPr>
                <w:rFonts w:ascii="Lato" w:eastAsia="Times New Roman" w:hAnsi="Lato"/>
                <w:color w:val="000000"/>
                <w:sz w:val="20"/>
                <w:szCs w:val="20"/>
              </w:rPr>
            </w:pPr>
            <w:r w:rsidRPr="00866F44">
              <w:rPr>
                <w:rFonts w:ascii="Lato" w:eastAsia="Times New Roman" w:hAnsi="Lato"/>
                <w:color w:val="000000"/>
                <w:sz w:val="20"/>
                <w:szCs w:val="20"/>
              </w:rPr>
              <w:t>IMPUESTO AL VALOR AGREGADO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58,553.00</w:t>
            </w:r>
          </w:p>
        </w:tc>
      </w:tr>
      <w:tr w:rsidR="00A04969" w:rsidRPr="00866F44">
        <w:trPr>
          <w:divId w:val="1420716912"/>
          <w:tblCellSpacing w:w="15" w:type="dxa"/>
        </w:trPr>
        <w:tc>
          <w:tcPr>
            <w:tcW w:w="0" w:type="auto"/>
            <w:vAlign w:val="center"/>
            <w:hideMark/>
          </w:tcPr>
          <w:p w:rsidR="00A04969" w:rsidRPr="00866F44" w:rsidRDefault="00347F2A">
            <w:pPr>
              <w:divId w:val="72826464"/>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162,464,553.16</w:t>
            </w:r>
          </w:p>
        </w:tc>
      </w:tr>
    </w:tbl>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87"/>
        <w:gridCol w:w="1489"/>
      </w:tblGrid>
      <w:tr w:rsidR="00A04969" w:rsidRPr="00866F44">
        <w:trPr>
          <w:divId w:val="160894"/>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PORCIÓN A CORTO PLAZO DE LA DEUDA PÚBLICA INTERNA</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60894"/>
          <w:tblCellSpacing w:w="15" w:type="dxa"/>
        </w:trPr>
        <w:tc>
          <w:tcPr>
            <w:tcW w:w="0" w:type="auto"/>
            <w:vAlign w:val="center"/>
            <w:hideMark/>
          </w:tcPr>
          <w:p w:rsidR="00A04969" w:rsidRPr="00866F44" w:rsidRDefault="00347F2A">
            <w:pPr>
              <w:divId w:val="1715036929"/>
              <w:rPr>
                <w:rFonts w:ascii="Lato" w:eastAsia="Times New Roman" w:hAnsi="Lato"/>
                <w:color w:val="000000"/>
                <w:sz w:val="20"/>
                <w:szCs w:val="20"/>
              </w:rPr>
            </w:pPr>
            <w:r w:rsidRPr="00866F44">
              <w:rPr>
                <w:rFonts w:ascii="Lato" w:eastAsia="Times New Roman" w:hAnsi="Lato"/>
                <w:color w:val="000000"/>
                <w:sz w:val="20"/>
                <w:szCs w:val="20"/>
              </w:rPr>
              <w:t>BANAMEX YUCATÁN SEGURO(2019)</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11,020,452.00</w:t>
            </w:r>
          </w:p>
        </w:tc>
      </w:tr>
      <w:tr w:rsidR="00A04969" w:rsidRPr="00866F44">
        <w:trPr>
          <w:divId w:val="160894"/>
          <w:tblCellSpacing w:w="15" w:type="dxa"/>
        </w:trPr>
        <w:tc>
          <w:tcPr>
            <w:tcW w:w="0" w:type="auto"/>
            <w:vAlign w:val="center"/>
            <w:hideMark/>
          </w:tcPr>
          <w:p w:rsidR="00A04969" w:rsidRPr="00866F44" w:rsidRDefault="00347F2A">
            <w:pPr>
              <w:divId w:val="832531444"/>
              <w:rPr>
                <w:rFonts w:ascii="Lato" w:eastAsia="Times New Roman" w:hAnsi="Lato"/>
                <w:color w:val="000000"/>
                <w:sz w:val="20"/>
                <w:szCs w:val="20"/>
              </w:rPr>
            </w:pPr>
            <w:r w:rsidRPr="00866F44">
              <w:rPr>
                <w:rFonts w:ascii="Lato" w:eastAsia="Times New Roman" w:hAnsi="Lato"/>
                <w:color w:val="000000"/>
                <w:sz w:val="20"/>
                <w:szCs w:val="20"/>
              </w:rPr>
              <w:t>BANOBRAS REFINANCIAMIENTO 2020/C1</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2,946,448.80</w:t>
            </w:r>
          </w:p>
        </w:tc>
      </w:tr>
      <w:tr w:rsidR="00A04969" w:rsidRPr="00866F44">
        <w:trPr>
          <w:divId w:val="160894"/>
          <w:tblCellSpacing w:w="15" w:type="dxa"/>
        </w:trPr>
        <w:tc>
          <w:tcPr>
            <w:tcW w:w="0" w:type="auto"/>
            <w:vAlign w:val="center"/>
            <w:hideMark/>
          </w:tcPr>
          <w:p w:rsidR="00A04969" w:rsidRPr="00866F44" w:rsidRDefault="00347F2A">
            <w:pPr>
              <w:divId w:val="712078119"/>
              <w:rPr>
                <w:rFonts w:ascii="Lato" w:eastAsia="Times New Roman" w:hAnsi="Lato"/>
                <w:color w:val="000000"/>
                <w:sz w:val="20"/>
                <w:szCs w:val="20"/>
              </w:rPr>
            </w:pPr>
            <w:r w:rsidRPr="00866F44">
              <w:rPr>
                <w:rFonts w:ascii="Lato" w:eastAsia="Times New Roman" w:hAnsi="Lato"/>
                <w:color w:val="000000"/>
                <w:sz w:val="20"/>
                <w:szCs w:val="20"/>
              </w:rPr>
              <w:lastRenderedPageBreak/>
              <w:t>BANOBRAS REFINANCIAMIENTO 2020/C2</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4,417,918.95</w:t>
            </w:r>
          </w:p>
        </w:tc>
      </w:tr>
      <w:tr w:rsidR="00A04969" w:rsidRPr="00866F44">
        <w:trPr>
          <w:divId w:val="160894"/>
          <w:tblCellSpacing w:w="15" w:type="dxa"/>
        </w:trPr>
        <w:tc>
          <w:tcPr>
            <w:tcW w:w="0" w:type="auto"/>
            <w:vAlign w:val="center"/>
            <w:hideMark/>
          </w:tcPr>
          <w:p w:rsidR="00A04969" w:rsidRPr="00866F44" w:rsidRDefault="00347F2A">
            <w:pPr>
              <w:divId w:val="1357390297"/>
              <w:rPr>
                <w:rFonts w:ascii="Lato" w:eastAsia="Times New Roman" w:hAnsi="Lato"/>
                <w:color w:val="000000"/>
                <w:sz w:val="20"/>
                <w:szCs w:val="20"/>
              </w:rPr>
            </w:pPr>
            <w:r w:rsidRPr="00866F44">
              <w:rPr>
                <w:rFonts w:ascii="Lato" w:eastAsia="Times New Roman" w:hAnsi="Lato"/>
                <w:color w:val="000000"/>
                <w:sz w:val="20"/>
                <w:szCs w:val="20"/>
              </w:rPr>
              <w:t>BANOBRAS REFINANCIAMIENTO 2020/C3</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5,085,114.49</w:t>
            </w:r>
          </w:p>
        </w:tc>
      </w:tr>
      <w:tr w:rsidR="00A04969" w:rsidRPr="00866F44">
        <w:trPr>
          <w:divId w:val="160894"/>
          <w:tblCellSpacing w:w="15" w:type="dxa"/>
        </w:trPr>
        <w:tc>
          <w:tcPr>
            <w:tcW w:w="0" w:type="auto"/>
            <w:vAlign w:val="center"/>
            <w:hideMark/>
          </w:tcPr>
          <w:p w:rsidR="00A04969" w:rsidRPr="00866F44" w:rsidRDefault="00347F2A">
            <w:pPr>
              <w:divId w:val="410539994"/>
              <w:rPr>
                <w:rFonts w:ascii="Lato" w:eastAsia="Times New Roman" w:hAnsi="Lato"/>
                <w:color w:val="000000"/>
                <w:sz w:val="20"/>
                <w:szCs w:val="20"/>
              </w:rPr>
            </w:pPr>
            <w:r w:rsidRPr="00866F44">
              <w:rPr>
                <w:rFonts w:ascii="Lato" w:eastAsia="Times New Roman" w:hAnsi="Lato"/>
                <w:color w:val="000000"/>
                <w:sz w:val="20"/>
                <w:szCs w:val="20"/>
              </w:rPr>
              <w:t>FINANCIAMIENTO BBVA IE-TRAM 2022</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4,843,273.87</w:t>
            </w:r>
          </w:p>
        </w:tc>
      </w:tr>
      <w:tr w:rsidR="00A04969" w:rsidRPr="00866F44">
        <w:trPr>
          <w:divId w:val="160894"/>
          <w:tblCellSpacing w:w="15" w:type="dxa"/>
        </w:trPr>
        <w:tc>
          <w:tcPr>
            <w:tcW w:w="0" w:type="auto"/>
            <w:vAlign w:val="center"/>
            <w:hideMark/>
          </w:tcPr>
          <w:p w:rsidR="00A04969" w:rsidRPr="00866F44" w:rsidRDefault="00347F2A">
            <w:pPr>
              <w:divId w:val="1759129303"/>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28,313,208.11</w:t>
            </w:r>
          </w:p>
        </w:tc>
      </w:tr>
    </w:tbl>
    <w:p w:rsidR="00A04969" w:rsidRPr="00866F44" w:rsidRDefault="00A04969">
      <w:pPr>
        <w:divId w:val="1117408903"/>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121"/>
        <w:gridCol w:w="1655"/>
      </w:tblGrid>
      <w:tr w:rsidR="00A04969" w:rsidRPr="00866F44">
        <w:trPr>
          <w:divId w:val="1475758978"/>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DEUDA PÚBLICA A LARGO PLAZO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475758978"/>
          <w:tblCellSpacing w:w="15" w:type="dxa"/>
        </w:trPr>
        <w:tc>
          <w:tcPr>
            <w:tcW w:w="0" w:type="auto"/>
            <w:vAlign w:val="center"/>
            <w:hideMark/>
          </w:tcPr>
          <w:p w:rsidR="00A04969" w:rsidRPr="00866F44" w:rsidRDefault="00347F2A">
            <w:pPr>
              <w:divId w:val="1491018779"/>
              <w:rPr>
                <w:rFonts w:ascii="Lato" w:eastAsia="Times New Roman" w:hAnsi="Lato"/>
                <w:sz w:val="20"/>
                <w:szCs w:val="20"/>
              </w:rPr>
            </w:pPr>
            <w:r w:rsidRPr="00866F44">
              <w:rPr>
                <w:rStyle w:val="Textoennegrita"/>
                <w:rFonts w:ascii="Lato" w:eastAsia="Times New Roman" w:hAnsi="Lato"/>
                <w:color w:val="000000"/>
                <w:sz w:val="20"/>
                <w:szCs w:val="20"/>
              </w:rPr>
              <w:t>PRÉSTAMOS DE LA DEUDA PÚBLICA INTERNA POR PAGAR A LARGO PLAZO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475758978"/>
          <w:tblCellSpacing w:w="15" w:type="dxa"/>
        </w:trPr>
        <w:tc>
          <w:tcPr>
            <w:tcW w:w="0" w:type="auto"/>
            <w:vAlign w:val="center"/>
            <w:hideMark/>
          </w:tcPr>
          <w:p w:rsidR="00A04969" w:rsidRPr="00866F44" w:rsidRDefault="00347F2A">
            <w:pPr>
              <w:divId w:val="632490275"/>
              <w:rPr>
                <w:rFonts w:ascii="Lato" w:eastAsia="Times New Roman" w:hAnsi="Lato"/>
                <w:color w:val="000000"/>
                <w:sz w:val="20"/>
                <w:szCs w:val="20"/>
              </w:rPr>
            </w:pPr>
            <w:r w:rsidRPr="00866F44">
              <w:rPr>
                <w:rFonts w:ascii="Lato" w:eastAsia="Times New Roman" w:hAnsi="Lato"/>
                <w:color w:val="000000"/>
                <w:sz w:val="20"/>
                <w:szCs w:val="20"/>
              </w:rPr>
              <w:t>BANAMEX YUCATAN SEGURO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2,482,598,637.32</w:t>
            </w:r>
          </w:p>
        </w:tc>
      </w:tr>
      <w:tr w:rsidR="00A04969" w:rsidRPr="00866F44">
        <w:trPr>
          <w:divId w:val="1475758978"/>
          <w:tblCellSpacing w:w="15" w:type="dxa"/>
        </w:trPr>
        <w:tc>
          <w:tcPr>
            <w:tcW w:w="0" w:type="auto"/>
            <w:vAlign w:val="center"/>
            <w:hideMark/>
          </w:tcPr>
          <w:p w:rsidR="00A04969" w:rsidRPr="00866F44" w:rsidRDefault="00347F2A">
            <w:pPr>
              <w:divId w:val="556204548"/>
              <w:rPr>
                <w:rFonts w:ascii="Lato" w:eastAsia="Times New Roman" w:hAnsi="Lato"/>
                <w:color w:val="000000"/>
                <w:sz w:val="20"/>
                <w:szCs w:val="20"/>
              </w:rPr>
            </w:pPr>
            <w:r w:rsidRPr="00866F44">
              <w:rPr>
                <w:rFonts w:ascii="Lato" w:eastAsia="Times New Roman" w:hAnsi="Lato"/>
                <w:color w:val="000000"/>
                <w:sz w:val="20"/>
                <w:szCs w:val="20"/>
              </w:rPr>
              <w:t>BANOBRAS PROFISE</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306,931,762.00</w:t>
            </w:r>
          </w:p>
        </w:tc>
      </w:tr>
      <w:tr w:rsidR="00A04969" w:rsidRPr="00866F44">
        <w:trPr>
          <w:divId w:val="1475758978"/>
          <w:tblCellSpacing w:w="15" w:type="dxa"/>
        </w:trPr>
        <w:tc>
          <w:tcPr>
            <w:tcW w:w="0" w:type="auto"/>
            <w:vAlign w:val="center"/>
            <w:hideMark/>
          </w:tcPr>
          <w:p w:rsidR="00A04969" w:rsidRPr="00866F44" w:rsidRDefault="00347F2A">
            <w:pPr>
              <w:divId w:val="1599096748"/>
              <w:rPr>
                <w:rFonts w:ascii="Lato" w:eastAsia="Times New Roman" w:hAnsi="Lato"/>
                <w:color w:val="000000"/>
                <w:sz w:val="20"/>
                <w:szCs w:val="20"/>
              </w:rPr>
            </w:pPr>
            <w:r w:rsidRPr="00866F44">
              <w:rPr>
                <w:rFonts w:ascii="Lato" w:eastAsia="Times New Roman" w:hAnsi="Lato"/>
                <w:color w:val="000000"/>
                <w:sz w:val="20"/>
                <w:szCs w:val="20"/>
              </w:rPr>
              <w:t>BANOBRAS REFINANCIAMIENTO 2020/C1</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762,735,251.20</w:t>
            </w:r>
          </w:p>
        </w:tc>
      </w:tr>
      <w:tr w:rsidR="00A04969" w:rsidRPr="00866F44">
        <w:trPr>
          <w:divId w:val="1475758978"/>
          <w:tblCellSpacing w:w="15" w:type="dxa"/>
        </w:trPr>
        <w:tc>
          <w:tcPr>
            <w:tcW w:w="0" w:type="auto"/>
            <w:vAlign w:val="center"/>
            <w:hideMark/>
          </w:tcPr>
          <w:p w:rsidR="00A04969" w:rsidRPr="00866F44" w:rsidRDefault="00347F2A">
            <w:pPr>
              <w:divId w:val="830104142"/>
              <w:rPr>
                <w:rFonts w:ascii="Lato" w:eastAsia="Times New Roman" w:hAnsi="Lato"/>
                <w:color w:val="000000"/>
                <w:sz w:val="20"/>
                <w:szCs w:val="20"/>
              </w:rPr>
            </w:pPr>
            <w:r w:rsidRPr="00866F44">
              <w:rPr>
                <w:rFonts w:ascii="Lato" w:eastAsia="Times New Roman" w:hAnsi="Lato"/>
                <w:color w:val="000000"/>
                <w:sz w:val="20"/>
                <w:szCs w:val="20"/>
              </w:rPr>
              <w:t>BANOBRAS REFINANCIAMIENTO 2020/C2</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1,144,459,934.28</w:t>
            </w:r>
          </w:p>
        </w:tc>
      </w:tr>
      <w:tr w:rsidR="00A04969" w:rsidRPr="00866F44">
        <w:trPr>
          <w:divId w:val="1475758978"/>
          <w:tblCellSpacing w:w="15" w:type="dxa"/>
        </w:trPr>
        <w:tc>
          <w:tcPr>
            <w:tcW w:w="0" w:type="auto"/>
            <w:vAlign w:val="center"/>
            <w:hideMark/>
          </w:tcPr>
          <w:p w:rsidR="00A04969" w:rsidRPr="00866F44" w:rsidRDefault="00347F2A">
            <w:pPr>
              <w:divId w:val="2011252639"/>
              <w:rPr>
                <w:rFonts w:ascii="Lato" w:eastAsia="Times New Roman" w:hAnsi="Lato"/>
                <w:color w:val="000000"/>
                <w:sz w:val="20"/>
                <w:szCs w:val="20"/>
              </w:rPr>
            </w:pPr>
            <w:r w:rsidRPr="00866F44">
              <w:rPr>
                <w:rFonts w:ascii="Lato" w:eastAsia="Times New Roman" w:hAnsi="Lato"/>
                <w:color w:val="000000"/>
                <w:sz w:val="20"/>
                <w:szCs w:val="20"/>
              </w:rPr>
              <w:t>BANOBRAS REFINANCIAMIENTO 2020/C3</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1,316,362,965.04</w:t>
            </w:r>
          </w:p>
        </w:tc>
      </w:tr>
      <w:tr w:rsidR="00A04969" w:rsidRPr="00866F44">
        <w:trPr>
          <w:divId w:val="1475758978"/>
          <w:tblCellSpacing w:w="15" w:type="dxa"/>
        </w:trPr>
        <w:tc>
          <w:tcPr>
            <w:tcW w:w="0" w:type="auto"/>
            <w:vAlign w:val="center"/>
            <w:hideMark/>
          </w:tcPr>
          <w:p w:rsidR="00A04969" w:rsidRPr="00866F44" w:rsidRDefault="00347F2A">
            <w:pPr>
              <w:divId w:val="1226724898"/>
              <w:rPr>
                <w:rFonts w:ascii="Lato" w:eastAsia="Times New Roman" w:hAnsi="Lato"/>
                <w:color w:val="000000"/>
                <w:sz w:val="20"/>
                <w:szCs w:val="20"/>
              </w:rPr>
            </w:pPr>
            <w:r w:rsidRPr="00866F44">
              <w:rPr>
                <w:rFonts w:ascii="Lato" w:eastAsia="Times New Roman" w:hAnsi="Lato"/>
                <w:color w:val="000000"/>
                <w:sz w:val="20"/>
                <w:szCs w:val="20"/>
              </w:rPr>
              <w:t>EMPRÉSTITOS CON FUENTE DE PAGO PARTICIPACIONES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1,711,054,319.40</w:t>
            </w:r>
          </w:p>
        </w:tc>
      </w:tr>
      <w:tr w:rsidR="00A04969" w:rsidRPr="00866F44">
        <w:trPr>
          <w:divId w:val="1475758978"/>
          <w:tblCellSpacing w:w="15" w:type="dxa"/>
        </w:trPr>
        <w:tc>
          <w:tcPr>
            <w:tcW w:w="0" w:type="auto"/>
            <w:vAlign w:val="center"/>
            <w:hideMark/>
          </w:tcPr>
          <w:p w:rsidR="00A04969" w:rsidRPr="00866F44" w:rsidRDefault="00347F2A">
            <w:pPr>
              <w:divId w:val="1696886927"/>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7,724,142,869.24</w:t>
            </w:r>
          </w:p>
        </w:tc>
      </w:tr>
    </w:tbl>
    <w:p w:rsidR="00A04969" w:rsidRPr="00866F44" w:rsidRDefault="00A04969">
      <w:pPr>
        <w:divId w:val="1573663014"/>
        <w:rPr>
          <w:rFonts w:ascii="Lato" w:eastAsia="Times New Roman" w:hAnsi="Lato"/>
          <w:sz w:val="20"/>
          <w:szCs w:val="20"/>
        </w:rPr>
      </w:pPr>
    </w:p>
    <w:p w:rsidR="00A04969" w:rsidRPr="00866F44" w:rsidRDefault="00347F2A" w:rsidP="00731B8C">
      <w:pPr>
        <w:spacing w:line="360" w:lineRule="auto"/>
        <w:divId w:val="152648547"/>
        <w:rPr>
          <w:rFonts w:ascii="Lato" w:eastAsia="Times New Roman" w:hAnsi="Lato"/>
          <w:sz w:val="20"/>
          <w:szCs w:val="20"/>
        </w:rPr>
      </w:pPr>
      <w:r w:rsidRPr="00866F44">
        <w:rPr>
          <w:rFonts w:ascii="Lato" w:eastAsia="Times New Roman" w:hAnsi="Lato"/>
          <w:sz w:val="20"/>
          <w:szCs w:val="20"/>
        </w:rPr>
        <w:t>El Pasivo Circulante, representa aquellas obligaciones en las que la exigibilidad de pago es menor a un año y lo constituyen las fuentes principales de financiamiento, se incluyen principalmente las cuentas por pagar de operaciones contabilizadas al 30 de septiembre de 2024.</w:t>
      </w:r>
    </w:p>
    <w:p w:rsidR="00A04969" w:rsidRPr="00866F44" w:rsidRDefault="00347F2A" w:rsidP="00731B8C">
      <w:pPr>
        <w:spacing w:line="360" w:lineRule="auto"/>
        <w:divId w:val="1360862063"/>
        <w:rPr>
          <w:rFonts w:ascii="Lato" w:eastAsia="Times New Roman" w:hAnsi="Lato"/>
          <w:sz w:val="20"/>
          <w:szCs w:val="20"/>
        </w:rPr>
      </w:pPr>
      <w:r w:rsidRPr="00866F44">
        <w:rPr>
          <w:rFonts w:ascii="Lato" w:eastAsia="Times New Roman" w:hAnsi="Lato"/>
          <w:sz w:val="20"/>
          <w:szCs w:val="20"/>
        </w:rPr>
        <w:lastRenderedPageBreak/>
        <w:t>Asimismo, dentro de este rubro se realizó la provisión de las operaciones de pasivo circulante que las Unidades Responsables del Gasto integran al Sistema como parte del gasto al cierre del mes de septiembre.</w:t>
      </w:r>
    </w:p>
    <w:p w:rsidR="00A04969" w:rsidRPr="00866F44" w:rsidRDefault="00347F2A" w:rsidP="00731B8C">
      <w:pPr>
        <w:spacing w:line="360" w:lineRule="auto"/>
        <w:divId w:val="948896811"/>
        <w:rPr>
          <w:rFonts w:ascii="Lato" w:eastAsia="Times New Roman" w:hAnsi="Lato"/>
          <w:sz w:val="20"/>
          <w:szCs w:val="20"/>
        </w:rPr>
      </w:pPr>
      <w:r w:rsidRPr="00866F44">
        <w:rPr>
          <w:rFonts w:ascii="Lato" w:eastAsia="Times New Roman" w:hAnsi="Lato"/>
          <w:sz w:val="20"/>
          <w:szCs w:val="20"/>
        </w:rPr>
        <w:t xml:space="preserve">En cuanto al rubro de Pasivo no Circulante, este se constituye por las obligaciones del Poder Ejecutivo, cuyo vencimiento será posterior a doce meses, tal es el caso de la cuenta denominada “Deuda Pública a Largo Plazo”. </w:t>
      </w:r>
    </w:p>
    <w:p w:rsidR="00A04969" w:rsidRPr="00866F44" w:rsidRDefault="00347F2A" w:rsidP="00731B8C">
      <w:pPr>
        <w:spacing w:line="360" w:lineRule="auto"/>
        <w:divId w:val="1739861618"/>
        <w:rPr>
          <w:rFonts w:ascii="Lato" w:eastAsia="Times New Roman" w:hAnsi="Lato"/>
          <w:sz w:val="20"/>
          <w:szCs w:val="20"/>
        </w:rPr>
      </w:pPr>
      <w:r w:rsidRPr="00866F44">
        <w:rPr>
          <w:rFonts w:ascii="Lato" w:eastAsia="Times New Roman" w:hAnsi="Lato"/>
          <w:sz w:val="20"/>
          <w:szCs w:val="20"/>
        </w:rPr>
        <w:t>2.- En la cuenta de fondos y bienes de terceros en garantía y/o administración a corto plazo, se integra por las cauciones de terceros depositados por las que se emiten recibos oficiales, estas son recuperadas por los terceros en el momento en que la acción jurídica iniciada en su contra haya sido resuelta en su favor y mediante solicitud por parte del beneficiario, generándose la cuenta por pagar respectiva.</w:t>
      </w:r>
    </w:p>
    <w:p w:rsidR="007D57B5" w:rsidRPr="00866F44" w:rsidRDefault="007D57B5">
      <w:pPr>
        <w:divId w:val="1596864768"/>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399"/>
        <w:gridCol w:w="1377"/>
      </w:tblGrid>
      <w:tr w:rsidR="00A04969" w:rsidRPr="00866F44">
        <w:trPr>
          <w:divId w:val="1583249206"/>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FONDOS EN GARANTÍA A CORTO PLAZO</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divId w:val="1583249206"/>
          <w:tblCellSpacing w:w="15" w:type="dxa"/>
        </w:trPr>
        <w:tc>
          <w:tcPr>
            <w:tcW w:w="0" w:type="auto"/>
            <w:vAlign w:val="center"/>
            <w:hideMark/>
          </w:tcPr>
          <w:p w:rsidR="00A04969" w:rsidRPr="00866F44" w:rsidRDefault="00347F2A">
            <w:pPr>
              <w:divId w:val="57829526"/>
              <w:rPr>
                <w:rFonts w:ascii="Lato" w:eastAsia="Times New Roman" w:hAnsi="Lato"/>
                <w:color w:val="000000"/>
                <w:sz w:val="20"/>
                <w:szCs w:val="20"/>
              </w:rPr>
            </w:pPr>
            <w:r w:rsidRPr="00866F44">
              <w:rPr>
                <w:rFonts w:ascii="Lato" w:eastAsia="Times New Roman" w:hAnsi="Lato"/>
                <w:color w:val="000000"/>
                <w:sz w:val="20"/>
                <w:szCs w:val="20"/>
              </w:rPr>
              <w:t>PODER JUDICIAL DEL ESTADO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209,272.38</w:t>
            </w:r>
          </w:p>
        </w:tc>
      </w:tr>
      <w:tr w:rsidR="00A04969" w:rsidRPr="00866F44">
        <w:trPr>
          <w:divId w:val="1583249206"/>
          <w:tblCellSpacing w:w="15" w:type="dxa"/>
        </w:trPr>
        <w:tc>
          <w:tcPr>
            <w:tcW w:w="0" w:type="auto"/>
            <w:vAlign w:val="center"/>
            <w:hideMark/>
          </w:tcPr>
          <w:p w:rsidR="00A04969" w:rsidRPr="00866F44" w:rsidRDefault="00347F2A">
            <w:pPr>
              <w:divId w:val="1874346579"/>
              <w:rPr>
                <w:rFonts w:ascii="Lato" w:eastAsia="Times New Roman" w:hAnsi="Lato"/>
                <w:color w:val="000000"/>
                <w:sz w:val="20"/>
                <w:szCs w:val="20"/>
              </w:rPr>
            </w:pPr>
            <w:r w:rsidRPr="00866F44">
              <w:rPr>
                <w:rFonts w:ascii="Lato" w:eastAsia="Times New Roman" w:hAnsi="Lato"/>
                <w:color w:val="000000"/>
                <w:sz w:val="20"/>
                <w:szCs w:val="20"/>
              </w:rPr>
              <w:t>MINISTERIO PUBLICO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51,538,879.22</w:t>
            </w:r>
          </w:p>
        </w:tc>
      </w:tr>
      <w:tr w:rsidR="00A04969" w:rsidRPr="00866F44">
        <w:trPr>
          <w:divId w:val="1583249206"/>
          <w:tblCellSpacing w:w="15" w:type="dxa"/>
        </w:trPr>
        <w:tc>
          <w:tcPr>
            <w:tcW w:w="0" w:type="auto"/>
            <w:vAlign w:val="center"/>
            <w:hideMark/>
          </w:tcPr>
          <w:p w:rsidR="00A04969" w:rsidRPr="00866F44" w:rsidRDefault="00347F2A">
            <w:pPr>
              <w:divId w:val="320818016"/>
              <w:rPr>
                <w:rFonts w:ascii="Lato" w:eastAsia="Times New Roman" w:hAnsi="Lato"/>
                <w:color w:val="000000"/>
                <w:sz w:val="20"/>
                <w:szCs w:val="20"/>
              </w:rPr>
            </w:pPr>
            <w:r w:rsidRPr="00866F44">
              <w:rPr>
                <w:rFonts w:ascii="Lato" w:eastAsia="Times New Roman" w:hAnsi="Lato"/>
                <w:color w:val="000000"/>
                <w:sz w:val="20"/>
                <w:szCs w:val="20"/>
              </w:rPr>
              <w:t>DEP. JUDICIALES REGIMEN ANTERIOR</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9,990,743.12</w:t>
            </w:r>
          </w:p>
        </w:tc>
      </w:tr>
      <w:tr w:rsidR="00A04969" w:rsidRPr="00866F44">
        <w:trPr>
          <w:divId w:val="1583249206"/>
          <w:tblCellSpacing w:w="15" w:type="dxa"/>
        </w:trPr>
        <w:tc>
          <w:tcPr>
            <w:tcW w:w="0" w:type="auto"/>
            <w:vAlign w:val="center"/>
            <w:hideMark/>
          </w:tcPr>
          <w:p w:rsidR="00A04969" w:rsidRPr="00866F44" w:rsidRDefault="00347F2A">
            <w:pPr>
              <w:divId w:val="873539560"/>
              <w:rPr>
                <w:rFonts w:ascii="Lato" w:eastAsia="Times New Roman" w:hAnsi="Lato"/>
                <w:color w:val="000000"/>
                <w:sz w:val="20"/>
                <w:szCs w:val="20"/>
              </w:rPr>
            </w:pPr>
            <w:r w:rsidRPr="00866F44">
              <w:rPr>
                <w:rFonts w:ascii="Lato" w:eastAsia="Times New Roman" w:hAnsi="Lato"/>
                <w:color w:val="000000"/>
                <w:sz w:val="20"/>
                <w:szCs w:val="20"/>
              </w:rPr>
              <w:t>CONSEJO TUTELAR MENORES INFRACTORES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122,320.71</w:t>
            </w:r>
          </w:p>
        </w:tc>
      </w:tr>
      <w:tr w:rsidR="00A04969" w:rsidRPr="00866F44">
        <w:trPr>
          <w:divId w:val="1583249206"/>
          <w:tblCellSpacing w:w="15" w:type="dxa"/>
        </w:trPr>
        <w:tc>
          <w:tcPr>
            <w:tcW w:w="0" w:type="auto"/>
            <w:vAlign w:val="center"/>
            <w:hideMark/>
          </w:tcPr>
          <w:p w:rsidR="00A04969" w:rsidRPr="00866F44" w:rsidRDefault="00347F2A">
            <w:pPr>
              <w:divId w:val="256913845"/>
              <w:rPr>
                <w:rFonts w:ascii="Lato" w:eastAsia="Times New Roman" w:hAnsi="Lato"/>
                <w:color w:val="000000"/>
                <w:sz w:val="20"/>
                <w:szCs w:val="20"/>
              </w:rPr>
            </w:pPr>
            <w:r w:rsidRPr="00866F44">
              <w:rPr>
                <w:rFonts w:ascii="Lato" w:eastAsia="Times New Roman" w:hAnsi="Lato"/>
                <w:color w:val="000000"/>
                <w:sz w:val="20"/>
                <w:szCs w:val="20"/>
              </w:rPr>
              <w:t>AGENCIA DE ADMINISTRACIÓN FISCAL DE YUCATÁN</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19,000.10</w:t>
            </w:r>
          </w:p>
        </w:tc>
      </w:tr>
      <w:tr w:rsidR="00A04969" w:rsidRPr="00866F44">
        <w:trPr>
          <w:divId w:val="1583249206"/>
          <w:tblCellSpacing w:w="15" w:type="dxa"/>
        </w:trPr>
        <w:tc>
          <w:tcPr>
            <w:tcW w:w="0" w:type="auto"/>
            <w:vAlign w:val="center"/>
            <w:hideMark/>
          </w:tcPr>
          <w:p w:rsidR="00A04969" w:rsidRPr="00866F44" w:rsidRDefault="00347F2A">
            <w:pPr>
              <w:divId w:val="280503391"/>
              <w:rPr>
                <w:rFonts w:ascii="Lato" w:eastAsia="Times New Roman" w:hAnsi="Lato"/>
                <w:color w:val="000000"/>
                <w:sz w:val="20"/>
                <w:szCs w:val="20"/>
              </w:rPr>
            </w:pPr>
            <w:r w:rsidRPr="00866F44">
              <w:rPr>
                <w:rFonts w:ascii="Lato" w:eastAsia="Times New Roman" w:hAnsi="Lato"/>
                <w:color w:val="000000"/>
                <w:sz w:val="20"/>
                <w:szCs w:val="20"/>
              </w:rPr>
              <w:t>VICEFISCALIA ESPECIALIZADA EN COMBATE A LA CORRUPCION DE LA FGE</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2,550.00</w:t>
            </w:r>
          </w:p>
        </w:tc>
      </w:tr>
      <w:tr w:rsidR="00A04969" w:rsidRPr="00866F44">
        <w:trPr>
          <w:divId w:val="1583249206"/>
          <w:tblCellSpacing w:w="15" w:type="dxa"/>
        </w:trPr>
        <w:tc>
          <w:tcPr>
            <w:tcW w:w="0" w:type="auto"/>
            <w:vAlign w:val="center"/>
            <w:hideMark/>
          </w:tcPr>
          <w:p w:rsidR="00A04969" w:rsidRPr="00866F44" w:rsidRDefault="00347F2A">
            <w:pPr>
              <w:divId w:val="1746950255"/>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61,882,765.53</w:t>
            </w:r>
          </w:p>
        </w:tc>
      </w:tr>
    </w:tbl>
    <w:tbl>
      <w:tblPr>
        <w:tblW w:w="7400" w:type="dxa"/>
        <w:tblCellMar>
          <w:left w:w="70" w:type="dxa"/>
          <w:right w:w="70" w:type="dxa"/>
        </w:tblCellMar>
        <w:tblLook w:val="04A0" w:firstRow="1" w:lastRow="0" w:firstColumn="1" w:lastColumn="0" w:noHBand="0" w:noVBand="1"/>
      </w:tblPr>
      <w:tblGrid>
        <w:gridCol w:w="5380"/>
        <w:gridCol w:w="2020"/>
      </w:tblGrid>
      <w:tr w:rsidR="002217E5" w:rsidRPr="00866F44" w:rsidTr="002217E5">
        <w:trPr>
          <w:divId w:val="286667834"/>
          <w:trHeight w:val="300"/>
        </w:trPr>
        <w:tc>
          <w:tcPr>
            <w:tcW w:w="5380" w:type="dxa"/>
            <w:tcBorders>
              <w:top w:val="nil"/>
              <w:left w:val="nil"/>
              <w:bottom w:val="nil"/>
              <w:right w:val="nil"/>
            </w:tcBorders>
            <w:shd w:val="clear" w:color="auto" w:fill="auto"/>
            <w:noWrap/>
            <w:vAlign w:val="bottom"/>
            <w:hideMark/>
          </w:tcPr>
          <w:p w:rsidR="000A7242" w:rsidRDefault="000A7242" w:rsidP="002217E5">
            <w:pPr>
              <w:spacing w:after="0" w:line="240" w:lineRule="auto"/>
              <w:rPr>
                <w:rFonts w:ascii="Lato" w:eastAsia="Times New Roman" w:hAnsi="Lato" w:cs="Calibri"/>
                <w:b/>
                <w:bCs/>
                <w:color w:val="000000"/>
                <w:sz w:val="20"/>
                <w:szCs w:val="20"/>
              </w:rPr>
            </w:pPr>
          </w:p>
          <w:p w:rsidR="000A7242" w:rsidRDefault="000A7242" w:rsidP="002217E5">
            <w:pPr>
              <w:spacing w:after="0" w:line="240" w:lineRule="auto"/>
              <w:rPr>
                <w:rFonts w:ascii="Lato" w:eastAsia="Times New Roman" w:hAnsi="Lato" w:cs="Calibri"/>
                <w:b/>
                <w:bCs/>
                <w:color w:val="000000"/>
                <w:sz w:val="20"/>
                <w:szCs w:val="20"/>
              </w:rPr>
            </w:pPr>
          </w:p>
          <w:p w:rsidR="000A7242" w:rsidRDefault="000A7242" w:rsidP="002217E5">
            <w:pPr>
              <w:spacing w:after="0" w:line="240" w:lineRule="auto"/>
              <w:rPr>
                <w:rFonts w:ascii="Lato" w:eastAsia="Times New Roman" w:hAnsi="Lato" w:cs="Calibri"/>
                <w:b/>
                <w:bCs/>
                <w:color w:val="000000"/>
                <w:sz w:val="20"/>
                <w:szCs w:val="20"/>
              </w:rPr>
            </w:pPr>
          </w:p>
          <w:p w:rsidR="000A7242" w:rsidRDefault="000A7242" w:rsidP="002217E5">
            <w:pPr>
              <w:spacing w:after="0" w:line="240" w:lineRule="auto"/>
              <w:rPr>
                <w:rFonts w:ascii="Lato" w:eastAsia="Times New Roman" w:hAnsi="Lato" w:cs="Calibri"/>
                <w:b/>
                <w:bCs/>
                <w:color w:val="000000"/>
                <w:sz w:val="20"/>
                <w:szCs w:val="20"/>
              </w:rPr>
            </w:pPr>
          </w:p>
          <w:p w:rsidR="002217E5" w:rsidRPr="00866F44" w:rsidRDefault="002217E5" w:rsidP="002217E5">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lastRenderedPageBreak/>
              <w:t>OTROS PASIVOS A CORTO PLAZO</w:t>
            </w:r>
          </w:p>
        </w:tc>
        <w:tc>
          <w:tcPr>
            <w:tcW w:w="2020" w:type="dxa"/>
            <w:tcBorders>
              <w:top w:val="nil"/>
              <w:left w:val="nil"/>
              <w:bottom w:val="nil"/>
              <w:right w:val="nil"/>
            </w:tcBorders>
            <w:shd w:val="clear" w:color="auto" w:fill="auto"/>
            <w:noWrap/>
            <w:hideMark/>
          </w:tcPr>
          <w:p w:rsidR="002217E5" w:rsidRPr="00866F44" w:rsidRDefault="002217E5" w:rsidP="002217E5">
            <w:pPr>
              <w:spacing w:after="0" w:line="240" w:lineRule="auto"/>
              <w:rPr>
                <w:rFonts w:ascii="Lato" w:eastAsia="Times New Roman" w:hAnsi="Lato" w:cs="Calibri"/>
                <w:b/>
                <w:bCs/>
                <w:color w:val="000000"/>
                <w:sz w:val="20"/>
                <w:szCs w:val="20"/>
              </w:rPr>
            </w:pPr>
          </w:p>
        </w:tc>
      </w:tr>
      <w:tr w:rsidR="002217E5" w:rsidRPr="00866F44" w:rsidTr="002217E5">
        <w:trPr>
          <w:divId w:val="286667834"/>
          <w:trHeight w:val="300"/>
        </w:trPr>
        <w:tc>
          <w:tcPr>
            <w:tcW w:w="5380" w:type="dxa"/>
            <w:tcBorders>
              <w:top w:val="nil"/>
              <w:left w:val="nil"/>
              <w:bottom w:val="nil"/>
              <w:right w:val="nil"/>
            </w:tcBorders>
            <w:shd w:val="clear" w:color="auto" w:fill="auto"/>
            <w:noWrap/>
            <w:vAlign w:val="bottom"/>
            <w:hideMark/>
          </w:tcPr>
          <w:p w:rsidR="002217E5" w:rsidRPr="00866F44" w:rsidRDefault="002217E5" w:rsidP="002217E5">
            <w:pPr>
              <w:spacing w:after="0" w:line="240" w:lineRule="auto"/>
              <w:rPr>
                <w:rFonts w:ascii="Lato" w:eastAsia="Times New Roman" w:hAnsi="Lato" w:cs="Times New Roman"/>
                <w:sz w:val="20"/>
                <w:szCs w:val="20"/>
              </w:rPr>
            </w:pPr>
          </w:p>
        </w:tc>
        <w:tc>
          <w:tcPr>
            <w:tcW w:w="2020" w:type="dxa"/>
            <w:tcBorders>
              <w:top w:val="nil"/>
              <w:left w:val="nil"/>
              <w:bottom w:val="nil"/>
              <w:right w:val="nil"/>
            </w:tcBorders>
            <w:shd w:val="clear" w:color="auto" w:fill="auto"/>
            <w:noWrap/>
            <w:hideMark/>
          </w:tcPr>
          <w:p w:rsidR="002217E5" w:rsidRPr="00866F44" w:rsidRDefault="002217E5" w:rsidP="002217E5">
            <w:pPr>
              <w:spacing w:after="0" w:line="240" w:lineRule="auto"/>
              <w:rPr>
                <w:rFonts w:ascii="Lato" w:eastAsia="Times New Roman" w:hAnsi="Lato" w:cs="Times New Roman"/>
                <w:sz w:val="20"/>
                <w:szCs w:val="20"/>
              </w:rPr>
            </w:pPr>
          </w:p>
        </w:tc>
      </w:tr>
      <w:tr w:rsidR="002217E5" w:rsidRPr="00866F44" w:rsidTr="002217E5">
        <w:trPr>
          <w:divId w:val="286667834"/>
          <w:trHeight w:val="300"/>
        </w:trPr>
        <w:tc>
          <w:tcPr>
            <w:tcW w:w="5380" w:type="dxa"/>
            <w:tcBorders>
              <w:top w:val="nil"/>
              <w:left w:val="nil"/>
              <w:bottom w:val="nil"/>
              <w:right w:val="nil"/>
            </w:tcBorders>
            <w:shd w:val="clear" w:color="auto" w:fill="auto"/>
            <w:noWrap/>
            <w:hideMark/>
          </w:tcPr>
          <w:p w:rsidR="002217E5" w:rsidRPr="00866F44" w:rsidRDefault="002217E5" w:rsidP="002217E5">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INGRESOS POR CLASIFICAR</w:t>
            </w:r>
          </w:p>
        </w:tc>
        <w:tc>
          <w:tcPr>
            <w:tcW w:w="2020" w:type="dxa"/>
            <w:tcBorders>
              <w:top w:val="nil"/>
              <w:left w:val="nil"/>
              <w:bottom w:val="nil"/>
              <w:right w:val="nil"/>
            </w:tcBorders>
            <w:shd w:val="clear" w:color="auto" w:fill="auto"/>
            <w:noWrap/>
            <w:hideMark/>
          </w:tcPr>
          <w:p w:rsidR="002217E5" w:rsidRPr="00866F44" w:rsidRDefault="002217E5" w:rsidP="002217E5">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8,545,820.99</w:t>
            </w:r>
          </w:p>
        </w:tc>
      </w:tr>
      <w:tr w:rsidR="002217E5" w:rsidRPr="00866F44" w:rsidTr="002217E5">
        <w:trPr>
          <w:divId w:val="286667834"/>
          <w:trHeight w:val="300"/>
        </w:trPr>
        <w:tc>
          <w:tcPr>
            <w:tcW w:w="5380" w:type="dxa"/>
            <w:tcBorders>
              <w:top w:val="nil"/>
              <w:left w:val="nil"/>
              <w:bottom w:val="nil"/>
              <w:right w:val="nil"/>
            </w:tcBorders>
            <w:shd w:val="clear" w:color="auto" w:fill="auto"/>
            <w:noWrap/>
            <w:hideMark/>
          </w:tcPr>
          <w:p w:rsidR="002217E5" w:rsidRPr="00866F44" w:rsidRDefault="002217E5" w:rsidP="002217E5">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RECAUDACIÓN POR PARTICIPAR</w:t>
            </w:r>
          </w:p>
        </w:tc>
        <w:tc>
          <w:tcPr>
            <w:tcW w:w="2020" w:type="dxa"/>
            <w:tcBorders>
              <w:top w:val="nil"/>
              <w:left w:val="nil"/>
              <w:bottom w:val="nil"/>
              <w:right w:val="nil"/>
            </w:tcBorders>
            <w:shd w:val="clear" w:color="auto" w:fill="auto"/>
            <w:noWrap/>
            <w:hideMark/>
          </w:tcPr>
          <w:p w:rsidR="002217E5" w:rsidRPr="00866F44" w:rsidRDefault="002217E5" w:rsidP="002217E5">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10.00</w:t>
            </w:r>
          </w:p>
        </w:tc>
      </w:tr>
      <w:tr w:rsidR="002217E5" w:rsidRPr="00866F44" w:rsidTr="002217E5">
        <w:trPr>
          <w:divId w:val="286667834"/>
          <w:trHeight w:val="300"/>
        </w:trPr>
        <w:tc>
          <w:tcPr>
            <w:tcW w:w="5380" w:type="dxa"/>
            <w:tcBorders>
              <w:top w:val="nil"/>
              <w:left w:val="nil"/>
              <w:bottom w:val="nil"/>
              <w:right w:val="nil"/>
            </w:tcBorders>
            <w:shd w:val="clear" w:color="auto" w:fill="auto"/>
            <w:noWrap/>
            <w:hideMark/>
          </w:tcPr>
          <w:p w:rsidR="002217E5" w:rsidRPr="00866F44" w:rsidRDefault="002217E5" w:rsidP="002217E5">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OTROS PASIVOS CIRCULANTES</w:t>
            </w:r>
          </w:p>
        </w:tc>
        <w:tc>
          <w:tcPr>
            <w:tcW w:w="2020" w:type="dxa"/>
            <w:tcBorders>
              <w:top w:val="nil"/>
              <w:left w:val="nil"/>
              <w:bottom w:val="nil"/>
              <w:right w:val="nil"/>
            </w:tcBorders>
            <w:shd w:val="clear" w:color="auto" w:fill="auto"/>
            <w:noWrap/>
            <w:hideMark/>
          </w:tcPr>
          <w:p w:rsidR="002217E5" w:rsidRPr="00866F44" w:rsidRDefault="002217E5" w:rsidP="002217E5">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6,700,000.00</w:t>
            </w:r>
          </w:p>
        </w:tc>
      </w:tr>
      <w:tr w:rsidR="002217E5" w:rsidRPr="00866F44" w:rsidTr="002217E5">
        <w:trPr>
          <w:divId w:val="286667834"/>
          <w:trHeight w:val="315"/>
        </w:trPr>
        <w:tc>
          <w:tcPr>
            <w:tcW w:w="5380" w:type="dxa"/>
            <w:tcBorders>
              <w:top w:val="nil"/>
              <w:left w:val="nil"/>
              <w:bottom w:val="nil"/>
              <w:right w:val="nil"/>
            </w:tcBorders>
            <w:shd w:val="clear" w:color="auto" w:fill="auto"/>
            <w:noWrap/>
            <w:hideMark/>
          </w:tcPr>
          <w:p w:rsidR="002217E5" w:rsidRPr="00866F44" w:rsidRDefault="002217E5" w:rsidP="002217E5">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TOTAL</w:t>
            </w:r>
          </w:p>
        </w:tc>
        <w:tc>
          <w:tcPr>
            <w:tcW w:w="2020" w:type="dxa"/>
            <w:tcBorders>
              <w:top w:val="single" w:sz="4" w:space="0" w:color="auto"/>
              <w:left w:val="nil"/>
              <w:bottom w:val="single" w:sz="8" w:space="0" w:color="auto"/>
              <w:right w:val="nil"/>
            </w:tcBorders>
            <w:shd w:val="clear" w:color="auto" w:fill="auto"/>
            <w:noWrap/>
            <w:vAlign w:val="bottom"/>
            <w:hideMark/>
          </w:tcPr>
          <w:p w:rsidR="002217E5" w:rsidRPr="00866F44" w:rsidRDefault="002217E5" w:rsidP="002217E5">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15,245,830.99</w:t>
            </w:r>
          </w:p>
        </w:tc>
      </w:tr>
    </w:tbl>
    <w:p w:rsidR="002217E5" w:rsidRPr="00866F44" w:rsidRDefault="002217E5">
      <w:pPr>
        <w:divId w:val="286667834"/>
        <w:rPr>
          <w:rFonts w:ascii="Lato" w:eastAsia="Times New Roman" w:hAnsi="Lato"/>
          <w:sz w:val="20"/>
          <w:szCs w:val="20"/>
        </w:rPr>
      </w:pPr>
    </w:p>
    <w:p w:rsidR="00A04969" w:rsidRPr="00866F44" w:rsidRDefault="00347F2A">
      <w:pPr>
        <w:divId w:val="787355613"/>
        <w:rPr>
          <w:rFonts w:ascii="Lato" w:eastAsia="Times New Roman" w:hAnsi="Lato"/>
          <w:sz w:val="20"/>
          <w:szCs w:val="20"/>
        </w:rPr>
      </w:pPr>
      <w:r w:rsidRPr="00866F44">
        <w:rPr>
          <w:rFonts w:ascii="Lato" w:eastAsia="Times New Roman" w:hAnsi="Lato"/>
          <w:sz w:val="20"/>
          <w:szCs w:val="20"/>
        </w:rPr>
        <w:t>3.- El Poder Ejecutivo no tiene registro de pasivos diferidos de corto o largo plazo.</w:t>
      </w:r>
    </w:p>
    <w:p w:rsidR="00A04969" w:rsidRPr="00866F44" w:rsidRDefault="00A04969">
      <w:pPr>
        <w:divId w:val="319696980"/>
        <w:rPr>
          <w:rFonts w:ascii="Lato" w:eastAsia="Times New Roman" w:hAnsi="Lato"/>
          <w:sz w:val="20"/>
          <w:szCs w:val="20"/>
        </w:rPr>
      </w:pPr>
    </w:p>
    <w:p w:rsidR="00A04969" w:rsidRPr="00866F44" w:rsidRDefault="00347F2A">
      <w:pPr>
        <w:divId w:val="482115346"/>
        <w:rPr>
          <w:rFonts w:ascii="Lato" w:eastAsia="Times New Roman" w:hAnsi="Lato"/>
          <w:sz w:val="20"/>
          <w:szCs w:val="20"/>
        </w:rPr>
      </w:pPr>
      <w:r w:rsidRPr="00866F44">
        <w:rPr>
          <w:rStyle w:val="Textoennegrita"/>
          <w:rFonts w:ascii="Lato" w:eastAsia="Times New Roman" w:hAnsi="Lato"/>
          <w:sz w:val="20"/>
          <w:szCs w:val="20"/>
        </w:rPr>
        <w:t>III) NOTAS AL ESTADO DE VARIACIONES EN LA HACIENDA PÚBLICA.</w:t>
      </w:r>
    </w:p>
    <w:p w:rsidR="00A04969" w:rsidRPr="00866F44" w:rsidRDefault="00347F2A">
      <w:pPr>
        <w:divId w:val="234821444"/>
        <w:rPr>
          <w:rFonts w:ascii="Lato" w:eastAsia="Times New Roman" w:hAnsi="Lato"/>
          <w:sz w:val="20"/>
          <w:szCs w:val="20"/>
        </w:rPr>
      </w:pPr>
      <w:r w:rsidRPr="00866F44">
        <w:rPr>
          <w:rFonts w:ascii="Lato" w:eastAsia="Times New Roman" w:hAnsi="Lato"/>
          <w:sz w:val="20"/>
          <w:szCs w:val="20"/>
        </w:rPr>
        <w:t>1.- En la cuenta de patrimonio contribuido presenta las siguientes variaciones:</w:t>
      </w:r>
    </w:p>
    <w:tbl>
      <w:tblPr>
        <w:tblW w:w="11580" w:type="dxa"/>
        <w:tblCellMar>
          <w:left w:w="70" w:type="dxa"/>
          <w:right w:w="70" w:type="dxa"/>
        </w:tblCellMar>
        <w:tblLook w:val="04A0" w:firstRow="1" w:lastRow="0" w:firstColumn="1" w:lastColumn="0" w:noHBand="0" w:noVBand="1"/>
      </w:tblPr>
      <w:tblGrid>
        <w:gridCol w:w="4860"/>
        <w:gridCol w:w="2240"/>
        <w:gridCol w:w="2240"/>
        <w:gridCol w:w="2240"/>
      </w:tblGrid>
      <w:tr w:rsidR="00AD774D" w:rsidRPr="00866F44" w:rsidTr="00AD774D">
        <w:trPr>
          <w:trHeight w:val="30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HACIENDA PUBLICA/PATRIMONIO CONTRIBUIDO</w:t>
            </w:r>
          </w:p>
        </w:tc>
        <w:tc>
          <w:tcPr>
            <w:tcW w:w="224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SALDO INICIAL</w:t>
            </w:r>
          </w:p>
        </w:tc>
        <w:tc>
          <w:tcPr>
            <w:tcW w:w="224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VARIACIONES</w:t>
            </w:r>
          </w:p>
        </w:tc>
        <w:tc>
          <w:tcPr>
            <w:tcW w:w="224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SALDO FINAL</w:t>
            </w:r>
          </w:p>
        </w:tc>
      </w:tr>
      <w:tr w:rsidR="00AD774D" w:rsidRPr="00866F44" w:rsidTr="00AD774D">
        <w:trPr>
          <w:trHeight w:val="30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APORTACIONES</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rPr>
                <w:rFonts w:ascii="Lato" w:eastAsia="Times New Roman" w:hAnsi="Lato" w:cs="Calibri"/>
                <w:color w:val="000000"/>
                <w:sz w:val="20"/>
                <w:szCs w:val="20"/>
              </w:rPr>
            </w:pP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Times New Roman"/>
                <w:sz w:val="20"/>
                <w:szCs w:val="20"/>
              </w:rPr>
            </w:pP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Times New Roman"/>
                <w:sz w:val="20"/>
                <w:szCs w:val="20"/>
              </w:rPr>
            </w:pPr>
          </w:p>
        </w:tc>
      </w:tr>
      <w:tr w:rsidR="00AD774D" w:rsidRPr="00866F44" w:rsidTr="00AD774D">
        <w:trPr>
          <w:trHeight w:val="30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PATRIMONIO NO RESTRINGIDO</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790,828,509.67</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790,828,509.67</w:t>
            </w:r>
          </w:p>
        </w:tc>
      </w:tr>
      <w:tr w:rsidR="00AD774D" w:rsidRPr="00866F44" w:rsidTr="00AD774D">
        <w:trPr>
          <w:trHeight w:val="30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DONACIONES DE CAPITAL</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rPr>
                <w:rFonts w:ascii="Lato" w:eastAsia="Times New Roman" w:hAnsi="Lato" w:cs="Calibri"/>
                <w:color w:val="000000"/>
                <w:sz w:val="20"/>
                <w:szCs w:val="20"/>
              </w:rPr>
            </w:pP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Times New Roman"/>
                <w:sz w:val="20"/>
                <w:szCs w:val="20"/>
              </w:rPr>
            </w:pP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Times New Roman"/>
                <w:sz w:val="20"/>
                <w:szCs w:val="20"/>
              </w:rPr>
            </w:pPr>
          </w:p>
        </w:tc>
      </w:tr>
      <w:tr w:rsidR="00AD774D" w:rsidRPr="00866F44" w:rsidTr="00AD774D">
        <w:trPr>
          <w:trHeight w:val="30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PATRIMONIO DONADO</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346,628,098.89</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346,628,098.89</w:t>
            </w:r>
          </w:p>
        </w:tc>
      </w:tr>
      <w:tr w:rsidR="00AD774D" w:rsidRPr="00866F44" w:rsidTr="00AD774D">
        <w:trPr>
          <w:trHeight w:val="525"/>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ACTUALIZACIÓN DE LA HACIENDA PÚBLICA/PATRIMONIO</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3,312,636,725.85</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3,312,636,725.85</w:t>
            </w:r>
          </w:p>
        </w:tc>
      </w:tr>
      <w:tr w:rsidR="00AD774D" w:rsidRPr="00866F44" w:rsidTr="00AD774D">
        <w:trPr>
          <w:trHeight w:val="33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TOTAL</w:t>
            </w:r>
          </w:p>
        </w:tc>
        <w:tc>
          <w:tcPr>
            <w:tcW w:w="2240" w:type="dxa"/>
            <w:tcBorders>
              <w:top w:val="single" w:sz="12" w:space="0" w:color="000000"/>
              <w:left w:val="nil"/>
              <w:bottom w:val="single" w:sz="12" w:space="0" w:color="000000"/>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4,450,093,334.41</w:t>
            </w:r>
          </w:p>
        </w:tc>
        <w:tc>
          <w:tcPr>
            <w:tcW w:w="2240" w:type="dxa"/>
            <w:tcBorders>
              <w:top w:val="single" w:sz="12" w:space="0" w:color="000000"/>
              <w:left w:val="nil"/>
              <w:bottom w:val="single" w:sz="12" w:space="0" w:color="000000"/>
              <w:right w:val="nil"/>
            </w:tcBorders>
            <w:shd w:val="clear" w:color="auto" w:fill="auto"/>
            <w:vAlign w:val="center"/>
            <w:hideMark/>
          </w:tcPr>
          <w:p w:rsidR="00AD774D" w:rsidRPr="00866F44" w:rsidRDefault="00AD774D" w:rsidP="00AD774D">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0</w:t>
            </w:r>
          </w:p>
        </w:tc>
        <w:tc>
          <w:tcPr>
            <w:tcW w:w="2240" w:type="dxa"/>
            <w:tcBorders>
              <w:top w:val="single" w:sz="12" w:space="0" w:color="000000"/>
              <w:left w:val="nil"/>
              <w:bottom w:val="single" w:sz="12" w:space="0" w:color="000000"/>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4,450,093,334.41</w:t>
            </w:r>
          </w:p>
        </w:tc>
      </w:tr>
    </w:tbl>
    <w:p w:rsidR="00A04969" w:rsidRPr="00866F44" w:rsidRDefault="00A04969">
      <w:pPr>
        <w:rPr>
          <w:rFonts w:ascii="Lato" w:eastAsia="Times New Roman" w:hAnsi="Lato"/>
          <w:sz w:val="20"/>
          <w:szCs w:val="20"/>
        </w:rPr>
      </w:pPr>
    </w:p>
    <w:p w:rsidR="00AD774D" w:rsidRDefault="00AD774D">
      <w:pPr>
        <w:rPr>
          <w:rFonts w:ascii="Lato" w:eastAsia="Times New Roman" w:hAnsi="Lato"/>
          <w:sz w:val="20"/>
          <w:szCs w:val="20"/>
        </w:rPr>
      </w:pPr>
    </w:p>
    <w:p w:rsidR="000A7242" w:rsidRDefault="000A7242">
      <w:pPr>
        <w:rPr>
          <w:rFonts w:ascii="Lato" w:eastAsia="Times New Roman" w:hAnsi="Lato"/>
          <w:sz w:val="20"/>
          <w:szCs w:val="20"/>
        </w:rPr>
      </w:pPr>
    </w:p>
    <w:p w:rsidR="000A7242" w:rsidRPr="00866F44" w:rsidRDefault="000A7242">
      <w:pPr>
        <w:rPr>
          <w:rFonts w:ascii="Lato" w:eastAsia="Times New Roman" w:hAnsi="Lato"/>
          <w:sz w:val="20"/>
          <w:szCs w:val="20"/>
        </w:rPr>
      </w:pPr>
    </w:p>
    <w:p w:rsidR="004E2F4D" w:rsidRPr="00866F44" w:rsidRDefault="004E2F4D">
      <w:pPr>
        <w:rPr>
          <w:rFonts w:ascii="Lato" w:eastAsia="Times New Roman" w:hAnsi="Lato"/>
          <w:sz w:val="20"/>
          <w:szCs w:val="20"/>
        </w:rPr>
      </w:pPr>
    </w:p>
    <w:p w:rsidR="00A04969" w:rsidRPr="00866F44" w:rsidRDefault="00347F2A">
      <w:pPr>
        <w:rPr>
          <w:rFonts w:ascii="Lato" w:eastAsia="Times New Roman" w:hAnsi="Lato"/>
          <w:sz w:val="20"/>
          <w:szCs w:val="20"/>
        </w:rPr>
      </w:pPr>
      <w:r w:rsidRPr="00866F44">
        <w:rPr>
          <w:rFonts w:ascii="Lato" w:eastAsia="Times New Roman" w:hAnsi="Lato"/>
          <w:sz w:val="20"/>
          <w:szCs w:val="20"/>
        </w:rPr>
        <w:lastRenderedPageBreak/>
        <w:t>2.- En la cuenta de patrimonio generado se acumula el resultado de ejercicios anteriores y se integran de la siguiente forma:</w:t>
      </w:r>
    </w:p>
    <w:tbl>
      <w:tblPr>
        <w:tblW w:w="11580" w:type="dxa"/>
        <w:tblCellMar>
          <w:left w:w="70" w:type="dxa"/>
          <w:right w:w="70" w:type="dxa"/>
        </w:tblCellMar>
        <w:tblLook w:val="04A0" w:firstRow="1" w:lastRow="0" w:firstColumn="1" w:lastColumn="0" w:noHBand="0" w:noVBand="1"/>
      </w:tblPr>
      <w:tblGrid>
        <w:gridCol w:w="4860"/>
        <w:gridCol w:w="2240"/>
        <w:gridCol w:w="2240"/>
        <w:gridCol w:w="2240"/>
      </w:tblGrid>
      <w:tr w:rsidR="00AD774D" w:rsidRPr="00866F44" w:rsidTr="00AD774D">
        <w:trPr>
          <w:trHeight w:val="30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HACIENDA PUBLICA/PATRIMONIO GENERADO</w:t>
            </w:r>
          </w:p>
        </w:tc>
        <w:tc>
          <w:tcPr>
            <w:tcW w:w="224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SALDO INICIAL</w:t>
            </w:r>
          </w:p>
        </w:tc>
        <w:tc>
          <w:tcPr>
            <w:tcW w:w="224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VARIACIONES</w:t>
            </w:r>
          </w:p>
        </w:tc>
        <w:tc>
          <w:tcPr>
            <w:tcW w:w="224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jc w:val="center"/>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SALDO FINAL</w:t>
            </w:r>
          </w:p>
        </w:tc>
      </w:tr>
      <w:tr w:rsidR="00AD774D" w:rsidRPr="00866F44" w:rsidTr="00AD774D">
        <w:trPr>
          <w:trHeight w:val="30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RESULTADOS DE EJERCICIOS ANTERIORES</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3,126,404,723.83</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-1,937,429,505.33</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1,188,975,218.50</w:t>
            </w:r>
          </w:p>
        </w:tc>
      </w:tr>
      <w:tr w:rsidR="00AD774D" w:rsidRPr="00866F44" w:rsidTr="00AD774D">
        <w:trPr>
          <w:trHeight w:val="30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REVALÚOS</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2,895,758,532.75</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0.00</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2,895,758,532.75</w:t>
            </w:r>
          </w:p>
        </w:tc>
      </w:tr>
      <w:tr w:rsidR="00AD774D" w:rsidRPr="00866F44" w:rsidTr="00AD774D">
        <w:trPr>
          <w:trHeight w:val="495"/>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color w:val="000000"/>
                <w:sz w:val="20"/>
                <w:szCs w:val="20"/>
              </w:rPr>
            </w:pPr>
            <w:r w:rsidRPr="00866F44">
              <w:rPr>
                <w:rFonts w:ascii="Lato" w:eastAsia="Times New Roman" w:hAnsi="Lato" w:cs="Calibri"/>
                <w:color w:val="000000"/>
                <w:sz w:val="20"/>
                <w:szCs w:val="20"/>
              </w:rPr>
              <w:t>RECTIFICACIONES DE RESULTADOS DE EJERCICIOS ANTERIORES</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-2,432,867,687.55</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-1,498,232,705.29</w:t>
            </w:r>
          </w:p>
        </w:tc>
        <w:tc>
          <w:tcPr>
            <w:tcW w:w="2240" w:type="dxa"/>
            <w:tcBorders>
              <w:top w:val="nil"/>
              <w:left w:val="nil"/>
              <w:bottom w:val="nil"/>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color w:val="000000"/>
                <w:sz w:val="20"/>
                <w:szCs w:val="20"/>
              </w:rPr>
            </w:pPr>
            <w:r w:rsidRPr="00866F44">
              <w:rPr>
                <w:rFonts w:ascii="Lato" w:eastAsia="Times New Roman" w:hAnsi="Lato" w:cs="Calibri"/>
                <w:color w:val="000000"/>
                <w:sz w:val="20"/>
                <w:szCs w:val="20"/>
              </w:rPr>
              <w:t>-3,931,100,392.84</w:t>
            </w:r>
          </w:p>
        </w:tc>
      </w:tr>
      <w:tr w:rsidR="00AD774D" w:rsidRPr="00866F44" w:rsidTr="00AD774D">
        <w:trPr>
          <w:trHeight w:val="330"/>
        </w:trPr>
        <w:tc>
          <w:tcPr>
            <w:tcW w:w="4860" w:type="dxa"/>
            <w:tcBorders>
              <w:top w:val="nil"/>
              <w:left w:val="nil"/>
              <w:bottom w:val="nil"/>
              <w:right w:val="nil"/>
            </w:tcBorders>
            <w:shd w:val="clear" w:color="auto" w:fill="auto"/>
            <w:vAlign w:val="center"/>
            <w:hideMark/>
          </w:tcPr>
          <w:p w:rsidR="00AD774D" w:rsidRPr="00866F44" w:rsidRDefault="00AD774D" w:rsidP="00AD774D">
            <w:pPr>
              <w:spacing w:after="0" w:line="240" w:lineRule="auto"/>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TOTAL</w:t>
            </w:r>
          </w:p>
        </w:tc>
        <w:tc>
          <w:tcPr>
            <w:tcW w:w="2240" w:type="dxa"/>
            <w:tcBorders>
              <w:top w:val="single" w:sz="12" w:space="0" w:color="000000"/>
              <w:left w:val="nil"/>
              <w:bottom w:val="single" w:sz="12" w:space="0" w:color="000000"/>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3,589,295,569.03</w:t>
            </w:r>
          </w:p>
        </w:tc>
        <w:tc>
          <w:tcPr>
            <w:tcW w:w="2240" w:type="dxa"/>
            <w:tcBorders>
              <w:top w:val="single" w:sz="12" w:space="0" w:color="000000"/>
              <w:left w:val="nil"/>
              <w:bottom w:val="single" w:sz="12" w:space="0" w:color="000000"/>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-3,435,662,210.62</w:t>
            </w:r>
          </w:p>
        </w:tc>
        <w:tc>
          <w:tcPr>
            <w:tcW w:w="2240" w:type="dxa"/>
            <w:tcBorders>
              <w:top w:val="single" w:sz="12" w:space="0" w:color="000000"/>
              <w:left w:val="nil"/>
              <w:bottom w:val="single" w:sz="12" w:space="0" w:color="000000"/>
              <w:right w:val="nil"/>
            </w:tcBorders>
            <w:shd w:val="clear" w:color="auto" w:fill="auto"/>
            <w:noWrap/>
            <w:vAlign w:val="center"/>
            <w:hideMark/>
          </w:tcPr>
          <w:p w:rsidR="00AD774D" w:rsidRPr="00866F44" w:rsidRDefault="00AD774D" w:rsidP="00AD774D">
            <w:pPr>
              <w:spacing w:after="0" w:line="240" w:lineRule="auto"/>
              <w:jc w:val="right"/>
              <w:rPr>
                <w:rFonts w:ascii="Lato" w:eastAsia="Times New Roman" w:hAnsi="Lato" w:cs="Calibri"/>
                <w:b/>
                <w:bCs/>
                <w:color w:val="000000"/>
                <w:sz w:val="20"/>
                <w:szCs w:val="20"/>
              </w:rPr>
            </w:pPr>
            <w:r w:rsidRPr="00866F44">
              <w:rPr>
                <w:rFonts w:ascii="Lato" w:eastAsia="Times New Roman" w:hAnsi="Lato" w:cs="Calibri"/>
                <w:b/>
                <w:bCs/>
                <w:color w:val="000000"/>
                <w:sz w:val="20"/>
                <w:szCs w:val="20"/>
              </w:rPr>
              <w:t>153,633,358.41</w:t>
            </w:r>
          </w:p>
        </w:tc>
      </w:tr>
    </w:tbl>
    <w:p w:rsidR="00A04969" w:rsidRPr="00866F44" w:rsidRDefault="00A04969">
      <w:pPr>
        <w:rPr>
          <w:rFonts w:ascii="Lato" w:eastAsia="Times New Roman" w:hAnsi="Lato"/>
          <w:sz w:val="20"/>
          <w:szCs w:val="20"/>
        </w:rPr>
      </w:pPr>
    </w:p>
    <w:p w:rsidR="00F1786B" w:rsidRDefault="00F1786B">
      <w:pPr>
        <w:rPr>
          <w:rFonts w:ascii="Lato" w:eastAsia="Times New Roman" w:hAnsi="Lato"/>
          <w:sz w:val="20"/>
          <w:szCs w:val="20"/>
        </w:rPr>
      </w:pPr>
    </w:p>
    <w:p w:rsidR="00A04969" w:rsidRPr="00866F44" w:rsidRDefault="00347F2A">
      <w:pPr>
        <w:rPr>
          <w:rFonts w:ascii="Lato" w:eastAsia="Times New Roman" w:hAnsi="Lato"/>
          <w:sz w:val="20"/>
          <w:szCs w:val="20"/>
        </w:rPr>
      </w:pPr>
      <w:r w:rsidRPr="00866F44">
        <w:rPr>
          <w:rFonts w:ascii="Lato" w:eastAsia="Times New Roman" w:hAnsi="Lato"/>
          <w:sz w:val="20"/>
          <w:szCs w:val="20"/>
        </w:rPr>
        <w:t>Dentro de la cuenta de Hacienda pública/patrimonio generado se acumulan los resultados de ejercicios anteriores y se integran de la siguiente forma:</w:t>
      </w:r>
    </w:p>
    <w:p w:rsidR="00A04969" w:rsidRPr="00866F44" w:rsidRDefault="00A04969">
      <w:pPr>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676"/>
        <w:gridCol w:w="2100"/>
      </w:tblGrid>
      <w:tr w:rsidR="00A04969" w:rsidRPr="00866F44">
        <w:trPr>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RESULTADOS DE EJERCICIOS ANTERIORES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RESULTADO DEL EJERCICIO 2000 Y ANTERIORES</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-231,164,966.76</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RESULTADO DEL EJERCICIO ADMON 2001-2007</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614,663,307.26</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RESULTADO DEL EJERCICIO ADMON. 2007-2012</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-1,808,717,174.47</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RESULTADO DEL EJERCICIO ADMON. 2012-2018</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3,283,904,066.24</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RESULTADO DEL EJERCICIO ADMON. 2018-2024</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-669,710,013.77</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TOTAL</w:t>
            </w:r>
          </w:p>
        </w:tc>
        <w:tc>
          <w:tcPr>
            <w:tcW w:w="0" w:type="auto"/>
            <w:tcBorders>
              <w:top w:val="single" w:sz="12" w:space="0" w:color="000000"/>
              <w:bottom w:val="single" w:sz="12" w:space="0" w:color="000000"/>
            </w:tcBorders>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color w:val="000000"/>
                <w:sz w:val="20"/>
                <w:szCs w:val="20"/>
              </w:rPr>
              <w:t>1,188,975,218.50</w:t>
            </w:r>
          </w:p>
        </w:tc>
      </w:tr>
    </w:tbl>
    <w:p w:rsidR="00A04969" w:rsidRDefault="00A04969">
      <w:pPr>
        <w:rPr>
          <w:rFonts w:ascii="Lato" w:eastAsia="Times New Roman" w:hAnsi="Lato"/>
          <w:sz w:val="20"/>
          <w:szCs w:val="20"/>
        </w:rPr>
      </w:pPr>
    </w:p>
    <w:p w:rsidR="000A7242" w:rsidRDefault="000A7242">
      <w:pPr>
        <w:rPr>
          <w:rFonts w:ascii="Lato" w:eastAsia="Times New Roman" w:hAnsi="Lato"/>
          <w:sz w:val="20"/>
          <w:szCs w:val="20"/>
        </w:rPr>
      </w:pPr>
    </w:p>
    <w:p w:rsidR="000A7242" w:rsidRPr="00866F44" w:rsidRDefault="000A7242">
      <w:pPr>
        <w:rPr>
          <w:rFonts w:ascii="Lato" w:eastAsia="Times New Roman" w:hAnsi="Lato"/>
          <w:sz w:val="20"/>
          <w:szCs w:val="20"/>
        </w:rPr>
      </w:pPr>
    </w:p>
    <w:p w:rsidR="00A04969" w:rsidRPr="00866F44" w:rsidRDefault="00347F2A">
      <w:pPr>
        <w:rPr>
          <w:rFonts w:ascii="Lato" w:eastAsia="Times New Roman" w:hAnsi="Lato"/>
          <w:sz w:val="20"/>
          <w:szCs w:val="20"/>
        </w:rPr>
      </w:pPr>
      <w:r w:rsidRPr="00866F44">
        <w:rPr>
          <w:rStyle w:val="Textoennegrita"/>
          <w:rFonts w:ascii="Lato" w:eastAsia="Times New Roman" w:hAnsi="Lato"/>
          <w:sz w:val="20"/>
          <w:szCs w:val="20"/>
        </w:rPr>
        <w:lastRenderedPageBreak/>
        <w:t>IV) NOTAS AL ESTADO DE FLUJO DE EFECTIVO</w:t>
      </w:r>
    </w:p>
    <w:p w:rsidR="00A04969" w:rsidRPr="00866F44" w:rsidRDefault="00347F2A">
      <w:pPr>
        <w:rPr>
          <w:rFonts w:ascii="Lato" w:eastAsia="Times New Roman" w:hAnsi="Lato"/>
          <w:sz w:val="20"/>
          <w:szCs w:val="20"/>
        </w:rPr>
      </w:pPr>
      <w:r w:rsidRPr="00866F44">
        <w:rPr>
          <w:rFonts w:ascii="Lato" w:eastAsia="Times New Roman" w:hAnsi="Lato"/>
          <w:sz w:val="20"/>
          <w:szCs w:val="20"/>
        </w:rPr>
        <w:t>1.- Al Final del Ejercicio del Estado de Flujos de Efectivo, respecto a la composición del rubro de Efectivo y Equivalentes es como sigue: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184"/>
        <w:gridCol w:w="2380"/>
        <w:gridCol w:w="2380"/>
      </w:tblGrid>
      <w:tr w:rsidR="00A04969" w:rsidRPr="00866F44">
        <w:tc>
          <w:tcPr>
            <w:tcW w:w="0" w:type="auto"/>
            <w:gridSpan w:val="3"/>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sz w:val="20"/>
                <w:szCs w:val="20"/>
              </w:rPr>
              <w:t>Efectivo y Equivalentes</w:t>
            </w:r>
          </w:p>
        </w:tc>
      </w:tr>
      <w:tr w:rsidR="00A04969" w:rsidRPr="00866F44">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sz w:val="20"/>
                <w:szCs w:val="20"/>
              </w:rPr>
              <w:t>Concepto</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sz w:val="20"/>
                <w:szCs w:val="20"/>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sz w:val="20"/>
                <w:szCs w:val="20"/>
              </w:rPr>
              <w:t>2023</w:t>
            </w:r>
          </w:p>
        </w:tc>
      </w:tr>
      <w:tr w:rsidR="00A04969" w:rsidRPr="00866F44">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both"/>
              <w:rPr>
                <w:rFonts w:ascii="Lato" w:eastAsia="Times New Roman" w:hAnsi="Lato"/>
                <w:sz w:val="20"/>
                <w:szCs w:val="20"/>
              </w:rPr>
            </w:pPr>
            <w:r w:rsidRPr="00866F44">
              <w:rPr>
                <w:rFonts w:ascii="Lato" w:eastAsia="Times New Roman" w:hAnsi="Lato"/>
                <w:sz w:val="20"/>
                <w:szCs w:val="20"/>
              </w:rPr>
              <w:t>Efectivo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$20,032,191.67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$46,417,286.99</w:t>
            </w:r>
          </w:p>
        </w:tc>
      </w:tr>
      <w:tr w:rsidR="00A04969" w:rsidRPr="00866F44">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both"/>
              <w:rPr>
                <w:rFonts w:ascii="Lato" w:eastAsia="Times New Roman" w:hAnsi="Lato"/>
                <w:sz w:val="20"/>
                <w:szCs w:val="20"/>
              </w:rPr>
            </w:pPr>
            <w:r w:rsidRPr="00866F44">
              <w:rPr>
                <w:rFonts w:ascii="Lato" w:eastAsia="Times New Roman" w:hAnsi="Lato"/>
                <w:sz w:val="20"/>
                <w:szCs w:val="20"/>
              </w:rPr>
              <w:t>Bancos/Tesorería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$1,202,590,055.31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$1,851,192,183.49</w:t>
            </w:r>
          </w:p>
        </w:tc>
      </w:tr>
      <w:tr w:rsidR="00A04969" w:rsidRPr="00866F44">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both"/>
              <w:rPr>
                <w:rFonts w:ascii="Lato" w:eastAsia="Times New Roman" w:hAnsi="Lato"/>
                <w:sz w:val="20"/>
                <w:szCs w:val="20"/>
              </w:rPr>
            </w:pPr>
            <w:r w:rsidRPr="00866F44">
              <w:rPr>
                <w:rFonts w:ascii="Lato" w:eastAsia="Times New Roman" w:hAnsi="Lato"/>
                <w:sz w:val="20"/>
                <w:szCs w:val="20"/>
              </w:rPr>
              <w:t>Bancos/Dependencias Y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$0.00</w:t>
            </w:r>
          </w:p>
        </w:tc>
      </w:tr>
      <w:tr w:rsidR="00A04969" w:rsidRPr="00866F44">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both"/>
              <w:rPr>
                <w:rFonts w:ascii="Lato" w:eastAsia="Times New Roman" w:hAnsi="Lato"/>
                <w:sz w:val="20"/>
                <w:szCs w:val="20"/>
              </w:rPr>
            </w:pPr>
            <w:r w:rsidRPr="00866F44">
              <w:rPr>
                <w:rFonts w:ascii="Lato" w:eastAsia="Times New Roman" w:hAnsi="Lato"/>
                <w:sz w:val="20"/>
                <w:szCs w:val="20"/>
              </w:rPr>
              <w:t>Inversiones Temporales (Hasta 3 Meses)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$659,922,764.74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$226,741.65</w:t>
            </w:r>
          </w:p>
        </w:tc>
      </w:tr>
      <w:tr w:rsidR="00A04969" w:rsidRPr="00866F44">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both"/>
              <w:rPr>
                <w:rFonts w:ascii="Lato" w:eastAsia="Times New Roman" w:hAnsi="Lato"/>
                <w:sz w:val="20"/>
                <w:szCs w:val="20"/>
              </w:rPr>
            </w:pPr>
            <w:r w:rsidRPr="00866F44">
              <w:rPr>
                <w:rFonts w:ascii="Lato" w:eastAsia="Times New Roman" w:hAnsi="Lato"/>
                <w:sz w:val="20"/>
                <w:szCs w:val="20"/>
              </w:rPr>
              <w:t>Fondos Con Afectación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$131,597,546.84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$180,418,925.76</w:t>
            </w:r>
          </w:p>
        </w:tc>
      </w:tr>
      <w:tr w:rsidR="00A04969" w:rsidRPr="00866F44">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both"/>
              <w:rPr>
                <w:rFonts w:ascii="Lato" w:eastAsia="Times New Roman" w:hAnsi="Lato"/>
                <w:sz w:val="20"/>
                <w:szCs w:val="20"/>
              </w:rPr>
            </w:pPr>
            <w:r w:rsidRPr="00866F44">
              <w:rPr>
                <w:rFonts w:ascii="Lato" w:eastAsia="Times New Roman" w:hAnsi="Lato"/>
                <w:sz w:val="20"/>
                <w:szCs w:val="20"/>
              </w:rPr>
              <w:t>Depósitos De Fondos De Terceros En Garantía Y/O Administración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$23,570,764.09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$1,174,076.80</w:t>
            </w:r>
          </w:p>
        </w:tc>
      </w:tr>
      <w:tr w:rsidR="00A04969" w:rsidRPr="00866F44">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both"/>
              <w:rPr>
                <w:rFonts w:ascii="Lato" w:eastAsia="Times New Roman" w:hAnsi="Lato"/>
                <w:sz w:val="20"/>
                <w:szCs w:val="20"/>
              </w:rPr>
            </w:pPr>
            <w:r w:rsidRPr="00866F44">
              <w:rPr>
                <w:rFonts w:ascii="Lato" w:eastAsia="Times New Roman" w:hAnsi="Lato"/>
                <w:sz w:val="20"/>
                <w:szCs w:val="20"/>
              </w:rPr>
              <w:t>Otros Efectivos Y Equivalentes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sz w:val="20"/>
                <w:szCs w:val="20"/>
              </w:rPr>
              <w:t>$0.00</w:t>
            </w:r>
          </w:p>
        </w:tc>
      </w:tr>
      <w:tr w:rsidR="00A04969" w:rsidRPr="00866F44">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04969" w:rsidRPr="00866F44" w:rsidRDefault="00347F2A">
            <w:pPr>
              <w:jc w:val="center"/>
              <w:rPr>
                <w:rFonts w:ascii="Lato" w:eastAsia="Times New Roman" w:hAnsi="Lato"/>
                <w:sz w:val="20"/>
                <w:szCs w:val="20"/>
              </w:rPr>
            </w:pPr>
            <w:r w:rsidRPr="00866F44">
              <w:rPr>
                <w:rStyle w:val="Textoennegrita"/>
                <w:rFonts w:ascii="Lato" w:eastAsia="Times New Roman" w:hAnsi="Lato"/>
                <w:sz w:val="20"/>
                <w:szCs w:val="20"/>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sz w:val="20"/>
                <w:szCs w:val="20"/>
              </w:rPr>
              <w:t>$2,037,713,322.65</w:t>
            </w:r>
          </w:p>
        </w:tc>
        <w:tc>
          <w:tcPr>
            <w:tcW w:w="0" w:type="auto"/>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A04969" w:rsidRPr="00866F44" w:rsidRDefault="00347F2A">
            <w:pPr>
              <w:jc w:val="right"/>
              <w:rPr>
                <w:rFonts w:ascii="Lato" w:eastAsia="Times New Roman" w:hAnsi="Lato"/>
                <w:sz w:val="20"/>
                <w:szCs w:val="20"/>
              </w:rPr>
            </w:pPr>
            <w:r w:rsidRPr="00866F44">
              <w:rPr>
                <w:rStyle w:val="Textoennegrita"/>
                <w:rFonts w:ascii="Lato" w:eastAsia="Times New Roman" w:hAnsi="Lato"/>
                <w:sz w:val="20"/>
                <w:szCs w:val="20"/>
              </w:rPr>
              <w:t>$2,079,429,214.69</w:t>
            </w:r>
          </w:p>
        </w:tc>
      </w:tr>
    </w:tbl>
    <w:p w:rsidR="00A04969" w:rsidRPr="00866F44" w:rsidRDefault="00A04969">
      <w:pPr>
        <w:rPr>
          <w:rFonts w:ascii="Lato" w:eastAsia="Times New Roman" w:hAnsi="Lato"/>
          <w:sz w:val="20"/>
          <w:szCs w:val="20"/>
        </w:rPr>
      </w:pPr>
    </w:p>
    <w:p w:rsidR="00A04969" w:rsidRPr="00866F44" w:rsidRDefault="00347F2A">
      <w:pPr>
        <w:rPr>
          <w:rFonts w:ascii="Lato" w:eastAsia="Times New Roman" w:hAnsi="Lato"/>
          <w:sz w:val="20"/>
          <w:szCs w:val="20"/>
        </w:rPr>
      </w:pPr>
      <w:r w:rsidRPr="00866F44">
        <w:rPr>
          <w:rFonts w:ascii="Lato" w:eastAsia="Times New Roman" w:hAnsi="Lato"/>
          <w:sz w:val="20"/>
          <w:szCs w:val="20"/>
        </w:rPr>
        <w:t>2. Se detallan las adquisiciones de las Actividades de Inversión efectivamente pagadas, respecto del apartado de aplicación.</w:t>
      </w:r>
    </w:p>
    <w:p w:rsidR="0024717C" w:rsidRPr="00866F44" w:rsidRDefault="0024717C">
      <w:pPr>
        <w:rPr>
          <w:rFonts w:ascii="Lato" w:eastAsia="Times New Roman" w:hAnsi="Lato"/>
          <w:sz w:val="20"/>
          <w:szCs w:val="20"/>
        </w:rPr>
      </w:pPr>
    </w:p>
    <w:tbl>
      <w:tblPr>
        <w:tblW w:w="12900" w:type="dxa"/>
        <w:tblInd w:w="-10" w:type="dxa"/>
        <w:tblCellMar>
          <w:left w:w="70" w:type="dxa"/>
          <w:right w:w="70" w:type="dxa"/>
        </w:tblCellMar>
        <w:tblLook w:val="04A0" w:firstRow="1" w:lastRow="0" w:firstColumn="1" w:lastColumn="0" w:noHBand="0" w:noVBand="1"/>
      </w:tblPr>
      <w:tblGrid>
        <w:gridCol w:w="8222"/>
        <w:gridCol w:w="2410"/>
        <w:gridCol w:w="2268"/>
      </w:tblGrid>
      <w:tr w:rsidR="0024717C" w:rsidRPr="0024717C" w:rsidTr="0024717C">
        <w:trPr>
          <w:trHeight w:val="315"/>
        </w:trPr>
        <w:tc>
          <w:tcPr>
            <w:tcW w:w="12900"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24717C" w:rsidRPr="0024717C" w:rsidRDefault="0024717C" w:rsidP="0024717C">
            <w:pPr>
              <w:spacing w:after="0" w:line="240" w:lineRule="auto"/>
              <w:jc w:val="center"/>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Adquisiciones de Actividades de Inversión efectivamente pagadas</w:t>
            </w:r>
          </w:p>
        </w:tc>
      </w:tr>
      <w:tr w:rsidR="0024717C" w:rsidRPr="0024717C" w:rsidTr="0024717C">
        <w:trPr>
          <w:trHeight w:val="315"/>
        </w:trPr>
        <w:tc>
          <w:tcPr>
            <w:tcW w:w="8222" w:type="dxa"/>
            <w:tcBorders>
              <w:top w:val="nil"/>
              <w:left w:val="single" w:sz="8" w:space="0" w:color="auto"/>
              <w:bottom w:val="single" w:sz="8" w:space="0" w:color="auto"/>
              <w:right w:val="single" w:sz="8" w:space="0" w:color="auto"/>
            </w:tcBorders>
            <w:shd w:val="clear" w:color="000000" w:fill="D9D9D9"/>
            <w:noWrap/>
            <w:vAlign w:val="center"/>
            <w:hideMark/>
          </w:tcPr>
          <w:p w:rsidR="0024717C" w:rsidRPr="0024717C" w:rsidRDefault="0024717C" w:rsidP="0024717C">
            <w:pPr>
              <w:spacing w:after="0" w:line="240" w:lineRule="auto"/>
              <w:jc w:val="center"/>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Concepto</w:t>
            </w:r>
          </w:p>
        </w:tc>
        <w:tc>
          <w:tcPr>
            <w:tcW w:w="2410" w:type="dxa"/>
            <w:tcBorders>
              <w:top w:val="nil"/>
              <w:left w:val="nil"/>
              <w:bottom w:val="single" w:sz="8" w:space="0" w:color="auto"/>
              <w:right w:val="single" w:sz="8" w:space="0" w:color="auto"/>
            </w:tcBorders>
            <w:shd w:val="clear" w:color="000000" w:fill="D9D9D9"/>
            <w:noWrap/>
            <w:vAlign w:val="center"/>
            <w:hideMark/>
          </w:tcPr>
          <w:p w:rsidR="0024717C" w:rsidRPr="0024717C" w:rsidRDefault="0024717C" w:rsidP="0024717C">
            <w:pPr>
              <w:spacing w:after="0" w:line="240" w:lineRule="auto"/>
              <w:jc w:val="center"/>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2024</w:t>
            </w:r>
          </w:p>
        </w:tc>
        <w:tc>
          <w:tcPr>
            <w:tcW w:w="2268" w:type="dxa"/>
            <w:tcBorders>
              <w:top w:val="nil"/>
              <w:left w:val="nil"/>
              <w:bottom w:val="single" w:sz="8" w:space="0" w:color="auto"/>
              <w:right w:val="single" w:sz="8" w:space="0" w:color="auto"/>
            </w:tcBorders>
            <w:shd w:val="clear" w:color="000000" w:fill="D9D9D9"/>
            <w:noWrap/>
            <w:vAlign w:val="center"/>
            <w:hideMark/>
          </w:tcPr>
          <w:p w:rsidR="0024717C" w:rsidRPr="0024717C" w:rsidRDefault="0024717C" w:rsidP="0024717C">
            <w:pPr>
              <w:spacing w:after="0" w:line="240" w:lineRule="auto"/>
              <w:jc w:val="center"/>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2023</w:t>
            </w:r>
          </w:p>
        </w:tc>
      </w:tr>
      <w:tr w:rsidR="0024717C" w:rsidRPr="0024717C" w:rsidTr="0024717C">
        <w:trPr>
          <w:trHeight w:val="3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Bienes Inmuebles, Infraestructura y Construcciones en Proceso.</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126,748,041.22</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277,329,342.25</w:t>
            </w:r>
          </w:p>
        </w:tc>
      </w:tr>
      <w:tr w:rsidR="0024717C" w:rsidRPr="0024717C" w:rsidTr="0024717C">
        <w:trPr>
          <w:trHeight w:val="3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t>Construcciones en Proceso en Bienes de Dominio Público</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126,748,041.22</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277,329,342.25</w:t>
            </w:r>
          </w:p>
        </w:tc>
      </w:tr>
      <w:tr w:rsidR="0024717C" w:rsidRPr="0024717C" w:rsidTr="0024717C">
        <w:trPr>
          <w:trHeight w:val="6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t>Construcciones en Proceso en Bienes Propios</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0</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0</w:t>
            </w:r>
          </w:p>
        </w:tc>
      </w:tr>
      <w:tr w:rsidR="0024717C" w:rsidRPr="0024717C" w:rsidTr="0024717C">
        <w:trPr>
          <w:trHeight w:val="3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lastRenderedPageBreak/>
              <w:t>Bienes Muebles</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110,596,622.28</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212,690,254.34</w:t>
            </w:r>
          </w:p>
        </w:tc>
      </w:tr>
      <w:tr w:rsidR="0024717C" w:rsidRPr="0024717C" w:rsidTr="0024717C">
        <w:trPr>
          <w:trHeight w:val="3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t>Bienes Informáticos</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33,223,827.58</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57,987,008.75</w:t>
            </w:r>
          </w:p>
        </w:tc>
      </w:tr>
      <w:tr w:rsidR="0024717C" w:rsidRPr="0024717C" w:rsidTr="0024717C">
        <w:trPr>
          <w:trHeight w:val="6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t>Mobiliario y Equipo de Administración</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9,760,474.98</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39,829,754.05</w:t>
            </w:r>
          </w:p>
        </w:tc>
      </w:tr>
      <w:tr w:rsidR="0024717C" w:rsidRPr="0024717C" w:rsidTr="0024717C">
        <w:trPr>
          <w:trHeight w:val="6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t>Mobiliario y Equipo Educacional y Recreativo</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8,263,294.39</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10,202,926.06</w:t>
            </w:r>
          </w:p>
        </w:tc>
      </w:tr>
      <w:tr w:rsidR="0024717C" w:rsidRPr="0024717C" w:rsidTr="0024717C">
        <w:trPr>
          <w:trHeight w:val="3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t>Equipo e Instrumental Médico y de Laboratorio</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73,336.92</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65,598,369.33</w:t>
            </w:r>
          </w:p>
        </w:tc>
      </w:tr>
      <w:tr w:rsidR="0024717C" w:rsidRPr="0024717C" w:rsidTr="0024717C">
        <w:trPr>
          <w:trHeight w:val="3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t>Vehículos y Equipo de Transporte</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49,445,872.00</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7,924,009.17</w:t>
            </w:r>
          </w:p>
        </w:tc>
      </w:tr>
      <w:tr w:rsidR="0024717C" w:rsidRPr="0024717C" w:rsidTr="0024717C">
        <w:trPr>
          <w:trHeight w:val="3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t>Equipo de Defensa y Seguridad</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307,990.02</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31,724,573.20</w:t>
            </w:r>
          </w:p>
        </w:tc>
      </w:tr>
      <w:tr w:rsidR="0024717C" w:rsidRPr="0024717C" w:rsidTr="0024717C">
        <w:trPr>
          <w:trHeight w:val="315"/>
        </w:trPr>
        <w:tc>
          <w:tcPr>
            <w:tcW w:w="8222" w:type="dxa"/>
            <w:tcBorders>
              <w:top w:val="nil"/>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color w:val="000000"/>
                <w:sz w:val="20"/>
                <w:szCs w:val="20"/>
              </w:rPr>
            </w:pPr>
            <w:r w:rsidRPr="0024717C">
              <w:rPr>
                <w:rFonts w:ascii="Lato" w:eastAsia="Times New Roman" w:hAnsi="Lato" w:cs="Calibri"/>
                <w:color w:val="000000"/>
                <w:sz w:val="20"/>
                <w:szCs w:val="20"/>
              </w:rPr>
              <w:t xml:space="preserve">Maquinaria, Otros Equipos y Herramientas </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color w:val="000000"/>
                <w:sz w:val="20"/>
                <w:szCs w:val="20"/>
              </w:rPr>
            </w:pPr>
            <w:r w:rsidRPr="0024717C">
              <w:rPr>
                <w:rFonts w:ascii="Lato" w:eastAsia="Times New Roman" w:hAnsi="Lato" w:cs="Calibri"/>
                <w:color w:val="000000"/>
                <w:sz w:val="20"/>
                <w:szCs w:val="20"/>
              </w:rPr>
              <w:t>9,521,826.39</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37,734,637.43</w:t>
            </w:r>
          </w:p>
        </w:tc>
      </w:tr>
      <w:tr w:rsidR="0024717C" w:rsidRPr="0024717C" w:rsidTr="0024717C">
        <w:trPr>
          <w:trHeight w:val="915"/>
        </w:trPr>
        <w:tc>
          <w:tcPr>
            <w:tcW w:w="8222" w:type="dxa"/>
            <w:tcBorders>
              <w:top w:val="nil"/>
              <w:left w:val="single" w:sz="8" w:space="0" w:color="auto"/>
              <w:bottom w:val="nil"/>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Otras Inversiones</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4,724,069.00</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28,942,849.55</w:t>
            </w:r>
          </w:p>
        </w:tc>
      </w:tr>
      <w:tr w:rsidR="0024717C" w:rsidRPr="0024717C" w:rsidTr="0024717C">
        <w:trPr>
          <w:trHeight w:val="615"/>
        </w:trPr>
        <w:tc>
          <w:tcPr>
            <w:tcW w:w="82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Total</w:t>
            </w:r>
          </w:p>
        </w:tc>
        <w:tc>
          <w:tcPr>
            <w:tcW w:w="2410"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242,068,732.50</w:t>
            </w:r>
          </w:p>
        </w:tc>
        <w:tc>
          <w:tcPr>
            <w:tcW w:w="2268" w:type="dxa"/>
            <w:tcBorders>
              <w:top w:val="nil"/>
              <w:left w:val="nil"/>
              <w:bottom w:val="single" w:sz="8" w:space="0" w:color="auto"/>
              <w:right w:val="single" w:sz="8" w:space="0" w:color="auto"/>
            </w:tcBorders>
            <w:shd w:val="clear" w:color="auto" w:fill="auto"/>
            <w:noWrap/>
            <w:vAlign w:val="center"/>
            <w:hideMark/>
          </w:tcPr>
          <w:p w:rsidR="0024717C" w:rsidRPr="0024717C" w:rsidRDefault="0024717C" w:rsidP="0024717C">
            <w:pPr>
              <w:spacing w:after="0" w:line="240" w:lineRule="auto"/>
              <w:jc w:val="right"/>
              <w:rPr>
                <w:rFonts w:ascii="Lato" w:eastAsia="Times New Roman" w:hAnsi="Lato" w:cs="Calibri"/>
                <w:b/>
                <w:bCs/>
                <w:color w:val="000000"/>
                <w:sz w:val="20"/>
                <w:szCs w:val="20"/>
              </w:rPr>
            </w:pPr>
            <w:r w:rsidRPr="0024717C">
              <w:rPr>
                <w:rFonts w:ascii="Lato" w:eastAsia="Times New Roman" w:hAnsi="Lato" w:cs="Calibri"/>
                <w:b/>
                <w:bCs/>
                <w:color w:val="000000"/>
                <w:sz w:val="20"/>
                <w:szCs w:val="20"/>
              </w:rPr>
              <w:t>518,962,446.14</w:t>
            </w:r>
          </w:p>
        </w:tc>
      </w:tr>
    </w:tbl>
    <w:p w:rsidR="0024717C" w:rsidRPr="00866F44" w:rsidRDefault="0024717C">
      <w:pPr>
        <w:rPr>
          <w:rFonts w:ascii="Lato" w:eastAsia="Times New Roman" w:hAnsi="Lato"/>
          <w:sz w:val="20"/>
          <w:szCs w:val="20"/>
        </w:rPr>
      </w:pPr>
    </w:p>
    <w:p w:rsidR="00A04969" w:rsidRPr="00866F44" w:rsidRDefault="00347F2A">
      <w:pPr>
        <w:rPr>
          <w:rFonts w:ascii="Lato" w:eastAsia="Times New Roman" w:hAnsi="Lato"/>
          <w:sz w:val="20"/>
          <w:szCs w:val="20"/>
        </w:rPr>
      </w:pPr>
      <w:r w:rsidRPr="00866F44">
        <w:rPr>
          <w:rFonts w:ascii="Lato" w:eastAsia="Times New Roman" w:hAnsi="Lato"/>
          <w:sz w:val="20"/>
          <w:szCs w:val="20"/>
        </w:rPr>
        <w:t>3.- Se presenta la Conciliación de los Flujos de Efectivo Netos de las Actividades de Operación y los saldos de Resultados del Ejercicio (Ahorro/Desahorro), en el siguiente cuadro:</w:t>
      </w:r>
    </w:p>
    <w:tbl>
      <w:tblPr>
        <w:tblW w:w="11340" w:type="dxa"/>
        <w:tblInd w:w="-10" w:type="dxa"/>
        <w:tblCellMar>
          <w:left w:w="70" w:type="dxa"/>
          <w:right w:w="70" w:type="dxa"/>
        </w:tblCellMar>
        <w:tblLook w:val="04A0" w:firstRow="1" w:lastRow="0" w:firstColumn="1" w:lastColumn="0" w:noHBand="0" w:noVBand="1"/>
      </w:tblPr>
      <w:tblGrid>
        <w:gridCol w:w="6663"/>
        <w:gridCol w:w="2268"/>
        <w:gridCol w:w="2409"/>
      </w:tblGrid>
      <w:tr w:rsidR="00581EBC" w:rsidRPr="00581EBC" w:rsidTr="00581EBC">
        <w:trPr>
          <w:trHeight w:val="285"/>
        </w:trPr>
        <w:tc>
          <w:tcPr>
            <w:tcW w:w="1134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581EBC" w:rsidRPr="00581EBC" w:rsidRDefault="00581EBC" w:rsidP="00581EBC">
            <w:pPr>
              <w:spacing w:after="0" w:line="240" w:lineRule="auto"/>
              <w:jc w:val="center"/>
              <w:rPr>
                <w:rFonts w:ascii="Lato" w:eastAsia="Times New Roman" w:hAnsi="Lato" w:cs="Arial"/>
                <w:b/>
                <w:bCs/>
                <w:color w:val="000000"/>
                <w:sz w:val="20"/>
                <w:szCs w:val="20"/>
              </w:rPr>
            </w:pPr>
            <w:r w:rsidRPr="00581EBC">
              <w:rPr>
                <w:rFonts w:ascii="Lato" w:eastAsia="Times New Roman" w:hAnsi="Lato" w:cs="Arial"/>
                <w:b/>
                <w:bCs/>
                <w:color w:val="000000"/>
                <w:sz w:val="20"/>
                <w:szCs w:val="20"/>
              </w:rPr>
              <w:t>CONCILIACION DE FLUJOS DE EFECTIVO NETOS.</w:t>
            </w:r>
          </w:p>
        </w:tc>
      </w:tr>
      <w:tr w:rsidR="00581EBC" w:rsidRPr="00581EBC" w:rsidTr="00581EBC">
        <w:trPr>
          <w:trHeight w:val="285"/>
        </w:trPr>
        <w:tc>
          <w:tcPr>
            <w:tcW w:w="6663" w:type="dxa"/>
            <w:tcBorders>
              <w:top w:val="nil"/>
              <w:left w:val="single" w:sz="8" w:space="0" w:color="auto"/>
              <w:bottom w:val="single" w:sz="8" w:space="0" w:color="auto"/>
              <w:right w:val="single" w:sz="8" w:space="0" w:color="auto"/>
            </w:tcBorders>
            <w:shd w:val="clear" w:color="000000" w:fill="D9D9D9"/>
            <w:noWrap/>
            <w:vAlign w:val="center"/>
            <w:hideMark/>
          </w:tcPr>
          <w:p w:rsidR="00581EBC" w:rsidRPr="00581EBC" w:rsidRDefault="00581EBC" w:rsidP="00581EBC">
            <w:pPr>
              <w:spacing w:after="0" w:line="240" w:lineRule="auto"/>
              <w:jc w:val="center"/>
              <w:rPr>
                <w:rFonts w:ascii="Lato" w:eastAsia="Times New Roman" w:hAnsi="Lato" w:cs="Arial"/>
                <w:b/>
                <w:bCs/>
                <w:color w:val="000000"/>
                <w:sz w:val="20"/>
                <w:szCs w:val="20"/>
              </w:rPr>
            </w:pPr>
            <w:r w:rsidRPr="00581EBC">
              <w:rPr>
                <w:rFonts w:ascii="Lato" w:eastAsia="Times New Roman" w:hAnsi="Lato" w:cs="Arial"/>
                <w:b/>
                <w:bCs/>
                <w:color w:val="000000"/>
                <w:sz w:val="20"/>
                <w:szCs w:val="20"/>
              </w:rPr>
              <w:t>Concepto</w:t>
            </w:r>
          </w:p>
        </w:tc>
        <w:tc>
          <w:tcPr>
            <w:tcW w:w="2268" w:type="dxa"/>
            <w:tcBorders>
              <w:top w:val="nil"/>
              <w:left w:val="nil"/>
              <w:bottom w:val="single" w:sz="8" w:space="0" w:color="auto"/>
              <w:right w:val="single" w:sz="8" w:space="0" w:color="auto"/>
            </w:tcBorders>
            <w:shd w:val="clear" w:color="000000" w:fill="D9D9D9"/>
            <w:noWrap/>
            <w:vAlign w:val="center"/>
            <w:hideMark/>
          </w:tcPr>
          <w:p w:rsidR="00581EBC" w:rsidRPr="00581EBC" w:rsidRDefault="00581EBC" w:rsidP="00581EBC">
            <w:pPr>
              <w:spacing w:after="0" w:line="240" w:lineRule="auto"/>
              <w:jc w:val="center"/>
              <w:rPr>
                <w:rFonts w:ascii="Lato" w:eastAsia="Times New Roman" w:hAnsi="Lato" w:cs="Arial"/>
                <w:b/>
                <w:bCs/>
                <w:color w:val="000000"/>
                <w:sz w:val="20"/>
                <w:szCs w:val="20"/>
              </w:rPr>
            </w:pPr>
            <w:r w:rsidRPr="00581EBC">
              <w:rPr>
                <w:rFonts w:ascii="Lato" w:eastAsia="Times New Roman" w:hAnsi="Lato" w:cs="Arial"/>
                <w:b/>
                <w:bCs/>
                <w:color w:val="000000"/>
                <w:sz w:val="20"/>
                <w:szCs w:val="20"/>
              </w:rPr>
              <w:t>2024</w:t>
            </w:r>
          </w:p>
        </w:tc>
        <w:tc>
          <w:tcPr>
            <w:tcW w:w="2409" w:type="dxa"/>
            <w:tcBorders>
              <w:top w:val="nil"/>
              <w:left w:val="nil"/>
              <w:bottom w:val="single" w:sz="8" w:space="0" w:color="auto"/>
              <w:right w:val="single" w:sz="8" w:space="0" w:color="auto"/>
            </w:tcBorders>
            <w:shd w:val="clear" w:color="000000" w:fill="D9D9D9"/>
            <w:noWrap/>
            <w:vAlign w:val="center"/>
            <w:hideMark/>
          </w:tcPr>
          <w:p w:rsidR="00581EBC" w:rsidRPr="00581EBC" w:rsidRDefault="00581EBC" w:rsidP="00581EBC">
            <w:pPr>
              <w:spacing w:after="0" w:line="240" w:lineRule="auto"/>
              <w:jc w:val="center"/>
              <w:rPr>
                <w:rFonts w:ascii="Lato" w:eastAsia="Times New Roman" w:hAnsi="Lato" w:cs="Arial"/>
                <w:b/>
                <w:bCs/>
                <w:color w:val="000000"/>
                <w:sz w:val="20"/>
                <w:szCs w:val="20"/>
              </w:rPr>
            </w:pPr>
            <w:r w:rsidRPr="00581EBC">
              <w:rPr>
                <w:rFonts w:ascii="Lato" w:eastAsia="Times New Roman" w:hAnsi="Lato" w:cs="Arial"/>
                <w:b/>
                <w:bCs/>
                <w:color w:val="000000"/>
                <w:sz w:val="20"/>
                <w:szCs w:val="20"/>
              </w:rPr>
              <w:t>2023</w:t>
            </w:r>
          </w:p>
        </w:tc>
      </w:tr>
      <w:tr w:rsidR="00581EBC" w:rsidRPr="00581EBC" w:rsidTr="00581EBC">
        <w:trPr>
          <w:trHeight w:val="28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b/>
                <w:bCs/>
                <w:color w:val="000000"/>
                <w:sz w:val="20"/>
                <w:szCs w:val="20"/>
              </w:rPr>
            </w:pPr>
            <w:r w:rsidRPr="00581EBC">
              <w:rPr>
                <w:rFonts w:ascii="Lato" w:eastAsia="Times New Roman" w:hAnsi="Lato" w:cs="Arial"/>
                <w:b/>
                <w:bCs/>
                <w:color w:val="000000"/>
                <w:sz w:val="20"/>
                <w:szCs w:val="20"/>
              </w:rPr>
              <w:t>Resultado del Ejercicio Ahorro/Desahorro</w:t>
            </w:r>
          </w:p>
        </w:tc>
        <w:tc>
          <w:tcPr>
            <w:tcW w:w="2268"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b/>
                <w:bCs/>
                <w:sz w:val="20"/>
                <w:szCs w:val="20"/>
              </w:rPr>
            </w:pPr>
            <w:r w:rsidRPr="00581EBC">
              <w:rPr>
                <w:rFonts w:ascii="Lato" w:eastAsia="Times New Roman" w:hAnsi="Lato" w:cs="Arial"/>
                <w:b/>
                <w:bCs/>
                <w:color w:val="FF0000"/>
                <w:sz w:val="20"/>
                <w:szCs w:val="20"/>
              </w:rPr>
              <w:t xml:space="preserve">-1,154,232,738.90 </w:t>
            </w:r>
          </w:p>
        </w:tc>
        <w:tc>
          <w:tcPr>
            <w:tcW w:w="2409"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b/>
                <w:bCs/>
                <w:color w:val="FF0000"/>
                <w:sz w:val="20"/>
                <w:szCs w:val="20"/>
              </w:rPr>
            </w:pPr>
            <w:r w:rsidRPr="00581EBC">
              <w:rPr>
                <w:rFonts w:ascii="Lato" w:eastAsia="Times New Roman" w:hAnsi="Lato" w:cs="Arial"/>
                <w:b/>
                <w:bCs/>
                <w:color w:val="FF0000"/>
                <w:sz w:val="20"/>
                <w:szCs w:val="20"/>
              </w:rPr>
              <w:t xml:space="preserve">-1,937,429,505.33 </w:t>
            </w:r>
          </w:p>
        </w:tc>
      </w:tr>
      <w:tr w:rsidR="00581EBC" w:rsidRPr="00581EBC" w:rsidTr="00581EBC">
        <w:trPr>
          <w:trHeight w:val="28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b/>
                <w:bCs/>
                <w:color w:val="000000"/>
                <w:sz w:val="20"/>
                <w:szCs w:val="20"/>
              </w:rPr>
            </w:pPr>
            <w:r w:rsidRPr="00581EBC">
              <w:rPr>
                <w:rFonts w:ascii="Lato" w:eastAsia="Times New Roman" w:hAnsi="Lato" w:cs="Arial"/>
                <w:b/>
                <w:bCs/>
                <w:color w:val="000000"/>
                <w:sz w:val="20"/>
                <w:szCs w:val="20"/>
              </w:rPr>
              <w:t>Movimientos de partidas (o rubros) que no afectan al efectivo</w:t>
            </w:r>
          </w:p>
        </w:tc>
        <w:tc>
          <w:tcPr>
            <w:tcW w:w="2268"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b/>
                <w:bCs/>
                <w:color w:val="000000"/>
                <w:sz w:val="20"/>
                <w:szCs w:val="20"/>
              </w:rPr>
            </w:pPr>
            <w:r w:rsidRPr="00581EBC">
              <w:rPr>
                <w:rFonts w:ascii="Lato" w:eastAsia="Times New Roman" w:hAnsi="Lato" w:cs="Arial"/>
                <w:b/>
                <w:bCs/>
                <w:color w:val="000000"/>
                <w:sz w:val="20"/>
                <w:szCs w:val="20"/>
              </w:rPr>
              <w:t xml:space="preserve">2,419,712,861.95 </w:t>
            </w:r>
          </w:p>
        </w:tc>
        <w:tc>
          <w:tcPr>
            <w:tcW w:w="2409"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b/>
                <w:bCs/>
                <w:color w:val="000000"/>
                <w:sz w:val="20"/>
                <w:szCs w:val="20"/>
              </w:rPr>
            </w:pPr>
            <w:r w:rsidRPr="00581EBC">
              <w:rPr>
                <w:rFonts w:ascii="Lato" w:eastAsia="Times New Roman" w:hAnsi="Lato" w:cs="Arial"/>
                <w:b/>
                <w:bCs/>
                <w:color w:val="000000"/>
                <w:sz w:val="20"/>
                <w:szCs w:val="20"/>
              </w:rPr>
              <w:t xml:space="preserve">2,974,672,052.59 </w:t>
            </w:r>
          </w:p>
        </w:tc>
      </w:tr>
      <w:tr w:rsidR="00581EBC" w:rsidRPr="00581EBC" w:rsidTr="00581EBC">
        <w:trPr>
          <w:trHeight w:val="55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color w:val="000000"/>
                <w:sz w:val="20"/>
                <w:szCs w:val="20"/>
              </w:rPr>
            </w:pPr>
            <w:r w:rsidRPr="00581EBC">
              <w:rPr>
                <w:rFonts w:ascii="Lato" w:eastAsia="Times New Roman" w:hAnsi="Lato" w:cs="Arial"/>
                <w:color w:val="000000"/>
                <w:sz w:val="20"/>
                <w:szCs w:val="20"/>
              </w:rPr>
              <w:t>Depreciación</w:t>
            </w:r>
          </w:p>
        </w:tc>
        <w:tc>
          <w:tcPr>
            <w:tcW w:w="2268"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259,513,980.01 </w:t>
            </w:r>
          </w:p>
        </w:tc>
        <w:tc>
          <w:tcPr>
            <w:tcW w:w="2409"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401,952,155.72 </w:t>
            </w:r>
          </w:p>
        </w:tc>
      </w:tr>
      <w:tr w:rsidR="00581EBC" w:rsidRPr="00581EBC" w:rsidTr="00581EBC">
        <w:trPr>
          <w:trHeight w:val="28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color w:val="000000"/>
                <w:sz w:val="20"/>
                <w:szCs w:val="20"/>
              </w:rPr>
            </w:pPr>
            <w:r w:rsidRPr="00581EBC">
              <w:rPr>
                <w:rFonts w:ascii="Lato" w:eastAsia="Times New Roman" w:hAnsi="Lato" w:cs="Arial"/>
                <w:color w:val="000000"/>
                <w:sz w:val="20"/>
                <w:szCs w:val="20"/>
              </w:rPr>
              <w:t>Amortización</w:t>
            </w:r>
          </w:p>
        </w:tc>
        <w:tc>
          <w:tcPr>
            <w:tcW w:w="2268"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7,448,476.34 </w:t>
            </w:r>
          </w:p>
        </w:tc>
        <w:tc>
          <w:tcPr>
            <w:tcW w:w="2409"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0.00 </w:t>
            </w:r>
          </w:p>
        </w:tc>
      </w:tr>
      <w:tr w:rsidR="00581EBC" w:rsidRPr="00581EBC" w:rsidTr="00581EBC">
        <w:trPr>
          <w:trHeight w:val="28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color w:val="000000"/>
                <w:sz w:val="20"/>
                <w:szCs w:val="20"/>
              </w:rPr>
            </w:pPr>
            <w:r w:rsidRPr="00581EBC">
              <w:rPr>
                <w:rFonts w:ascii="Lato" w:eastAsia="Times New Roman" w:hAnsi="Lato" w:cs="Arial"/>
                <w:color w:val="000000"/>
                <w:sz w:val="20"/>
                <w:szCs w:val="20"/>
              </w:rPr>
              <w:t>Otros Gastos</w:t>
            </w:r>
          </w:p>
        </w:tc>
        <w:tc>
          <w:tcPr>
            <w:tcW w:w="2268"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59,881,573.91 </w:t>
            </w:r>
          </w:p>
        </w:tc>
        <w:tc>
          <w:tcPr>
            <w:tcW w:w="2409" w:type="dxa"/>
            <w:tcBorders>
              <w:top w:val="nil"/>
              <w:left w:val="nil"/>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326,116,922.36 </w:t>
            </w:r>
          </w:p>
        </w:tc>
      </w:tr>
      <w:tr w:rsidR="00581EBC" w:rsidRPr="00581EBC" w:rsidTr="00755970">
        <w:trPr>
          <w:trHeight w:val="429"/>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color w:val="000000"/>
                <w:sz w:val="20"/>
                <w:szCs w:val="20"/>
              </w:rPr>
            </w:pPr>
            <w:r w:rsidRPr="00581EBC">
              <w:rPr>
                <w:rFonts w:ascii="Lato" w:eastAsia="Times New Roman" w:hAnsi="Lato" w:cs="Arial"/>
                <w:color w:val="000000"/>
                <w:sz w:val="20"/>
                <w:szCs w:val="20"/>
              </w:rPr>
              <w:lastRenderedPageBreak/>
              <w:t>Aprovechamientos patrimoniales</w:t>
            </w:r>
          </w:p>
        </w:tc>
        <w:tc>
          <w:tcPr>
            <w:tcW w:w="2268"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75,458,887.67 </w:t>
            </w:r>
          </w:p>
        </w:tc>
        <w:tc>
          <w:tcPr>
            <w:tcW w:w="2409"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4,962,596.27 </w:t>
            </w:r>
          </w:p>
        </w:tc>
      </w:tr>
      <w:tr w:rsidR="00581EBC" w:rsidRPr="00581EBC" w:rsidTr="00581EBC">
        <w:trPr>
          <w:trHeight w:val="28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color w:val="000000"/>
                <w:sz w:val="20"/>
                <w:szCs w:val="20"/>
              </w:rPr>
            </w:pPr>
            <w:r w:rsidRPr="00581EBC">
              <w:rPr>
                <w:rFonts w:ascii="Lato" w:eastAsia="Times New Roman" w:hAnsi="Lato" w:cs="Arial"/>
                <w:color w:val="000000"/>
                <w:sz w:val="20"/>
                <w:szCs w:val="20"/>
              </w:rPr>
              <w:t>Inversión Pública No Capitalizable</w:t>
            </w:r>
          </w:p>
        </w:tc>
        <w:tc>
          <w:tcPr>
            <w:tcW w:w="2268"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73,853,969.15 </w:t>
            </w:r>
          </w:p>
        </w:tc>
        <w:tc>
          <w:tcPr>
            <w:tcW w:w="2409"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119,261.00 </w:t>
            </w:r>
          </w:p>
        </w:tc>
      </w:tr>
      <w:tr w:rsidR="00581EBC" w:rsidRPr="00581EBC" w:rsidTr="00581EBC">
        <w:trPr>
          <w:trHeight w:val="55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color w:val="000000"/>
                <w:sz w:val="20"/>
                <w:szCs w:val="20"/>
              </w:rPr>
            </w:pPr>
            <w:r w:rsidRPr="00581EBC">
              <w:rPr>
                <w:rFonts w:ascii="Lato" w:eastAsia="Times New Roman" w:hAnsi="Lato" w:cs="Arial"/>
                <w:color w:val="000000"/>
                <w:sz w:val="20"/>
                <w:szCs w:val="20"/>
              </w:rPr>
              <w:t>Ganancia/pérdida en venta de bienes muebles, inmuebles e intangibles</w:t>
            </w:r>
          </w:p>
        </w:tc>
        <w:tc>
          <w:tcPr>
            <w:tcW w:w="2268"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sz w:val="20"/>
                <w:szCs w:val="20"/>
              </w:rPr>
            </w:pPr>
            <w:r w:rsidRPr="00581EBC">
              <w:rPr>
                <w:rFonts w:ascii="Lato" w:eastAsia="Times New Roman" w:hAnsi="Lato" w:cs="Arial"/>
                <w:color w:val="FF0000"/>
                <w:sz w:val="20"/>
                <w:szCs w:val="20"/>
              </w:rPr>
              <w:t xml:space="preserve">-5,242,928.33 </w:t>
            </w:r>
          </w:p>
        </w:tc>
        <w:tc>
          <w:tcPr>
            <w:tcW w:w="2409"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FF0000"/>
                <w:sz w:val="20"/>
                <w:szCs w:val="20"/>
              </w:rPr>
            </w:pPr>
            <w:r w:rsidRPr="00581EBC">
              <w:rPr>
                <w:rFonts w:ascii="Lato" w:eastAsia="Times New Roman" w:hAnsi="Lato" w:cs="Arial"/>
                <w:color w:val="FF0000"/>
                <w:sz w:val="20"/>
                <w:szCs w:val="20"/>
              </w:rPr>
              <w:t xml:space="preserve">-519,142.30 </w:t>
            </w:r>
          </w:p>
        </w:tc>
      </w:tr>
      <w:tr w:rsidR="00581EBC" w:rsidRPr="00581EBC" w:rsidTr="00581EBC">
        <w:trPr>
          <w:trHeight w:val="55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color w:val="000000"/>
                <w:sz w:val="20"/>
                <w:szCs w:val="20"/>
              </w:rPr>
            </w:pPr>
            <w:r w:rsidRPr="00581EBC">
              <w:rPr>
                <w:rFonts w:ascii="Lato" w:eastAsia="Times New Roman" w:hAnsi="Lato" w:cs="Arial"/>
                <w:color w:val="000000"/>
                <w:sz w:val="20"/>
                <w:szCs w:val="20"/>
              </w:rPr>
              <w:t>Variación del devengo al pagado de gastos</w:t>
            </w:r>
          </w:p>
        </w:tc>
        <w:tc>
          <w:tcPr>
            <w:tcW w:w="2268"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1,031,493,368.29 </w:t>
            </w:r>
          </w:p>
        </w:tc>
        <w:tc>
          <w:tcPr>
            <w:tcW w:w="2409"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1,247,715,160.16 </w:t>
            </w:r>
          </w:p>
        </w:tc>
      </w:tr>
      <w:tr w:rsidR="00581EBC" w:rsidRPr="00581EBC" w:rsidTr="00581EBC">
        <w:trPr>
          <w:trHeight w:val="55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color w:val="000000"/>
                <w:sz w:val="20"/>
                <w:szCs w:val="20"/>
              </w:rPr>
            </w:pPr>
            <w:r w:rsidRPr="00581EBC">
              <w:rPr>
                <w:rFonts w:ascii="Lato" w:eastAsia="Times New Roman" w:hAnsi="Lato" w:cs="Arial"/>
                <w:color w:val="000000"/>
                <w:sz w:val="20"/>
                <w:szCs w:val="20"/>
              </w:rPr>
              <w:t>Otros Origenes de operación</w:t>
            </w:r>
          </w:p>
        </w:tc>
        <w:tc>
          <w:tcPr>
            <w:tcW w:w="2268"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917,305,534.91 </w:t>
            </w:r>
          </w:p>
        </w:tc>
        <w:tc>
          <w:tcPr>
            <w:tcW w:w="2409"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xml:space="preserve">994,325,099.38 </w:t>
            </w:r>
          </w:p>
        </w:tc>
      </w:tr>
      <w:tr w:rsidR="00581EBC" w:rsidRPr="00581EBC" w:rsidTr="00581EBC">
        <w:trPr>
          <w:trHeight w:val="555"/>
        </w:trPr>
        <w:tc>
          <w:tcPr>
            <w:tcW w:w="6663" w:type="dxa"/>
            <w:tcBorders>
              <w:top w:val="nil"/>
              <w:left w:val="single" w:sz="8" w:space="0" w:color="auto"/>
              <w:bottom w:val="single" w:sz="8" w:space="0" w:color="auto"/>
              <w:right w:val="single" w:sz="8" w:space="0" w:color="auto"/>
            </w:tcBorders>
            <w:shd w:val="clear" w:color="auto" w:fill="auto"/>
            <w:vAlign w:val="center"/>
            <w:hideMark/>
          </w:tcPr>
          <w:p w:rsidR="00581EBC" w:rsidRPr="00581EBC" w:rsidRDefault="00581EBC" w:rsidP="00581EBC">
            <w:pPr>
              <w:spacing w:after="0" w:line="240" w:lineRule="auto"/>
              <w:rPr>
                <w:rFonts w:ascii="Lato" w:eastAsia="Times New Roman" w:hAnsi="Lato" w:cs="Arial"/>
                <w:color w:val="000000"/>
                <w:sz w:val="20"/>
                <w:szCs w:val="20"/>
              </w:rPr>
            </w:pPr>
            <w:r w:rsidRPr="00581EBC">
              <w:rPr>
                <w:rFonts w:ascii="Lato" w:eastAsia="Times New Roman" w:hAnsi="Lato" w:cs="Arial"/>
                <w:color w:val="000000"/>
                <w:sz w:val="20"/>
                <w:szCs w:val="20"/>
              </w:rPr>
              <w:t>Otras aplicaciones de operación</w:t>
            </w:r>
          </w:p>
        </w:tc>
        <w:tc>
          <w:tcPr>
            <w:tcW w:w="2268"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w:t>
            </w:r>
          </w:p>
        </w:tc>
        <w:tc>
          <w:tcPr>
            <w:tcW w:w="2409" w:type="dxa"/>
            <w:tcBorders>
              <w:top w:val="nil"/>
              <w:left w:val="nil"/>
              <w:bottom w:val="single" w:sz="8" w:space="0" w:color="auto"/>
              <w:right w:val="single" w:sz="8" w:space="0" w:color="auto"/>
            </w:tcBorders>
            <w:shd w:val="clear" w:color="auto" w:fill="auto"/>
            <w:noWrap/>
            <w:vAlign w:val="center"/>
            <w:hideMark/>
          </w:tcPr>
          <w:p w:rsidR="00581EBC" w:rsidRPr="00581EBC" w:rsidRDefault="00581EBC" w:rsidP="00581EBC">
            <w:pPr>
              <w:spacing w:after="0" w:line="240" w:lineRule="auto"/>
              <w:jc w:val="right"/>
              <w:rPr>
                <w:rFonts w:ascii="Lato" w:eastAsia="Times New Roman" w:hAnsi="Lato" w:cs="Arial"/>
                <w:color w:val="000000"/>
                <w:sz w:val="20"/>
                <w:szCs w:val="20"/>
              </w:rPr>
            </w:pPr>
            <w:r w:rsidRPr="00581EBC">
              <w:rPr>
                <w:rFonts w:ascii="Lato" w:eastAsia="Times New Roman" w:hAnsi="Lato" w:cs="Arial"/>
                <w:color w:val="000000"/>
                <w:sz w:val="20"/>
                <w:szCs w:val="20"/>
              </w:rPr>
              <w:t> </w:t>
            </w:r>
          </w:p>
        </w:tc>
      </w:tr>
      <w:tr w:rsidR="00581EBC" w:rsidRPr="00581EBC" w:rsidTr="00581EBC">
        <w:trPr>
          <w:trHeight w:val="555"/>
        </w:trPr>
        <w:tc>
          <w:tcPr>
            <w:tcW w:w="6663" w:type="dxa"/>
            <w:tcBorders>
              <w:top w:val="nil"/>
              <w:left w:val="single" w:sz="8" w:space="0" w:color="auto"/>
              <w:bottom w:val="single" w:sz="8" w:space="0" w:color="auto"/>
              <w:right w:val="single" w:sz="8" w:space="0" w:color="auto"/>
            </w:tcBorders>
            <w:shd w:val="clear" w:color="000000" w:fill="D9D9D9"/>
            <w:vAlign w:val="center"/>
            <w:hideMark/>
          </w:tcPr>
          <w:p w:rsidR="00581EBC" w:rsidRPr="00581EBC" w:rsidRDefault="00581EBC" w:rsidP="00581EBC">
            <w:pPr>
              <w:spacing w:after="0" w:line="240" w:lineRule="auto"/>
              <w:rPr>
                <w:rFonts w:ascii="Lato" w:eastAsia="Times New Roman" w:hAnsi="Lato" w:cs="Arial"/>
                <w:b/>
                <w:bCs/>
                <w:color w:val="000000"/>
                <w:sz w:val="20"/>
                <w:szCs w:val="20"/>
              </w:rPr>
            </w:pPr>
            <w:r w:rsidRPr="00581EBC">
              <w:rPr>
                <w:rFonts w:ascii="Lato" w:eastAsia="Times New Roman" w:hAnsi="Lato" w:cs="Arial"/>
                <w:b/>
                <w:bCs/>
                <w:color w:val="000000"/>
                <w:sz w:val="20"/>
                <w:szCs w:val="20"/>
              </w:rPr>
              <w:t>Flujos de Efectivo Netos de las Actividades de Operación</w:t>
            </w:r>
          </w:p>
        </w:tc>
        <w:tc>
          <w:tcPr>
            <w:tcW w:w="2268" w:type="dxa"/>
            <w:tcBorders>
              <w:top w:val="nil"/>
              <w:left w:val="nil"/>
              <w:bottom w:val="single" w:sz="8" w:space="0" w:color="auto"/>
              <w:right w:val="single" w:sz="8" w:space="0" w:color="auto"/>
            </w:tcBorders>
            <w:shd w:val="clear" w:color="000000" w:fill="D9D9D9"/>
            <w:noWrap/>
            <w:vAlign w:val="center"/>
            <w:hideMark/>
          </w:tcPr>
          <w:p w:rsidR="00581EBC" w:rsidRPr="00581EBC" w:rsidRDefault="00581EBC" w:rsidP="00581EBC">
            <w:pPr>
              <w:spacing w:after="0" w:line="240" w:lineRule="auto"/>
              <w:jc w:val="right"/>
              <w:rPr>
                <w:rFonts w:ascii="Lato" w:eastAsia="Times New Roman" w:hAnsi="Lato" w:cs="Arial"/>
                <w:b/>
                <w:bCs/>
                <w:color w:val="000000"/>
                <w:sz w:val="20"/>
                <w:szCs w:val="20"/>
              </w:rPr>
            </w:pPr>
            <w:r w:rsidRPr="00581EBC">
              <w:rPr>
                <w:rFonts w:ascii="Lato" w:eastAsia="Times New Roman" w:hAnsi="Lato" w:cs="Arial"/>
                <w:b/>
                <w:bCs/>
                <w:color w:val="000000"/>
                <w:sz w:val="20"/>
                <w:szCs w:val="20"/>
              </w:rPr>
              <w:t xml:space="preserve">1,265,480,123.05 </w:t>
            </w:r>
          </w:p>
        </w:tc>
        <w:tc>
          <w:tcPr>
            <w:tcW w:w="2409" w:type="dxa"/>
            <w:tcBorders>
              <w:top w:val="nil"/>
              <w:left w:val="nil"/>
              <w:bottom w:val="single" w:sz="8" w:space="0" w:color="auto"/>
              <w:right w:val="single" w:sz="8" w:space="0" w:color="auto"/>
            </w:tcBorders>
            <w:shd w:val="clear" w:color="000000" w:fill="D9D9D9"/>
            <w:noWrap/>
            <w:vAlign w:val="center"/>
            <w:hideMark/>
          </w:tcPr>
          <w:p w:rsidR="00581EBC" w:rsidRPr="00581EBC" w:rsidRDefault="00581EBC" w:rsidP="00581EBC">
            <w:pPr>
              <w:spacing w:after="0" w:line="240" w:lineRule="auto"/>
              <w:jc w:val="right"/>
              <w:rPr>
                <w:rFonts w:ascii="Lato" w:eastAsia="Times New Roman" w:hAnsi="Lato" w:cs="Arial"/>
                <w:b/>
                <w:bCs/>
                <w:color w:val="000000"/>
                <w:sz w:val="20"/>
                <w:szCs w:val="20"/>
              </w:rPr>
            </w:pPr>
            <w:r w:rsidRPr="00581EBC">
              <w:rPr>
                <w:rFonts w:ascii="Lato" w:eastAsia="Times New Roman" w:hAnsi="Lato" w:cs="Arial"/>
                <w:b/>
                <w:bCs/>
                <w:color w:val="000000"/>
                <w:sz w:val="20"/>
                <w:szCs w:val="20"/>
              </w:rPr>
              <w:t xml:space="preserve">1,037,242,547.26 </w:t>
            </w:r>
          </w:p>
        </w:tc>
      </w:tr>
    </w:tbl>
    <w:p w:rsidR="00A04969" w:rsidRPr="00866F44" w:rsidRDefault="00A04969">
      <w:pPr>
        <w:rPr>
          <w:rFonts w:ascii="Lato" w:eastAsia="Times New Roman" w:hAnsi="Lato"/>
          <w:sz w:val="20"/>
          <w:szCs w:val="20"/>
        </w:rPr>
      </w:pPr>
    </w:p>
    <w:p w:rsidR="0024717C" w:rsidRPr="00866F44" w:rsidRDefault="0024717C">
      <w:pPr>
        <w:rPr>
          <w:rStyle w:val="Textoennegrita"/>
          <w:rFonts w:ascii="Lato" w:eastAsia="Times New Roman" w:hAnsi="Lato"/>
          <w:sz w:val="20"/>
          <w:szCs w:val="20"/>
        </w:rPr>
      </w:pPr>
    </w:p>
    <w:p w:rsidR="00A04969" w:rsidRPr="00866F44" w:rsidRDefault="00347F2A">
      <w:pPr>
        <w:rPr>
          <w:rStyle w:val="Textoennegrita"/>
          <w:rFonts w:ascii="Lato" w:eastAsia="Times New Roman" w:hAnsi="Lato"/>
          <w:sz w:val="20"/>
          <w:szCs w:val="20"/>
        </w:rPr>
      </w:pPr>
      <w:r w:rsidRPr="00866F44">
        <w:rPr>
          <w:rStyle w:val="Textoennegrita"/>
          <w:rFonts w:ascii="Lato" w:eastAsia="Times New Roman" w:hAnsi="Lato"/>
          <w:sz w:val="20"/>
          <w:szCs w:val="20"/>
        </w:rPr>
        <w:t>V) CONCILIACIÓN ENTRE LOS INGRESOS PRESUPUESTARIOS Y CONTABLES, ASI COMO ENTRE LOS EGRESOS PRESUPUESTARIOS Y GASTOS CONTABLES.</w:t>
      </w:r>
    </w:p>
    <w:tbl>
      <w:tblPr>
        <w:tblW w:w="10900" w:type="dxa"/>
        <w:tblInd w:w="-5" w:type="dxa"/>
        <w:tblCellMar>
          <w:left w:w="70" w:type="dxa"/>
          <w:right w:w="70" w:type="dxa"/>
        </w:tblCellMar>
        <w:tblLook w:val="04A0" w:firstRow="1" w:lastRow="0" w:firstColumn="1" w:lastColumn="0" w:noHBand="0" w:noVBand="1"/>
      </w:tblPr>
      <w:tblGrid>
        <w:gridCol w:w="1276"/>
        <w:gridCol w:w="7513"/>
        <w:gridCol w:w="2111"/>
      </w:tblGrid>
      <w:tr w:rsidR="0019493B" w:rsidRPr="0019493B" w:rsidTr="0019493B">
        <w:trPr>
          <w:trHeight w:val="360"/>
        </w:trPr>
        <w:tc>
          <w:tcPr>
            <w:tcW w:w="10900" w:type="dxa"/>
            <w:gridSpan w:val="3"/>
            <w:tcBorders>
              <w:top w:val="single" w:sz="4" w:space="0" w:color="auto"/>
              <w:left w:val="single" w:sz="4" w:space="0" w:color="auto"/>
              <w:bottom w:val="nil"/>
              <w:right w:val="single" w:sz="4"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Calibri"/>
                <w:b/>
                <w:bCs/>
                <w:color w:val="000000"/>
                <w:sz w:val="20"/>
                <w:szCs w:val="20"/>
              </w:rPr>
            </w:pPr>
            <w:r w:rsidRPr="0019493B">
              <w:rPr>
                <w:rFonts w:ascii="Lato" w:eastAsia="Times New Roman" w:hAnsi="Lato" w:cs="Calibri"/>
                <w:b/>
                <w:bCs/>
                <w:color w:val="000000"/>
                <w:sz w:val="20"/>
                <w:szCs w:val="20"/>
              </w:rPr>
              <w:t>ENTE PUBLICO: PODER EJECUTIVO</w:t>
            </w:r>
          </w:p>
        </w:tc>
      </w:tr>
      <w:tr w:rsidR="0019493B" w:rsidRPr="0019493B" w:rsidTr="0019493B">
        <w:trPr>
          <w:trHeight w:val="360"/>
        </w:trPr>
        <w:tc>
          <w:tcPr>
            <w:tcW w:w="10900" w:type="dxa"/>
            <w:gridSpan w:val="3"/>
            <w:tcBorders>
              <w:top w:val="nil"/>
              <w:left w:val="single" w:sz="4" w:space="0" w:color="auto"/>
              <w:bottom w:val="nil"/>
              <w:right w:val="single" w:sz="4"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Calibri"/>
                <w:b/>
                <w:bCs/>
                <w:color w:val="000000"/>
                <w:sz w:val="20"/>
                <w:szCs w:val="20"/>
              </w:rPr>
            </w:pPr>
            <w:r w:rsidRPr="0019493B">
              <w:rPr>
                <w:rFonts w:ascii="Lato" w:eastAsia="Times New Roman" w:hAnsi="Lato" w:cs="Calibri"/>
                <w:b/>
                <w:bCs/>
                <w:color w:val="000000"/>
                <w:sz w:val="20"/>
                <w:szCs w:val="20"/>
              </w:rPr>
              <w:t>Conciliación entre los Ingresos Presupuestarios y Contables.</w:t>
            </w:r>
          </w:p>
        </w:tc>
      </w:tr>
      <w:tr w:rsidR="0019493B" w:rsidRPr="0019493B" w:rsidTr="0019493B">
        <w:trPr>
          <w:trHeight w:val="360"/>
        </w:trPr>
        <w:tc>
          <w:tcPr>
            <w:tcW w:w="10900" w:type="dxa"/>
            <w:gridSpan w:val="3"/>
            <w:tcBorders>
              <w:top w:val="nil"/>
              <w:left w:val="single" w:sz="4" w:space="0" w:color="auto"/>
              <w:bottom w:val="nil"/>
              <w:right w:val="single" w:sz="4"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Calibri"/>
                <w:b/>
                <w:bCs/>
                <w:color w:val="000000"/>
                <w:sz w:val="20"/>
                <w:szCs w:val="20"/>
              </w:rPr>
            </w:pPr>
            <w:r w:rsidRPr="0019493B">
              <w:rPr>
                <w:rFonts w:ascii="Lato" w:eastAsia="Times New Roman" w:hAnsi="Lato" w:cs="Calibri"/>
                <w:b/>
                <w:bCs/>
                <w:color w:val="000000"/>
                <w:sz w:val="20"/>
                <w:szCs w:val="20"/>
              </w:rPr>
              <w:t>DEL 1o DE ENERO AL 30 DE SEPTIEMBRE DE 2024</w:t>
            </w:r>
          </w:p>
        </w:tc>
      </w:tr>
      <w:tr w:rsidR="0019493B" w:rsidRPr="0019493B" w:rsidTr="0019493B">
        <w:trPr>
          <w:trHeight w:val="360"/>
        </w:trPr>
        <w:tc>
          <w:tcPr>
            <w:tcW w:w="10900" w:type="dxa"/>
            <w:gridSpan w:val="3"/>
            <w:tcBorders>
              <w:top w:val="nil"/>
              <w:left w:val="single" w:sz="4" w:space="0" w:color="auto"/>
              <w:bottom w:val="single" w:sz="4" w:space="0" w:color="auto"/>
              <w:right w:val="single" w:sz="4"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Calibri"/>
                <w:b/>
                <w:bCs/>
                <w:color w:val="000000"/>
                <w:sz w:val="20"/>
                <w:szCs w:val="20"/>
              </w:rPr>
            </w:pPr>
            <w:r w:rsidRPr="0019493B">
              <w:rPr>
                <w:rFonts w:ascii="Lato" w:eastAsia="Times New Roman" w:hAnsi="Lato" w:cs="Calibri"/>
                <w:b/>
                <w:bCs/>
                <w:color w:val="000000"/>
                <w:sz w:val="20"/>
                <w:szCs w:val="20"/>
              </w:rPr>
              <w:t>(Cifras en pesos)</w:t>
            </w:r>
          </w:p>
        </w:tc>
      </w:tr>
      <w:tr w:rsidR="0019493B" w:rsidRPr="0019493B" w:rsidTr="0019493B">
        <w:trPr>
          <w:trHeight w:val="615"/>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Calibri"/>
                <w:color w:val="000000"/>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315"/>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Arial"/>
                <w:b/>
                <w:bCs/>
                <w:color w:val="000000"/>
                <w:sz w:val="20"/>
                <w:szCs w:val="20"/>
              </w:rPr>
            </w:pPr>
            <w:r w:rsidRPr="0019493B">
              <w:rPr>
                <w:rFonts w:ascii="Lato" w:eastAsia="Times New Roman" w:hAnsi="Lato" w:cs="Arial"/>
                <w:b/>
                <w:bCs/>
                <w:color w:val="000000"/>
                <w:sz w:val="20"/>
                <w:szCs w:val="20"/>
              </w:rPr>
              <w:t>Concepto</w:t>
            </w:r>
          </w:p>
        </w:tc>
        <w:tc>
          <w:tcPr>
            <w:tcW w:w="2111"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Arial"/>
                <w:b/>
                <w:bCs/>
                <w:color w:val="000000"/>
                <w:sz w:val="20"/>
                <w:szCs w:val="20"/>
              </w:rPr>
            </w:pPr>
            <w:r w:rsidRPr="0019493B">
              <w:rPr>
                <w:rFonts w:ascii="Lato" w:eastAsia="Times New Roman" w:hAnsi="Lato" w:cs="Arial"/>
                <w:b/>
                <w:bCs/>
                <w:color w:val="000000"/>
                <w:sz w:val="20"/>
                <w:szCs w:val="20"/>
              </w:rPr>
              <w:t>2024</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1</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b/>
                <w:bCs/>
                <w:color w:val="000000"/>
                <w:sz w:val="20"/>
                <w:szCs w:val="20"/>
              </w:rPr>
            </w:pPr>
            <w:r w:rsidRPr="0019493B">
              <w:rPr>
                <w:rFonts w:ascii="Lato" w:eastAsia="Times New Roman" w:hAnsi="Lato" w:cs="Arial"/>
                <w:b/>
                <w:bCs/>
                <w:color w:val="000000"/>
                <w:sz w:val="20"/>
                <w:szCs w:val="20"/>
              </w:rPr>
              <w:t>Total de Ingresos Presupuestarios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$40,461,596,584.18</w:t>
            </w:r>
          </w:p>
        </w:tc>
      </w:tr>
      <w:tr w:rsidR="0019493B" w:rsidRPr="0019493B" w:rsidTr="0019493B">
        <w:trPr>
          <w:trHeight w:val="315"/>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Calibri"/>
                <w:color w:val="000000"/>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555"/>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lastRenderedPageBreak/>
              <w:t>2</w:t>
            </w:r>
          </w:p>
        </w:tc>
        <w:tc>
          <w:tcPr>
            <w:tcW w:w="7513"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b/>
                <w:bCs/>
                <w:color w:val="000000"/>
                <w:sz w:val="20"/>
                <w:szCs w:val="20"/>
              </w:rPr>
            </w:pPr>
            <w:r w:rsidRPr="0019493B">
              <w:rPr>
                <w:rFonts w:ascii="Lato" w:eastAsia="Times New Roman" w:hAnsi="Lato" w:cs="Arial"/>
                <w:b/>
                <w:bCs/>
                <w:color w:val="000000"/>
                <w:sz w:val="20"/>
                <w:szCs w:val="20"/>
              </w:rPr>
              <w:t>Más Ingresos contables No presupuestarios</w:t>
            </w:r>
          </w:p>
        </w:tc>
        <w:tc>
          <w:tcPr>
            <w:tcW w:w="2111"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$5,242,928.33</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Ingresos Financieros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2.2</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Incremento Por Variación De Inventarios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82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2.3</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Disminución Del Exceso De Estimaciones Por Pérdida O Deterioro U Obsolescencia</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2.4</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Disminución Del Exceso De Provisiones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2.5</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Otros Ingresos Y Beneficios Varios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$5,242,928.33</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2.6</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Otros Ingresos Contables No Presupuestarios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315"/>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Calibri"/>
                <w:color w:val="000000"/>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555"/>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3</w:t>
            </w:r>
          </w:p>
        </w:tc>
        <w:tc>
          <w:tcPr>
            <w:tcW w:w="7513"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b/>
                <w:bCs/>
                <w:color w:val="000000"/>
                <w:sz w:val="20"/>
                <w:szCs w:val="20"/>
              </w:rPr>
            </w:pPr>
            <w:r w:rsidRPr="0019493B">
              <w:rPr>
                <w:rFonts w:ascii="Lato" w:eastAsia="Times New Roman" w:hAnsi="Lato" w:cs="Arial"/>
                <w:b/>
                <w:bCs/>
                <w:color w:val="000000"/>
                <w:sz w:val="20"/>
                <w:szCs w:val="20"/>
              </w:rPr>
              <w:t>Menos Ingresos presupuestarios No contables</w:t>
            </w:r>
          </w:p>
        </w:tc>
        <w:tc>
          <w:tcPr>
            <w:tcW w:w="2111"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$75,458,887.67</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3.1</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Aprovechamientos Patrimoniales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$75,458,887.67</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3.2</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Ingresos Derivados de Financiamientos.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3.3</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Otros ingresos presupuestarios No Contables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315"/>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Calibri"/>
                <w:color w:val="000000"/>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285"/>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4</w:t>
            </w:r>
          </w:p>
        </w:tc>
        <w:tc>
          <w:tcPr>
            <w:tcW w:w="7513"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b/>
                <w:bCs/>
                <w:color w:val="000000"/>
                <w:sz w:val="20"/>
                <w:szCs w:val="20"/>
              </w:rPr>
            </w:pPr>
            <w:r w:rsidRPr="0019493B">
              <w:rPr>
                <w:rFonts w:ascii="Lato" w:eastAsia="Times New Roman" w:hAnsi="Lato" w:cs="Arial"/>
                <w:b/>
                <w:bCs/>
                <w:color w:val="000000"/>
                <w:sz w:val="20"/>
                <w:szCs w:val="20"/>
              </w:rPr>
              <w:t>Total de Ingresos Contables</w:t>
            </w:r>
          </w:p>
        </w:tc>
        <w:tc>
          <w:tcPr>
            <w:tcW w:w="2111"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$40,391,380,624.84</w:t>
            </w:r>
          </w:p>
        </w:tc>
      </w:tr>
      <w:tr w:rsidR="0019493B" w:rsidRPr="0019493B" w:rsidTr="0019493B">
        <w:trPr>
          <w:trHeight w:val="300"/>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300"/>
        </w:trPr>
        <w:tc>
          <w:tcPr>
            <w:tcW w:w="1276" w:type="dxa"/>
            <w:tcBorders>
              <w:top w:val="nil"/>
              <w:left w:val="nil"/>
              <w:bottom w:val="nil"/>
              <w:right w:val="nil"/>
            </w:tcBorders>
            <w:shd w:val="clear" w:color="auto" w:fill="auto"/>
            <w:noWrap/>
            <w:vAlign w:val="center"/>
            <w:hideMark/>
          </w:tcPr>
          <w:p w:rsidR="0019493B" w:rsidRDefault="0019493B" w:rsidP="0019493B">
            <w:pPr>
              <w:spacing w:after="0" w:line="240" w:lineRule="auto"/>
              <w:rPr>
                <w:rFonts w:ascii="Lato" w:eastAsia="Times New Roman" w:hAnsi="Lato" w:cs="Times New Roman"/>
                <w:sz w:val="20"/>
                <w:szCs w:val="20"/>
              </w:rPr>
            </w:pPr>
          </w:p>
          <w:p w:rsidR="000A7242" w:rsidRDefault="000A7242" w:rsidP="0019493B">
            <w:pPr>
              <w:spacing w:after="0" w:line="240" w:lineRule="auto"/>
              <w:rPr>
                <w:rFonts w:ascii="Lato" w:eastAsia="Times New Roman" w:hAnsi="Lato" w:cs="Times New Roman"/>
                <w:sz w:val="20"/>
                <w:szCs w:val="20"/>
              </w:rPr>
            </w:pPr>
          </w:p>
          <w:p w:rsidR="000A7242" w:rsidRDefault="000A7242" w:rsidP="0019493B">
            <w:pPr>
              <w:spacing w:after="0" w:line="240" w:lineRule="auto"/>
              <w:rPr>
                <w:rFonts w:ascii="Lato" w:eastAsia="Times New Roman" w:hAnsi="Lato" w:cs="Times New Roman"/>
                <w:sz w:val="20"/>
                <w:szCs w:val="20"/>
              </w:rPr>
            </w:pPr>
          </w:p>
          <w:p w:rsidR="000A7242" w:rsidRPr="0019493B" w:rsidRDefault="000A7242" w:rsidP="0019493B">
            <w:pPr>
              <w:spacing w:after="0" w:line="240" w:lineRule="auto"/>
              <w:rPr>
                <w:rFonts w:ascii="Lato" w:eastAsia="Times New Roman" w:hAnsi="Lato" w:cs="Times New Roman"/>
                <w:sz w:val="20"/>
                <w:szCs w:val="20"/>
              </w:rPr>
            </w:pPr>
            <w:bookmarkStart w:id="0" w:name="_GoBack"/>
            <w:bookmarkEnd w:id="0"/>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315"/>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rPr>
                <w:rFonts w:ascii="Lato" w:eastAsia="Times New Roman" w:hAnsi="Lato" w:cs="Times New Roman"/>
                <w:sz w:val="20"/>
                <w:szCs w:val="20"/>
              </w:rPr>
            </w:pP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345"/>
        </w:trPr>
        <w:tc>
          <w:tcPr>
            <w:tcW w:w="10900" w:type="dxa"/>
            <w:gridSpan w:val="3"/>
            <w:tcBorders>
              <w:top w:val="single" w:sz="4" w:space="0" w:color="auto"/>
              <w:left w:val="single" w:sz="4" w:space="0" w:color="auto"/>
              <w:bottom w:val="nil"/>
              <w:right w:val="single" w:sz="4"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Calibri"/>
                <w:b/>
                <w:bCs/>
                <w:color w:val="000000"/>
                <w:sz w:val="20"/>
                <w:szCs w:val="20"/>
              </w:rPr>
            </w:pPr>
            <w:r w:rsidRPr="0019493B">
              <w:rPr>
                <w:rFonts w:ascii="Lato" w:eastAsia="Times New Roman" w:hAnsi="Lato" w:cs="Calibri"/>
                <w:b/>
                <w:bCs/>
                <w:color w:val="000000"/>
                <w:sz w:val="20"/>
                <w:szCs w:val="20"/>
              </w:rPr>
              <w:lastRenderedPageBreak/>
              <w:t>ENTE PUBLICO: PODER EJECUTIVO</w:t>
            </w:r>
          </w:p>
        </w:tc>
      </w:tr>
      <w:tr w:rsidR="0019493B" w:rsidRPr="0019493B" w:rsidTr="0019493B">
        <w:trPr>
          <w:trHeight w:val="345"/>
        </w:trPr>
        <w:tc>
          <w:tcPr>
            <w:tcW w:w="10900" w:type="dxa"/>
            <w:gridSpan w:val="3"/>
            <w:tcBorders>
              <w:top w:val="nil"/>
              <w:left w:val="single" w:sz="4" w:space="0" w:color="auto"/>
              <w:bottom w:val="nil"/>
              <w:right w:val="single" w:sz="4"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Calibri"/>
                <w:b/>
                <w:bCs/>
                <w:color w:val="000000"/>
                <w:sz w:val="20"/>
                <w:szCs w:val="20"/>
              </w:rPr>
            </w:pPr>
            <w:r w:rsidRPr="0019493B">
              <w:rPr>
                <w:rFonts w:ascii="Lato" w:eastAsia="Times New Roman" w:hAnsi="Lato" w:cs="Calibri"/>
                <w:b/>
                <w:bCs/>
                <w:color w:val="000000"/>
                <w:sz w:val="20"/>
                <w:szCs w:val="20"/>
              </w:rPr>
              <w:t>Conciliación entre los Egresos Presupuestarios y Contables.</w:t>
            </w:r>
          </w:p>
        </w:tc>
      </w:tr>
      <w:tr w:rsidR="0019493B" w:rsidRPr="0019493B" w:rsidTr="0019493B">
        <w:trPr>
          <w:trHeight w:val="345"/>
        </w:trPr>
        <w:tc>
          <w:tcPr>
            <w:tcW w:w="10900" w:type="dxa"/>
            <w:gridSpan w:val="3"/>
            <w:tcBorders>
              <w:top w:val="nil"/>
              <w:left w:val="single" w:sz="4" w:space="0" w:color="auto"/>
              <w:bottom w:val="nil"/>
              <w:right w:val="single" w:sz="4"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Calibri"/>
                <w:b/>
                <w:bCs/>
                <w:color w:val="000000"/>
                <w:sz w:val="20"/>
                <w:szCs w:val="20"/>
              </w:rPr>
            </w:pPr>
            <w:r w:rsidRPr="0019493B">
              <w:rPr>
                <w:rFonts w:ascii="Lato" w:eastAsia="Times New Roman" w:hAnsi="Lato" w:cs="Calibri"/>
                <w:b/>
                <w:bCs/>
                <w:color w:val="000000"/>
                <w:sz w:val="20"/>
                <w:szCs w:val="20"/>
              </w:rPr>
              <w:t>DEL 1o DE ENERO AL 30 DE SEPTIEMBRE DE 2024</w:t>
            </w:r>
          </w:p>
        </w:tc>
      </w:tr>
      <w:tr w:rsidR="0019493B" w:rsidRPr="0019493B" w:rsidTr="0019493B">
        <w:trPr>
          <w:trHeight w:val="345"/>
        </w:trPr>
        <w:tc>
          <w:tcPr>
            <w:tcW w:w="10900" w:type="dxa"/>
            <w:gridSpan w:val="3"/>
            <w:tcBorders>
              <w:top w:val="nil"/>
              <w:left w:val="single" w:sz="4" w:space="0" w:color="auto"/>
              <w:bottom w:val="single" w:sz="4" w:space="0" w:color="auto"/>
              <w:right w:val="single" w:sz="4"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Calibri"/>
                <w:b/>
                <w:bCs/>
                <w:color w:val="000000"/>
                <w:sz w:val="20"/>
                <w:szCs w:val="20"/>
              </w:rPr>
            </w:pPr>
            <w:r w:rsidRPr="0019493B">
              <w:rPr>
                <w:rFonts w:ascii="Lato" w:eastAsia="Times New Roman" w:hAnsi="Lato" w:cs="Calibri"/>
                <w:b/>
                <w:bCs/>
                <w:color w:val="000000"/>
                <w:sz w:val="20"/>
                <w:szCs w:val="20"/>
              </w:rPr>
              <w:t>(Cifras en pesos)</w:t>
            </w:r>
          </w:p>
        </w:tc>
      </w:tr>
      <w:tr w:rsidR="0019493B" w:rsidRPr="0019493B" w:rsidTr="0019493B">
        <w:trPr>
          <w:trHeight w:val="315"/>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Calibri"/>
                <w:color w:val="000000"/>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315"/>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Arial"/>
                <w:b/>
                <w:bCs/>
                <w:color w:val="000000"/>
                <w:sz w:val="20"/>
                <w:szCs w:val="20"/>
              </w:rPr>
            </w:pPr>
            <w:r w:rsidRPr="0019493B">
              <w:rPr>
                <w:rFonts w:ascii="Lato" w:eastAsia="Times New Roman" w:hAnsi="Lato" w:cs="Arial"/>
                <w:b/>
                <w:bCs/>
                <w:color w:val="000000"/>
                <w:sz w:val="20"/>
                <w:szCs w:val="20"/>
              </w:rPr>
              <w:t>Concepto</w:t>
            </w:r>
          </w:p>
        </w:tc>
        <w:tc>
          <w:tcPr>
            <w:tcW w:w="2111"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center"/>
              <w:rPr>
                <w:rFonts w:ascii="Lato" w:eastAsia="Times New Roman" w:hAnsi="Lato" w:cs="Arial"/>
                <w:b/>
                <w:bCs/>
                <w:color w:val="000000"/>
                <w:sz w:val="20"/>
                <w:szCs w:val="20"/>
              </w:rPr>
            </w:pPr>
            <w:r w:rsidRPr="0019493B">
              <w:rPr>
                <w:rFonts w:ascii="Lato" w:eastAsia="Times New Roman" w:hAnsi="Lato" w:cs="Arial"/>
                <w:b/>
                <w:bCs/>
                <w:color w:val="000000"/>
                <w:sz w:val="20"/>
                <w:szCs w:val="20"/>
              </w:rPr>
              <w:t>2024</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1</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b/>
                <w:bCs/>
                <w:color w:val="000000"/>
                <w:sz w:val="20"/>
                <w:szCs w:val="20"/>
              </w:rPr>
            </w:pPr>
            <w:r w:rsidRPr="0019493B">
              <w:rPr>
                <w:rFonts w:ascii="Lato" w:eastAsia="Times New Roman" w:hAnsi="Lato" w:cs="Arial"/>
                <w:b/>
                <w:bCs/>
                <w:color w:val="000000"/>
                <w:sz w:val="20"/>
                <w:szCs w:val="20"/>
              </w:rPr>
              <w:t>Total de egresos presupuestarios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$41,956,858,859.18</w:t>
            </w:r>
          </w:p>
        </w:tc>
      </w:tr>
      <w:tr w:rsidR="0019493B" w:rsidRPr="0019493B" w:rsidTr="0019493B">
        <w:trPr>
          <w:trHeight w:val="315"/>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Calibri"/>
                <w:color w:val="000000"/>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555"/>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2</w:t>
            </w:r>
          </w:p>
        </w:tc>
        <w:tc>
          <w:tcPr>
            <w:tcW w:w="7513"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b/>
                <w:bCs/>
                <w:color w:val="000000"/>
                <w:sz w:val="20"/>
                <w:szCs w:val="20"/>
              </w:rPr>
            </w:pPr>
            <w:r w:rsidRPr="0019493B">
              <w:rPr>
                <w:rFonts w:ascii="Lato" w:eastAsia="Times New Roman" w:hAnsi="Lato" w:cs="Arial"/>
                <w:b/>
                <w:bCs/>
                <w:color w:val="000000"/>
                <w:sz w:val="20"/>
                <w:szCs w:val="20"/>
              </w:rPr>
              <w:t>Menos egresos presupuestarios No contables</w:t>
            </w:r>
          </w:p>
        </w:tc>
        <w:tc>
          <w:tcPr>
            <w:tcW w:w="2111"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$1,638,921,217.12</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Materias Primas Y Materiales De Producción Y Comercialización</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$2,238,216.68</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2.2</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Materiales Y Suministros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$996,971,106.79</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2.3</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Mobiliario Y Equipo De Administración</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$55,547,973.36</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2.4</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Mobiliario Y Equipo Educacional Y Recreativo</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$8,266,553.53</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2.5</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Equipo E Instrumental Médico Y De Laboratorio</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$73,336.92</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2.6</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Vehículos Y Equipo De Transporte</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$53,305,614.44</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2.7</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Equipo De Defensa Y Seguridad</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$1,282,990.32</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2.8</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Maquinaria, Otros Equipos Y Herramientas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$10,740,799.87</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2.9</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Activos Biológicos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Bienes Inmuebles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2.11</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Activos Intangibles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$5,137,651.21</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lastRenderedPageBreak/>
              <w:t>2.12</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Obra Pública En Bienes De Dominio Público</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$126,748,041.22</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2.13</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Obra Pública En Bienes Propios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2.14</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Acciones Y Participaciones De Capital</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$1,315,970.00</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2.15</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Compra de Títulos y Valores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2.16</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Concesión De Préstamos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$207,696.00</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2.17</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Inversiones en Fideicomisos, Mandatos y Otros Análogos.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$900,000.00</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2.18</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Provisiones Para Contingencias Y Otras Erogaciones Especiales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2.19</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Amortización De La Deuda Pública</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$376,185,266.78</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2.2</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Adeudos De Ejercicios Fiscales Anteriores (Adefas)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2.21</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Otros Egresos Presupuestarios No Contables.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315"/>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Calibri"/>
                <w:color w:val="000000"/>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555"/>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3</w:t>
            </w:r>
          </w:p>
        </w:tc>
        <w:tc>
          <w:tcPr>
            <w:tcW w:w="7513"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b/>
                <w:bCs/>
                <w:color w:val="000000"/>
                <w:sz w:val="20"/>
                <w:szCs w:val="20"/>
              </w:rPr>
            </w:pPr>
            <w:r w:rsidRPr="0019493B">
              <w:rPr>
                <w:rFonts w:ascii="Lato" w:eastAsia="Times New Roman" w:hAnsi="Lato" w:cs="Arial"/>
                <w:b/>
                <w:bCs/>
                <w:color w:val="000000"/>
                <w:sz w:val="20"/>
                <w:szCs w:val="20"/>
              </w:rPr>
              <w:t>Más Gastos Contables no Presupuestarios</w:t>
            </w:r>
          </w:p>
        </w:tc>
        <w:tc>
          <w:tcPr>
            <w:tcW w:w="2111"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$1,227,675,721.68</w:t>
            </w:r>
          </w:p>
        </w:tc>
      </w:tr>
      <w:tr w:rsidR="0019493B" w:rsidRPr="0019493B" w:rsidTr="0019493B">
        <w:trPr>
          <w:trHeight w:val="82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3.1</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Estimaciones, Depreciaciones, Deterioros, Obsolescencia Y Amortizaciones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$266,962,456.35</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3.2</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Provisiones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3.3</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Disminución De Inventarios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3.4</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Otros Gastos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$59,881,573.91</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3.5</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Inversión Pública No Capitalizable</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$73,853,969.15</w:t>
            </w:r>
          </w:p>
        </w:tc>
      </w:tr>
      <w:tr w:rsidR="0019493B" w:rsidRPr="0019493B" w:rsidTr="0019493B">
        <w:trPr>
          <w:trHeight w:val="28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3.6</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Materiales Y Suministros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$826,977,722.27</w:t>
            </w:r>
          </w:p>
        </w:tc>
      </w:tr>
      <w:tr w:rsidR="0019493B" w:rsidRPr="0019493B" w:rsidTr="0019493B">
        <w:trPr>
          <w:trHeight w:val="555"/>
        </w:trPr>
        <w:tc>
          <w:tcPr>
            <w:tcW w:w="1276" w:type="dxa"/>
            <w:tcBorders>
              <w:top w:val="nil"/>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lastRenderedPageBreak/>
              <w:t>3.7</w:t>
            </w:r>
          </w:p>
        </w:tc>
        <w:tc>
          <w:tcPr>
            <w:tcW w:w="7513"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color w:val="000000"/>
                <w:sz w:val="20"/>
                <w:szCs w:val="20"/>
              </w:rPr>
            </w:pPr>
            <w:r w:rsidRPr="0019493B">
              <w:rPr>
                <w:rFonts w:ascii="Lato" w:eastAsia="Times New Roman" w:hAnsi="Lato" w:cs="Arial"/>
                <w:color w:val="000000"/>
                <w:sz w:val="20"/>
                <w:szCs w:val="20"/>
              </w:rPr>
              <w:t>Otros Gastos Contables No Presupuestarios.</w:t>
            </w:r>
          </w:p>
        </w:tc>
        <w:tc>
          <w:tcPr>
            <w:tcW w:w="2111" w:type="dxa"/>
            <w:tcBorders>
              <w:top w:val="nil"/>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color w:val="000000"/>
                <w:sz w:val="20"/>
                <w:szCs w:val="20"/>
              </w:rPr>
            </w:pPr>
            <w:r w:rsidRPr="0019493B">
              <w:rPr>
                <w:rFonts w:ascii="Lato" w:eastAsia="Times New Roman" w:hAnsi="Lato" w:cs="Arial"/>
                <w:color w:val="000000"/>
                <w:sz w:val="20"/>
                <w:szCs w:val="20"/>
              </w:rPr>
              <w:t>$0.00</w:t>
            </w:r>
          </w:p>
        </w:tc>
      </w:tr>
      <w:tr w:rsidR="0019493B" w:rsidRPr="0019493B" w:rsidTr="0019493B">
        <w:trPr>
          <w:trHeight w:val="315"/>
        </w:trPr>
        <w:tc>
          <w:tcPr>
            <w:tcW w:w="1276" w:type="dxa"/>
            <w:tcBorders>
              <w:top w:val="nil"/>
              <w:left w:val="nil"/>
              <w:bottom w:val="nil"/>
              <w:right w:val="nil"/>
            </w:tcBorders>
            <w:shd w:val="clear" w:color="auto" w:fill="auto"/>
            <w:noWrap/>
            <w:vAlign w:val="center"/>
            <w:hideMark/>
          </w:tcPr>
          <w:p w:rsidR="0019493B" w:rsidRPr="0019493B" w:rsidRDefault="0019493B" w:rsidP="0019493B">
            <w:pPr>
              <w:spacing w:after="0" w:line="240" w:lineRule="auto"/>
              <w:rPr>
                <w:rFonts w:ascii="Lato" w:eastAsia="Times New Roman" w:hAnsi="Lato" w:cs="Calibri"/>
                <w:color w:val="000000"/>
                <w:sz w:val="20"/>
                <w:szCs w:val="20"/>
              </w:rPr>
            </w:pPr>
            <w:r w:rsidRPr="0019493B">
              <w:rPr>
                <w:rFonts w:ascii="Lato" w:eastAsia="Times New Roman" w:hAnsi="Lato" w:cs="Calibri"/>
                <w:color w:val="000000"/>
                <w:sz w:val="20"/>
                <w:szCs w:val="20"/>
              </w:rPr>
              <w:t>   </w:t>
            </w:r>
          </w:p>
        </w:tc>
        <w:tc>
          <w:tcPr>
            <w:tcW w:w="7513"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Calibri"/>
                <w:color w:val="000000"/>
                <w:sz w:val="20"/>
                <w:szCs w:val="20"/>
              </w:rPr>
            </w:pPr>
          </w:p>
        </w:tc>
        <w:tc>
          <w:tcPr>
            <w:tcW w:w="2111" w:type="dxa"/>
            <w:tcBorders>
              <w:top w:val="nil"/>
              <w:left w:val="nil"/>
              <w:bottom w:val="nil"/>
              <w:right w:val="nil"/>
            </w:tcBorders>
            <w:shd w:val="clear" w:color="auto" w:fill="auto"/>
            <w:noWrap/>
            <w:hideMark/>
          </w:tcPr>
          <w:p w:rsidR="0019493B" w:rsidRPr="0019493B" w:rsidRDefault="0019493B" w:rsidP="0019493B">
            <w:pPr>
              <w:spacing w:after="0" w:line="240" w:lineRule="auto"/>
              <w:rPr>
                <w:rFonts w:ascii="Lato" w:eastAsia="Times New Roman" w:hAnsi="Lato" w:cs="Times New Roman"/>
                <w:sz w:val="20"/>
                <w:szCs w:val="20"/>
              </w:rPr>
            </w:pPr>
          </w:p>
        </w:tc>
      </w:tr>
      <w:tr w:rsidR="0019493B" w:rsidRPr="0019493B" w:rsidTr="0019493B">
        <w:trPr>
          <w:trHeight w:val="285"/>
        </w:trPr>
        <w:tc>
          <w:tcPr>
            <w:tcW w:w="127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4</w:t>
            </w:r>
          </w:p>
        </w:tc>
        <w:tc>
          <w:tcPr>
            <w:tcW w:w="7513"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rPr>
                <w:rFonts w:ascii="Lato" w:eastAsia="Times New Roman" w:hAnsi="Lato" w:cs="Arial"/>
                <w:b/>
                <w:bCs/>
                <w:color w:val="000000"/>
                <w:sz w:val="20"/>
                <w:szCs w:val="20"/>
              </w:rPr>
            </w:pPr>
            <w:r w:rsidRPr="0019493B">
              <w:rPr>
                <w:rFonts w:ascii="Lato" w:eastAsia="Times New Roman" w:hAnsi="Lato" w:cs="Arial"/>
                <w:b/>
                <w:bCs/>
                <w:color w:val="000000"/>
                <w:sz w:val="20"/>
                <w:szCs w:val="20"/>
              </w:rPr>
              <w:t>Total de Gasto Contables</w:t>
            </w:r>
          </w:p>
        </w:tc>
        <w:tc>
          <w:tcPr>
            <w:tcW w:w="2111" w:type="dxa"/>
            <w:tcBorders>
              <w:top w:val="single" w:sz="8" w:space="0" w:color="000000"/>
              <w:left w:val="nil"/>
              <w:bottom w:val="single" w:sz="8" w:space="0" w:color="000000"/>
              <w:right w:val="single" w:sz="8" w:space="0" w:color="000000"/>
            </w:tcBorders>
            <w:shd w:val="clear" w:color="auto" w:fill="auto"/>
            <w:vAlign w:val="center"/>
            <w:hideMark/>
          </w:tcPr>
          <w:p w:rsidR="0019493B" w:rsidRPr="0019493B" w:rsidRDefault="0019493B" w:rsidP="0019493B">
            <w:pPr>
              <w:spacing w:after="0" w:line="240" w:lineRule="auto"/>
              <w:jc w:val="right"/>
              <w:rPr>
                <w:rFonts w:ascii="Lato" w:eastAsia="Times New Roman" w:hAnsi="Lato" w:cs="Arial"/>
                <w:b/>
                <w:bCs/>
                <w:color w:val="000000"/>
                <w:sz w:val="20"/>
                <w:szCs w:val="20"/>
              </w:rPr>
            </w:pPr>
            <w:r w:rsidRPr="0019493B">
              <w:rPr>
                <w:rFonts w:ascii="Lato" w:eastAsia="Times New Roman" w:hAnsi="Lato" w:cs="Arial"/>
                <w:b/>
                <w:bCs/>
                <w:color w:val="000000"/>
                <w:sz w:val="20"/>
                <w:szCs w:val="20"/>
              </w:rPr>
              <w:t>$41,545,613,363.74</w:t>
            </w:r>
          </w:p>
        </w:tc>
      </w:tr>
    </w:tbl>
    <w:p w:rsidR="0019493B" w:rsidRPr="00866F44" w:rsidRDefault="0019493B">
      <w:pPr>
        <w:rPr>
          <w:rStyle w:val="Textoennegrita"/>
          <w:rFonts w:ascii="Lato" w:eastAsia="Times New Roman" w:hAnsi="Lato"/>
          <w:sz w:val="20"/>
          <w:szCs w:val="20"/>
        </w:rPr>
      </w:pPr>
    </w:p>
    <w:p w:rsidR="0019493B" w:rsidRPr="00866F44" w:rsidRDefault="0019493B">
      <w:pPr>
        <w:rPr>
          <w:rStyle w:val="Textoennegrita"/>
          <w:rFonts w:ascii="Lato" w:eastAsia="Times New Roman" w:hAnsi="Lato"/>
          <w:sz w:val="20"/>
          <w:szCs w:val="20"/>
        </w:rPr>
      </w:pPr>
    </w:p>
    <w:p w:rsidR="00A04969" w:rsidRPr="00866F44" w:rsidRDefault="00347F2A">
      <w:pPr>
        <w:rPr>
          <w:rFonts w:ascii="Lato" w:eastAsia="Times New Roman" w:hAnsi="Lato"/>
          <w:sz w:val="20"/>
          <w:szCs w:val="20"/>
        </w:rPr>
      </w:pPr>
      <w:r w:rsidRPr="00866F44">
        <w:rPr>
          <w:rStyle w:val="Textoennegrita"/>
          <w:rFonts w:ascii="Lato" w:eastAsia="Times New Roman" w:hAnsi="Lato"/>
          <w:sz w:val="20"/>
          <w:szCs w:val="20"/>
        </w:rPr>
        <w:t>C) NOTAS DE MEMORIA</w:t>
      </w:r>
    </w:p>
    <w:p w:rsidR="00A04969" w:rsidRPr="00866F44" w:rsidRDefault="00A04969">
      <w:pPr>
        <w:rPr>
          <w:rFonts w:ascii="Lato" w:eastAsia="Times New Roman" w:hAnsi="Lato"/>
          <w:sz w:val="20"/>
          <w:szCs w:val="20"/>
        </w:rPr>
      </w:pPr>
    </w:p>
    <w:p w:rsidR="00A04969" w:rsidRPr="00866F44" w:rsidRDefault="00347F2A">
      <w:pPr>
        <w:rPr>
          <w:rFonts w:ascii="Lato" w:eastAsia="Times New Roman" w:hAnsi="Lato"/>
          <w:sz w:val="20"/>
          <w:szCs w:val="20"/>
        </w:rPr>
      </w:pPr>
      <w:r w:rsidRPr="00866F44">
        <w:rPr>
          <w:rFonts w:ascii="Lato" w:eastAsia="Times New Roman" w:hAnsi="Lato"/>
          <w:sz w:val="20"/>
          <w:szCs w:val="20"/>
        </w:rPr>
        <w:t>Los saldos de las cuentas de orden contables y presupuestales se presentan a continuación:</w:t>
      </w:r>
    </w:p>
    <w:p w:rsidR="00A04969" w:rsidRPr="00866F44" w:rsidRDefault="00347F2A">
      <w:pPr>
        <w:rPr>
          <w:rFonts w:ascii="Lato" w:eastAsia="Times New Roman" w:hAnsi="Lato"/>
          <w:sz w:val="20"/>
          <w:szCs w:val="20"/>
        </w:rPr>
      </w:pPr>
      <w:r w:rsidRPr="00866F44">
        <w:rPr>
          <w:rFonts w:ascii="Lato" w:eastAsia="Times New Roman" w:hAnsi="Lato" w:cs="Times New Roman"/>
          <w:sz w:val="20"/>
          <w:szCs w:val="20"/>
        </w:rPr>
        <w:t>●</w:t>
      </w:r>
      <w:r w:rsidRPr="00866F44">
        <w:rPr>
          <w:rFonts w:ascii="Lato" w:eastAsia="Times New Roman" w:hAnsi="Lato"/>
          <w:sz w:val="20"/>
          <w:szCs w:val="20"/>
        </w:rPr>
        <w:t xml:space="preserve"> Cuentas contables.</w:t>
      </w:r>
    </w:p>
    <w:tbl>
      <w:tblPr>
        <w:tblW w:w="8520" w:type="dxa"/>
        <w:tblCellMar>
          <w:left w:w="70" w:type="dxa"/>
          <w:right w:w="70" w:type="dxa"/>
        </w:tblCellMar>
        <w:tblLook w:val="04A0" w:firstRow="1" w:lastRow="0" w:firstColumn="1" w:lastColumn="0" w:noHBand="0" w:noVBand="1"/>
      </w:tblPr>
      <w:tblGrid>
        <w:gridCol w:w="5960"/>
        <w:gridCol w:w="2560"/>
      </w:tblGrid>
      <w:tr w:rsidR="00755970" w:rsidRPr="00755970" w:rsidTr="00755970">
        <w:trPr>
          <w:trHeight w:val="30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r w:rsidRPr="00755970">
              <w:rPr>
                <w:rFonts w:ascii="Lato" w:eastAsia="Times New Roman" w:hAnsi="Lato" w:cs="Arial"/>
                <w:b/>
                <w:bCs/>
                <w:color w:val="000000"/>
                <w:sz w:val="20"/>
                <w:szCs w:val="20"/>
              </w:rPr>
              <w:t>CUENTAS DE ORDEN CONTABLES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p>
        </w:tc>
      </w:tr>
      <w:tr w:rsidR="00755970" w:rsidRPr="00755970" w:rsidTr="00755970">
        <w:trPr>
          <w:trHeight w:val="30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r w:rsidRPr="00755970">
              <w:rPr>
                <w:rFonts w:ascii="Lato" w:eastAsia="Times New Roman" w:hAnsi="Lato" w:cs="Arial"/>
                <w:b/>
                <w:bCs/>
                <w:color w:val="000000"/>
                <w:sz w:val="20"/>
                <w:szCs w:val="20"/>
              </w:rPr>
              <w:t>VALORES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VALORES EN CUSTODIA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CUSTODIA DE VALORES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74,500.00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INSTRUMENTOS DE CRÉDITO PRESTADOS A FORMADORES DE MERCADO</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PRÉSTAMO DE INSTRUMENTOS DE CRÉDITO A FORMADORES DE MERCADO Y SU GARANTÍA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INSTRUMENTOS DE CRÉDITO RECIBIDOS EN GARANTÍA DE LOS FORMADORES DE MERCADO</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GARANTÍA DE CRÉDITOS RECIBIDOS DE LOS FORMADORES DE MERCADO</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30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r w:rsidRPr="00755970">
              <w:rPr>
                <w:rFonts w:ascii="Lato" w:eastAsia="Times New Roman" w:hAnsi="Lato" w:cs="Arial"/>
                <w:b/>
                <w:bCs/>
                <w:color w:val="000000"/>
                <w:sz w:val="20"/>
                <w:szCs w:val="20"/>
              </w:rPr>
              <w:t>EMISION DE OBLIGACIONES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AUTORIZACIÓN PARA LA EMISIÓN DE BONOS, TÍTULOS Y VALORES DE LA DEUDA PÚBLICA INTERNA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AUTORIZACIÓN PARA LA EMISIÓN DE BONOS, TÍTULOS Y VALORES DE LA DEUDA PÚBLICA EXTERNA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EMISIONES AUTORIZADAS DE LA DEUDA PÚBLICA INTERNA Y EXTERNA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lastRenderedPageBreak/>
              <w:t>SUSCRIPCIÓN DE CONTRATOS DE PRÉSTAMOS Y OTRAS OBLIGACIONES DE LA DEUDA PÚBLICA INTERNA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SUSCRIPCIÓN DE CONTRATOS DE PRÉSTAMOS Y OTRAS OBLIGACIONES DE LA DEUDA PÚBLICA EXTERNA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CONTRATOS DE PRÉSTAMOS Y OTRAS OBLIGACIONES DE LA DEUDA PÚBLICA INTERNA Y EXTERNA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741,537,543.49</w:t>
            </w:r>
          </w:p>
        </w:tc>
      </w:tr>
      <w:tr w:rsidR="00755970" w:rsidRPr="00755970" w:rsidTr="00755970">
        <w:trPr>
          <w:trHeight w:val="30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r w:rsidRPr="00755970">
              <w:rPr>
                <w:rFonts w:ascii="Lato" w:eastAsia="Times New Roman" w:hAnsi="Lato" w:cs="Arial"/>
                <w:b/>
                <w:bCs/>
                <w:color w:val="000000"/>
                <w:sz w:val="20"/>
                <w:szCs w:val="20"/>
              </w:rPr>
              <w:t>AVALES Y GARANTIAS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AVALES AUTORIZADOS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AVALES FIRMADOS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FIANZAS Y GARANTÍAS RECIBIDAS POR DEUDAS A COBRAR</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FIANZAS Y GARANTÍAS RECIBIDAS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19,000.10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FIANZAS OTORGADAS PARA RESPALDAR OBLIGACIONES NO FISCALES DEL GOBIERNO</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FIANZAS OTORGADAS DEL GOBIERNO PARA RESPALDAR OBLIGACIONES NO FISCALES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30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r w:rsidRPr="00755970">
              <w:rPr>
                <w:rFonts w:ascii="Lato" w:eastAsia="Times New Roman" w:hAnsi="Lato" w:cs="Arial"/>
                <w:b/>
                <w:bCs/>
                <w:color w:val="000000"/>
                <w:sz w:val="20"/>
                <w:szCs w:val="20"/>
              </w:rPr>
              <w:t>JUICIOS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DEMANDAS JUDICIAL EN PROCESO DE RESOLUCIÓN</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RESOLUCIÓN DE DEMANDAS EN PROCESO JUDICIAL</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r w:rsidRPr="00755970">
              <w:rPr>
                <w:rFonts w:ascii="Lato" w:eastAsia="Times New Roman" w:hAnsi="Lato" w:cs="Arial"/>
                <w:b/>
                <w:bCs/>
                <w:color w:val="000000"/>
                <w:sz w:val="20"/>
                <w:szCs w:val="20"/>
              </w:rPr>
              <w:t>INVERSION MEDIANTE PROYECTOS PARA PRESTACION DE SERVICIOS (PPS) Y SIMILARES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CONTRATOS PARA INVERSIÓN MEDIANTE PROYECTOS PARA PRESTACIÓN DE SERVICIOS (PPS) Y SIMILARES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72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INVERSIÓN PÚBLICA CONTRATADA MEDIANTE PROYECTOS PARA PRESTACIÓN DE SERVICIOS (PPS) Y SIMILARES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30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r w:rsidRPr="00755970">
              <w:rPr>
                <w:rFonts w:ascii="Lato" w:eastAsia="Times New Roman" w:hAnsi="Lato" w:cs="Arial"/>
                <w:b/>
                <w:bCs/>
                <w:color w:val="000000"/>
                <w:sz w:val="20"/>
                <w:szCs w:val="20"/>
              </w:rPr>
              <w:t>BIENES EN CONCESIONADOS O EN COMODATO</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BIENES BAJO CONTRATO EN CONCESIÓN</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CONTRATO DE CONCESIÓN POR BIENES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BIENES BAJO CONTRATO EN COMODATO</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CONTRATO DE COMODATO POR BIENES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48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r w:rsidRPr="00755970">
              <w:rPr>
                <w:rFonts w:ascii="Lato" w:eastAsia="Times New Roman" w:hAnsi="Lato" w:cs="Arial"/>
                <w:b/>
                <w:bCs/>
                <w:color w:val="000000"/>
                <w:sz w:val="20"/>
                <w:szCs w:val="20"/>
              </w:rPr>
              <w:t>BIENES ARQUEOLÓGICOS, ARTÍSTICOS E HISTÓRICOS EN CUSTODIA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BIENES ARQUEOLÓGICOS EN CUSTODIA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CUSTODIA DE BIENES ARQUEOLÓGICOS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lastRenderedPageBreak/>
              <w:t>BIENES ARTÍSTICOS EN CUSTODIA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CUSTODIA DE BIENES ARTÍSTICOS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55"/>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BIENES HISTÓRICOS EN CUSTODIA</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0</w:t>
            </w:r>
          </w:p>
        </w:tc>
      </w:tr>
      <w:tr w:rsidR="00755970" w:rsidRPr="00755970" w:rsidTr="00755970">
        <w:trPr>
          <w:trHeight w:val="27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color w:val="000000"/>
                <w:sz w:val="20"/>
                <w:szCs w:val="20"/>
              </w:rPr>
            </w:pPr>
            <w:r w:rsidRPr="00755970">
              <w:rPr>
                <w:rFonts w:ascii="Lato" w:eastAsia="Times New Roman" w:hAnsi="Lato" w:cs="Arial"/>
                <w:color w:val="000000"/>
                <w:sz w:val="20"/>
                <w:szCs w:val="20"/>
              </w:rPr>
              <w:t>CUSTODIA DE BIENES HISTÓRICOS</w:t>
            </w:r>
          </w:p>
        </w:tc>
        <w:tc>
          <w:tcPr>
            <w:tcW w:w="25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color w:val="000000"/>
                <w:sz w:val="20"/>
                <w:szCs w:val="20"/>
              </w:rPr>
            </w:pPr>
            <w:r w:rsidRPr="00755970">
              <w:rPr>
                <w:rFonts w:ascii="Lato" w:eastAsia="Times New Roman" w:hAnsi="Lato" w:cs="Arial"/>
                <w:color w:val="000000"/>
                <w:sz w:val="20"/>
                <w:szCs w:val="20"/>
              </w:rPr>
              <w:t>53</w:t>
            </w:r>
          </w:p>
        </w:tc>
      </w:tr>
      <w:tr w:rsidR="00755970" w:rsidRPr="00755970" w:rsidTr="00755970">
        <w:trPr>
          <w:trHeight w:val="300"/>
        </w:trPr>
        <w:tc>
          <w:tcPr>
            <w:tcW w:w="5960" w:type="dxa"/>
            <w:tcBorders>
              <w:top w:val="nil"/>
              <w:left w:val="nil"/>
              <w:bottom w:val="nil"/>
              <w:right w:val="nil"/>
            </w:tcBorders>
            <w:shd w:val="clear" w:color="auto" w:fill="auto"/>
            <w:vAlign w:val="center"/>
            <w:hideMark/>
          </w:tcPr>
          <w:p w:rsidR="00755970" w:rsidRPr="00755970" w:rsidRDefault="00755970" w:rsidP="00755970">
            <w:pPr>
              <w:spacing w:after="0" w:line="240" w:lineRule="auto"/>
              <w:rPr>
                <w:rFonts w:ascii="Lato" w:eastAsia="Times New Roman" w:hAnsi="Lato" w:cs="Arial"/>
                <w:b/>
                <w:bCs/>
                <w:color w:val="000000"/>
                <w:sz w:val="20"/>
                <w:szCs w:val="20"/>
              </w:rPr>
            </w:pPr>
            <w:r w:rsidRPr="00755970">
              <w:rPr>
                <w:rFonts w:ascii="Lato" w:eastAsia="Times New Roman" w:hAnsi="Lato" w:cs="Arial"/>
                <w:b/>
                <w:bCs/>
                <w:color w:val="000000"/>
                <w:sz w:val="20"/>
                <w:szCs w:val="20"/>
              </w:rPr>
              <w:t>TOTAL</w:t>
            </w:r>
          </w:p>
        </w:tc>
        <w:tc>
          <w:tcPr>
            <w:tcW w:w="2560" w:type="dxa"/>
            <w:tcBorders>
              <w:top w:val="single" w:sz="12" w:space="0" w:color="000000"/>
              <w:left w:val="nil"/>
              <w:bottom w:val="single" w:sz="12" w:space="0" w:color="000000"/>
              <w:right w:val="nil"/>
            </w:tcBorders>
            <w:shd w:val="clear" w:color="auto" w:fill="auto"/>
            <w:vAlign w:val="center"/>
            <w:hideMark/>
          </w:tcPr>
          <w:p w:rsidR="00755970" w:rsidRPr="00755970" w:rsidRDefault="00755970" w:rsidP="00755970">
            <w:pPr>
              <w:spacing w:after="0" w:line="240" w:lineRule="auto"/>
              <w:jc w:val="right"/>
              <w:rPr>
                <w:rFonts w:ascii="Lato" w:eastAsia="Times New Roman" w:hAnsi="Lato" w:cs="Arial"/>
                <w:b/>
                <w:bCs/>
                <w:color w:val="000000"/>
                <w:sz w:val="20"/>
                <w:szCs w:val="20"/>
              </w:rPr>
            </w:pPr>
            <w:r w:rsidRPr="00755970">
              <w:rPr>
                <w:rFonts w:ascii="Lato" w:eastAsia="Times New Roman" w:hAnsi="Lato" w:cs="Arial"/>
                <w:b/>
                <w:bCs/>
                <w:color w:val="000000"/>
                <w:sz w:val="20"/>
                <w:szCs w:val="20"/>
              </w:rPr>
              <w:t>741,631,096.59</w:t>
            </w:r>
          </w:p>
        </w:tc>
      </w:tr>
    </w:tbl>
    <w:p w:rsidR="00A04969" w:rsidRPr="00866F44" w:rsidRDefault="00A04969">
      <w:pPr>
        <w:rPr>
          <w:rFonts w:ascii="Lato" w:eastAsia="Times New Roman" w:hAnsi="Lato"/>
          <w:sz w:val="20"/>
          <w:szCs w:val="20"/>
        </w:rPr>
      </w:pPr>
    </w:p>
    <w:p w:rsidR="00A04969" w:rsidRPr="00866F44" w:rsidRDefault="00347F2A">
      <w:pPr>
        <w:rPr>
          <w:rFonts w:ascii="Lato" w:eastAsia="Times New Roman" w:hAnsi="Lato"/>
          <w:sz w:val="20"/>
          <w:szCs w:val="20"/>
        </w:rPr>
      </w:pPr>
      <w:r w:rsidRPr="00866F44">
        <w:rPr>
          <w:rFonts w:ascii="Lato" w:eastAsia="Times New Roman" w:hAnsi="Lato" w:cs="Times New Roman"/>
          <w:sz w:val="20"/>
          <w:szCs w:val="20"/>
        </w:rPr>
        <w:t>●</w:t>
      </w:r>
      <w:r w:rsidRPr="00866F44">
        <w:rPr>
          <w:rFonts w:ascii="Lato" w:eastAsia="Times New Roman" w:hAnsi="Lato" w:cs="Barlow"/>
          <w:sz w:val="20"/>
          <w:szCs w:val="20"/>
        </w:rPr>
        <w:t>  </w:t>
      </w:r>
      <w:r w:rsidRPr="00866F44">
        <w:rPr>
          <w:rFonts w:ascii="Lato" w:eastAsia="Times New Roman" w:hAnsi="Lato"/>
          <w:sz w:val="20"/>
          <w:szCs w:val="20"/>
        </w:rPr>
        <w:t xml:space="preserve"> Cuentas presupuestarias.</w:t>
      </w:r>
    </w:p>
    <w:p w:rsidR="00A04969" w:rsidRPr="00866F44" w:rsidRDefault="00A04969">
      <w:pPr>
        <w:rPr>
          <w:rFonts w:ascii="Lato" w:eastAsia="Times New Roman" w:hAnsi="Lato"/>
          <w:sz w:val="20"/>
          <w:szCs w:val="20"/>
        </w:rPr>
      </w:pP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5993"/>
        <w:gridCol w:w="1783"/>
      </w:tblGrid>
      <w:tr w:rsidR="00A04969" w:rsidRPr="00866F44">
        <w:trPr>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LEY DE INGRESOS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LEY DE INGRESOS ESTIMADA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60,873,531,760.00</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LEY DE INGRESOS POR EJECUTAR</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20,411,935,175.82</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MODIFICACIONES A LA LEY DE INGRESOS ESTIMADA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0.00</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LEY DE INGRESOS DEVENGADA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0.00</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LEY DE INGRESOS RECAUDADA</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40,461,596,584.18</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sz w:val="20"/>
                <w:szCs w:val="20"/>
              </w:rPr>
            </w:pPr>
            <w:r w:rsidRPr="00866F44">
              <w:rPr>
                <w:rStyle w:val="Textoennegrita"/>
                <w:rFonts w:ascii="Lato" w:eastAsia="Times New Roman" w:hAnsi="Lato"/>
                <w:color w:val="000000"/>
                <w:sz w:val="20"/>
                <w:szCs w:val="20"/>
              </w:rPr>
              <w:t>PRESUPUESTO DE EGRESOS</w:t>
            </w:r>
          </w:p>
        </w:tc>
        <w:tc>
          <w:tcPr>
            <w:tcW w:w="0" w:type="auto"/>
            <w:vAlign w:val="center"/>
            <w:hideMark/>
          </w:tcPr>
          <w:p w:rsidR="00A04969" w:rsidRPr="00866F44" w:rsidRDefault="00A04969">
            <w:pPr>
              <w:rPr>
                <w:rFonts w:ascii="Lato" w:eastAsia="Times New Roman" w:hAnsi="Lato"/>
                <w:sz w:val="20"/>
                <w:szCs w:val="20"/>
              </w:rPr>
            </w:pP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PRESUPUESTO DE EGRESOS APROBADO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60,815,126,260.00</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MODIFICACIONES AL PRESUPUESTO DE EGRESOS APROBADO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2,579,152,767.25</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PRESUPUESTO DE EGRESOS POR EJERCER</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21,279,337,711.76</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PRESUPUESTO DE EGRESOS COMPROMETIDO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158,082,456.31</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PRESUPUESTO DE EGRESOS DEVENGADO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452,892,349.80</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lastRenderedPageBreak/>
              <w:t>PRESUPUESTO DE EGRESOS EJERCIDO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83,348,498.25</w:t>
            </w:r>
          </w:p>
        </w:tc>
      </w:tr>
      <w:tr w:rsidR="00A04969" w:rsidRPr="00866F44">
        <w:trPr>
          <w:tblCellSpacing w:w="15" w:type="dxa"/>
        </w:trPr>
        <w:tc>
          <w:tcPr>
            <w:tcW w:w="0" w:type="auto"/>
            <w:vAlign w:val="center"/>
            <w:hideMark/>
          </w:tcPr>
          <w:p w:rsidR="00A04969" w:rsidRPr="00866F44" w:rsidRDefault="00347F2A">
            <w:pPr>
              <w:rPr>
                <w:rFonts w:ascii="Lato" w:eastAsia="Times New Roman" w:hAnsi="Lato"/>
                <w:color w:val="000000"/>
                <w:sz w:val="20"/>
                <w:szCs w:val="20"/>
              </w:rPr>
            </w:pPr>
            <w:r w:rsidRPr="00866F44">
              <w:rPr>
                <w:rFonts w:ascii="Lato" w:eastAsia="Times New Roman" w:hAnsi="Lato"/>
                <w:color w:val="000000"/>
                <w:sz w:val="20"/>
                <w:szCs w:val="20"/>
              </w:rPr>
              <w:t>PRESUPUESTO DE EGRESOS PAGADO</w:t>
            </w:r>
          </w:p>
        </w:tc>
        <w:tc>
          <w:tcPr>
            <w:tcW w:w="0" w:type="auto"/>
            <w:vAlign w:val="center"/>
            <w:hideMark/>
          </w:tcPr>
          <w:p w:rsidR="00A04969" w:rsidRPr="00866F44" w:rsidRDefault="00347F2A">
            <w:pPr>
              <w:jc w:val="right"/>
              <w:rPr>
                <w:rFonts w:ascii="Lato" w:eastAsia="Times New Roman" w:hAnsi="Lato"/>
                <w:sz w:val="20"/>
                <w:szCs w:val="20"/>
              </w:rPr>
            </w:pPr>
            <w:r w:rsidRPr="00866F44">
              <w:rPr>
                <w:rFonts w:ascii="Lato" w:eastAsia="Times New Roman" w:hAnsi="Lato"/>
                <w:color w:val="000000"/>
                <w:sz w:val="20"/>
                <w:szCs w:val="20"/>
              </w:rPr>
              <w:t>41,420,618,011.13</w:t>
            </w:r>
          </w:p>
        </w:tc>
      </w:tr>
    </w:tbl>
    <w:p w:rsidR="00A04969" w:rsidRPr="00866F44" w:rsidRDefault="00347F2A">
      <w:pPr>
        <w:rPr>
          <w:rFonts w:ascii="Lato" w:eastAsia="Times New Roman" w:hAnsi="Lato"/>
          <w:sz w:val="20"/>
          <w:szCs w:val="20"/>
        </w:rPr>
      </w:pPr>
      <w:r w:rsidRPr="00866F44">
        <w:rPr>
          <w:rFonts w:ascii="Lato" w:eastAsia="Times New Roman" w:hAnsi="Lato"/>
          <w:sz w:val="20"/>
          <w:szCs w:val="20"/>
        </w:rPr>
        <w:t xml:space="preserve">Bajo protesta de decir verdad declaramos que los Estados Financieros y sus Notas son razonablemente correctos y </w:t>
      </w:r>
      <w:r w:rsidR="00755970" w:rsidRPr="00866F44">
        <w:rPr>
          <w:rFonts w:ascii="Lato" w:eastAsia="Times New Roman" w:hAnsi="Lato"/>
          <w:sz w:val="20"/>
          <w:szCs w:val="20"/>
        </w:rPr>
        <w:t xml:space="preserve">son </w:t>
      </w:r>
      <w:r w:rsidRPr="00866F44">
        <w:rPr>
          <w:rFonts w:ascii="Lato" w:eastAsia="Times New Roman" w:hAnsi="Lato"/>
          <w:sz w:val="20"/>
          <w:szCs w:val="20"/>
        </w:rPr>
        <w:t>responsabilidad del emisor.</w:t>
      </w:r>
    </w:p>
    <w:p w:rsidR="00347F2A" w:rsidRPr="00866F44" w:rsidRDefault="00347F2A">
      <w:pPr>
        <w:rPr>
          <w:rFonts w:ascii="Lato" w:eastAsia="Times New Roman" w:hAnsi="Lato"/>
          <w:sz w:val="20"/>
          <w:szCs w:val="20"/>
        </w:rPr>
      </w:pPr>
    </w:p>
    <w:sectPr w:rsidR="00347F2A" w:rsidRPr="00866F44">
      <w:headerReference w:type="default" r:id="rId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9E3" w:rsidRDefault="00C779E3" w:rsidP="003844CE">
      <w:pPr>
        <w:spacing w:after="0" w:line="240" w:lineRule="auto"/>
      </w:pPr>
      <w:r>
        <w:separator/>
      </w:r>
    </w:p>
  </w:endnote>
  <w:endnote w:type="continuationSeparator" w:id="0">
    <w:p w:rsidR="00C779E3" w:rsidRDefault="00C779E3" w:rsidP="003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rlow">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oberana Sans">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9E3" w:rsidRDefault="00C779E3" w:rsidP="003844CE">
      <w:pPr>
        <w:spacing w:after="0" w:line="240" w:lineRule="auto"/>
      </w:pPr>
      <w:r>
        <w:separator/>
      </w:r>
    </w:p>
  </w:footnote>
  <w:footnote w:type="continuationSeparator" w:id="0">
    <w:p w:rsidR="00C779E3" w:rsidRDefault="00C779E3" w:rsidP="00384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E12" w:rsidRDefault="00610E12">
    <w:pPr>
      <w:pStyle w:val="Encabezado"/>
    </w:pPr>
    <w:r>
      <w:rPr>
        <w:noProof/>
      </w:rPr>
      <w:drawing>
        <wp:inline distT="0" distB="0" distL="0" distR="0" wp14:anchorId="4A0713BD">
          <wp:extent cx="29432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09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2CF30E4"/>
    <w:multiLevelType w:val="hybridMultilevel"/>
    <w:tmpl w:val="63C88314"/>
    <w:lvl w:ilvl="0" w:tplc="156E62CE">
      <w:start w:val="1"/>
      <w:numFmt w:val="lowerLetter"/>
      <w:lvlText w:val="%1)"/>
      <w:lvlJc w:val="left"/>
      <w:pPr>
        <w:ind w:left="765" w:hanging="360"/>
      </w:pPr>
      <w:rPr>
        <w:rFonts w:ascii="Barlow" w:eastAsia="Times New Roman" w:hAnsi="Barlow" w:cs="Arial"/>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737C1BD7"/>
    <w:multiLevelType w:val="hybridMultilevel"/>
    <w:tmpl w:val="9C6C5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F86C35"/>
    <w:multiLevelType w:val="hybridMultilevel"/>
    <w:tmpl w:val="A55C6504"/>
    <w:lvl w:ilvl="0" w:tplc="9F007178">
      <w:start w:val="1"/>
      <w:numFmt w:val="lowerLetter"/>
      <w:lvlText w:val="%1)"/>
      <w:lvlJc w:val="lef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41"/>
    <w:rsid w:val="00047175"/>
    <w:rsid w:val="000847B6"/>
    <w:rsid w:val="000A7242"/>
    <w:rsid w:val="00165576"/>
    <w:rsid w:val="00184B78"/>
    <w:rsid w:val="001850CE"/>
    <w:rsid w:val="0019493B"/>
    <w:rsid w:val="001D71F0"/>
    <w:rsid w:val="002217E5"/>
    <w:rsid w:val="0024717C"/>
    <w:rsid w:val="00263AC5"/>
    <w:rsid w:val="00270A04"/>
    <w:rsid w:val="002B0D6D"/>
    <w:rsid w:val="002B423D"/>
    <w:rsid w:val="002C2A41"/>
    <w:rsid w:val="00330B04"/>
    <w:rsid w:val="00337AA7"/>
    <w:rsid w:val="00347F2A"/>
    <w:rsid w:val="00374291"/>
    <w:rsid w:val="003844CE"/>
    <w:rsid w:val="003A5E35"/>
    <w:rsid w:val="003C755C"/>
    <w:rsid w:val="003D2545"/>
    <w:rsid w:val="004D2C7D"/>
    <w:rsid w:val="004E2F4D"/>
    <w:rsid w:val="00517797"/>
    <w:rsid w:val="00523185"/>
    <w:rsid w:val="00581EBC"/>
    <w:rsid w:val="00610E12"/>
    <w:rsid w:val="00632DA0"/>
    <w:rsid w:val="006811C5"/>
    <w:rsid w:val="006E4D1A"/>
    <w:rsid w:val="00726157"/>
    <w:rsid w:val="00731B8C"/>
    <w:rsid w:val="00755970"/>
    <w:rsid w:val="00775323"/>
    <w:rsid w:val="007D57B5"/>
    <w:rsid w:val="007E47D2"/>
    <w:rsid w:val="008205B7"/>
    <w:rsid w:val="008450CC"/>
    <w:rsid w:val="00854F79"/>
    <w:rsid w:val="00866F44"/>
    <w:rsid w:val="008A40E8"/>
    <w:rsid w:val="008B5EE7"/>
    <w:rsid w:val="008E43AE"/>
    <w:rsid w:val="00911439"/>
    <w:rsid w:val="0093095F"/>
    <w:rsid w:val="00A04969"/>
    <w:rsid w:val="00A22867"/>
    <w:rsid w:val="00AD610C"/>
    <w:rsid w:val="00AD774D"/>
    <w:rsid w:val="00B17322"/>
    <w:rsid w:val="00B963A8"/>
    <w:rsid w:val="00BB4CE7"/>
    <w:rsid w:val="00BE2FF6"/>
    <w:rsid w:val="00BE53FD"/>
    <w:rsid w:val="00C00585"/>
    <w:rsid w:val="00C5694A"/>
    <w:rsid w:val="00C65F0E"/>
    <w:rsid w:val="00C779E3"/>
    <w:rsid w:val="00CC1850"/>
    <w:rsid w:val="00D20724"/>
    <w:rsid w:val="00D24BBD"/>
    <w:rsid w:val="00DB2956"/>
    <w:rsid w:val="00DC0FC3"/>
    <w:rsid w:val="00DE282E"/>
    <w:rsid w:val="00E24A54"/>
    <w:rsid w:val="00E713A1"/>
    <w:rsid w:val="00F1786B"/>
    <w:rsid w:val="00F250B3"/>
    <w:rsid w:val="00F64EC5"/>
    <w:rsid w:val="00F81826"/>
    <w:rsid w:val="00F9463D"/>
    <w:rsid w:val="00FF50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D0F93"/>
  <w15:docId w15:val="{F4993A79-F47A-4FB4-8CC0-4D154182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rsid w:val="00854F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4F79"/>
    <w:rPr>
      <w:rFonts w:ascii="Segoe UI" w:hAnsi="Segoe UI" w:cs="Segoe UI"/>
      <w:sz w:val="18"/>
      <w:szCs w:val="18"/>
    </w:rPr>
  </w:style>
  <w:style w:type="paragraph" w:styleId="Encabezado">
    <w:name w:val="header"/>
    <w:basedOn w:val="Normal"/>
    <w:link w:val="EncabezadoCar"/>
    <w:uiPriority w:val="99"/>
    <w:unhideWhenUsed/>
    <w:rsid w:val="003844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44CE"/>
  </w:style>
  <w:style w:type="paragraph" w:styleId="Piedepgina">
    <w:name w:val="footer"/>
    <w:basedOn w:val="Normal"/>
    <w:link w:val="PiedepginaCar"/>
    <w:uiPriority w:val="99"/>
    <w:unhideWhenUsed/>
    <w:rsid w:val="003844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44CE"/>
  </w:style>
  <w:style w:type="table" w:styleId="Tabladecuadrcula1clara">
    <w:name w:val="Grid Table 1 Light"/>
    <w:basedOn w:val="Tablanormal"/>
    <w:uiPriority w:val="46"/>
    <w:rsid w:val="00F250B3"/>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F250B3"/>
    <w:pPr>
      <w:spacing w:after="0" w:line="240" w:lineRule="auto"/>
      <w:ind w:left="720"/>
      <w:contextualSpacing/>
    </w:pPr>
    <w:rPr>
      <w:rFonts w:ascii="Calibri" w:eastAsiaTheme="minorHAns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7452">
      <w:bodyDiv w:val="1"/>
      <w:marLeft w:val="0"/>
      <w:marRight w:val="0"/>
      <w:marTop w:val="0"/>
      <w:marBottom w:val="0"/>
      <w:divBdr>
        <w:top w:val="none" w:sz="0" w:space="0" w:color="auto"/>
        <w:left w:val="none" w:sz="0" w:space="0" w:color="auto"/>
        <w:bottom w:val="none" w:sz="0" w:space="0" w:color="auto"/>
        <w:right w:val="none" w:sz="0" w:space="0" w:color="auto"/>
      </w:divBdr>
    </w:div>
    <w:div w:id="310063571">
      <w:marLeft w:val="0"/>
      <w:marRight w:val="0"/>
      <w:marTop w:val="0"/>
      <w:marBottom w:val="0"/>
      <w:divBdr>
        <w:top w:val="none" w:sz="0" w:space="0" w:color="auto"/>
        <w:left w:val="none" w:sz="0" w:space="0" w:color="auto"/>
        <w:bottom w:val="none" w:sz="0" w:space="0" w:color="auto"/>
        <w:right w:val="none" w:sz="0" w:space="0" w:color="auto"/>
      </w:divBdr>
      <w:divsChild>
        <w:div w:id="460267441">
          <w:marLeft w:val="0"/>
          <w:marRight w:val="0"/>
          <w:marTop w:val="0"/>
          <w:marBottom w:val="0"/>
          <w:divBdr>
            <w:top w:val="none" w:sz="0" w:space="0" w:color="auto"/>
            <w:left w:val="none" w:sz="0" w:space="0" w:color="auto"/>
            <w:bottom w:val="none" w:sz="0" w:space="0" w:color="auto"/>
            <w:right w:val="none" w:sz="0" w:space="0" w:color="auto"/>
          </w:divBdr>
        </w:div>
        <w:div w:id="1712344262">
          <w:marLeft w:val="0"/>
          <w:marRight w:val="0"/>
          <w:marTop w:val="0"/>
          <w:marBottom w:val="0"/>
          <w:divBdr>
            <w:top w:val="none" w:sz="0" w:space="0" w:color="auto"/>
            <w:left w:val="none" w:sz="0" w:space="0" w:color="auto"/>
            <w:bottom w:val="none" w:sz="0" w:space="0" w:color="auto"/>
            <w:right w:val="none" w:sz="0" w:space="0" w:color="auto"/>
          </w:divBdr>
        </w:div>
        <w:div w:id="1719471099">
          <w:marLeft w:val="360"/>
          <w:marRight w:val="0"/>
          <w:marTop w:val="0"/>
          <w:marBottom w:val="0"/>
          <w:divBdr>
            <w:top w:val="none" w:sz="0" w:space="0" w:color="auto"/>
            <w:left w:val="none" w:sz="0" w:space="0" w:color="auto"/>
            <w:bottom w:val="none" w:sz="0" w:space="0" w:color="auto"/>
            <w:right w:val="none" w:sz="0" w:space="0" w:color="auto"/>
          </w:divBdr>
        </w:div>
        <w:div w:id="856575876">
          <w:marLeft w:val="600"/>
          <w:marRight w:val="0"/>
          <w:marTop w:val="0"/>
          <w:marBottom w:val="0"/>
          <w:divBdr>
            <w:top w:val="none" w:sz="0" w:space="0" w:color="auto"/>
            <w:left w:val="none" w:sz="0" w:space="0" w:color="auto"/>
            <w:bottom w:val="none" w:sz="0" w:space="0" w:color="auto"/>
            <w:right w:val="none" w:sz="0" w:space="0" w:color="auto"/>
          </w:divBdr>
        </w:div>
        <w:div w:id="537089348">
          <w:marLeft w:val="360"/>
          <w:marRight w:val="0"/>
          <w:marTop w:val="0"/>
          <w:marBottom w:val="0"/>
          <w:divBdr>
            <w:top w:val="none" w:sz="0" w:space="0" w:color="auto"/>
            <w:left w:val="none" w:sz="0" w:space="0" w:color="auto"/>
            <w:bottom w:val="none" w:sz="0" w:space="0" w:color="auto"/>
            <w:right w:val="none" w:sz="0" w:space="0" w:color="auto"/>
          </w:divBdr>
        </w:div>
        <w:div w:id="977757782">
          <w:marLeft w:val="0"/>
          <w:marRight w:val="0"/>
          <w:marTop w:val="0"/>
          <w:marBottom w:val="0"/>
          <w:divBdr>
            <w:top w:val="none" w:sz="0" w:space="0" w:color="auto"/>
            <w:left w:val="none" w:sz="0" w:space="0" w:color="auto"/>
            <w:bottom w:val="none" w:sz="0" w:space="0" w:color="auto"/>
            <w:right w:val="none" w:sz="0" w:space="0" w:color="auto"/>
          </w:divBdr>
        </w:div>
        <w:div w:id="528035325">
          <w:marLeft w:val="360"/>
          <w:marRight w:val="0"/>
          <w:marTop w:val="0"/>
          <w:marBottom w:val="0"/>
          <w:divBdr>
            <w:top w:val="none" w:sz="0" w:space="0" w:color="auto"/>
            <w:left w:val="none" w:sz="0" w:space="0" w:color="auto"/>
            <w:bottom w:val="none" w:sz="0" w:space="0" w:color="auto"/>
            <w:right w:val="none" w:sz="0" w:space="0" w:color="auto"/>
          </w:divBdr>
        </w:div>
        <w:div w:id="1516646716">
          <w:marLeft w:val="0"/>
          <w:marRight w:val="0"/>
          <w:marTop w:val="0"/>
          <w:marBottom w:val="0"/>
          <w:divBdr>
            <w:top w:val="none" w:sz="0" w:space="0" w:color="auto"/>
            <w:left w:val="none" w:sz="0" w:space="0" w:color="auto"/>
            <w:bottom w:val="none" w:sz="0" w:space="0" w:color="auto"/>
            <w:right w:val="none" w:sz="0" w:space="0" w:color="auto"/>
          </w:divBdr>
        </w:div>
        <w:div w:id="1869564581">
          <w:marLeft w:val="0"/>
          <w:marRight w:val="0"/>
          <w:marTop w:val="0"/>
          <w:marBottom w:val="0"/>
          <w:divBdr>
            <w:top w:val="none" w:sz="0" w:space="0" w:color="auto"/>
            <w:left w:val="none" w:sz="0" w:space="0" w:color="auto"/>
            <w:bottom w:val="none" w:sz="0" w:space="0" w:color="auto"/>
            <w:right w:val="none" w:sz="0" w:space="0" w:color="auto"/>
          </w:divBdr>
        </w:div>
        <w:div w:id="570427540">
          <w:marLeft w:val="0"/>
          <w:marRight w:val="0"/>
          <w:marTop w:val="0"/>
          <w:marBottom w:val="0"/>
          <w:divBdr>
            <w:top w:val="none" w:sz="0" w:space="0" w:color="auto"/>
            <w:left w:val="none" w:sz="0" w:space="0" w:color="auto"/>
            <w:bottom w:val="none" w:sz="0" w:space="0" w:color="auto"/>
            <w:right w:val="none" w:sz="0" w:space="0" w:color="auto"/>
          </w:divBdr>
        </w:div>
        <w:div w:id="853376021">
          <w:marLeft w:val="600"/>
          <w:marRight w:val="0"/>
          <w:marTop w:val="0"/>
          <w:marBottom w:val="0"/>
          <w:divBdr>
            <w:top w:val="none" w:sz="0" w:space="0" w:color="auto"/>
            <w:left w:val="none" w:sz="0" w:space="0" w:color="auto"/>
            <w:bottom w:val="none" w:sz="0" w:space="0" w:color="auto"/>
            <w:right w:val="none" w:sz="0" w:space="0" w:color="auto"/>
          </w:divBdr>
        </w:div>
        <w:div w:id="1658343263">
          <w:marLeft w:val="360"/>
          <w:marRight w:val="0"/>
          <w:marTop w:val="0"/>
          <w:marBottom w:val="0"/>
          <w:divBdr>
            <w:top w:val="none" w:sz="0" w:space="0" w:color="auto"/>
            <w:left w:val="none" w:sz="0" w:space="0" w:color="auto"/>
            <w:bottom w:val="none" w:sz="0" w:space="0" w:color="auto"/>
            <w:right w:val="none" w:sz="0" w:space="0" w:color="auto"/>
          </w:divBdr>
        </w:div>
        <w:div w:id="95448529">
          <w:marLeft w:val="0"/>
          <w:marRight w:val="0"/>
          <w:marTop w:val="0"/>
          <w:marBottom w:val="0"/>
          <w:divBdr>
            <w:top w:val="none" w:sz="0" w:space="0" w:color="auto"/>
            <w:left w:val="none" w:sz="0" w:space="0" w:color="auto"/>
            <w:bottom w:val="none" w:sz="0" w:space="0" w:color="auto"/>
            <w:right w:val="none" w:sz="0" w:space="0" w:color="auto"/>
          </w:divBdr>
        </w:div>
        <w:div w:id="427166146">
          <w:marLeft w:val="360"/>
          <w:marRight w:val="0"/>
          <w:marTop w:val="0"/>
          <w:marBottom w:val="0"/>
          <w:divBdr>
            <w:top w:val="none" w:sz="0" w:space="0" w:color="auto"/>
            <w:left w:val="none" w:sz="0" w:space="0" w:color="auto"/>
            <w:bottom w:val="none" w:sz="0" w:space="0" w:color="auto"/>
            <w:right w:val="none" w:sz="0" w:space="0" w:color="auto"/>
          </w:divBdr>
        </w:div>
        <w:div w:id="1629510035">
          <w:marLeft w:val="0"/>
          <w:marRight w:val="0"/>
          <w:marTop w:val="0"/>
          <w:marBottom w:val="0"/>
          <w:divBdr>
            <w:top w:val="none" w:sz="0" w:space="0" w:color="auto"/>
            <w:left w:val="none" w:sz="0" w:space="0" w:color="auto"/>
            <w:bottom w:val="none" w:sz="0" w:space="0" w:color="auto"/>
            <w:right w:val="none" w:sz="0" w:space="0" w:color="auto"/>
          </w:divBdr>
        </w:div>
        <w:div w:id="2082562235">
          <w:marLeft w:val="360"/>
          <w:marRight w:val="0"/>
          <w:marTop w:val="0"/>
          <w:marBottom w:val="0"/>
          <w:divBdr>
            <w:top w:val="none" w:sz="0" w:space="0" w:color="auto"/>
            <w:left w:val="none" w:sz="0" w:space="0" w:color="auto"/>
            <w:bottom w:val="none" w:sz="0" w:space="0" w:color="auto"/>
            <w:right w:val="none" w:sz="0" w:space="0" w:color="auto"/>
          </w:divBdr>
        </w:div>
        <w:div w:id="496577010">
          <w:marLeft w:val="0"/>
          <w:marRight w:val="0"/>
          <w:marTop w:val="0"/>
          <w:marBottom w:val="0"/>
          <w:divBdr>
            <w:top w:val="none" w:sz="0" w:space="0" w:color="auto"/>
            <w:left w:val="none" w:sz="0" w:space="0" w:color="auto"/>
            <w:bottom w:val="none" w:sz="0" w:space="0" w:color="auto"/>
            <w:right w:val="none" w:sz="0" w:space="0" w:color="auto"/>
          </w:divBdr>
        </w:div>
        <w:div w:id="884953437">
          <w:marLeft w:val="360"/>
          <w:marRight w:val="0"/>
          <w:marTop w:val="0"/>
          <w:marBottom w:val="0"/>
          <w:divBdr>
            <w:top w:val="none" w:sz="0" w:space="0" w:color="auto"/>
            <w:left w:val="none" w:sz="0" w:space="0" w:color="auto"/>
            <w:bottom w:val="none" w:sz="0" w:space="0" w:color="auto"/>
            <w:right w:val="none" w:sz="0" w:space="0" w:color="auto"/>
          </w:divBdr>
        </w:div>
        <w:div w:id="216623835">
          <w:marLeft w:val="600"/>
          <w:marRight w:val="0"/>
          <w:marTop w:val="0"/>
          <w:marBottom w:val="0"/>
          <w:divBdr>
            <w:top w:val="none" w:sz="0" w:space="0" w:color="auto"/>
            <w:left w:val="none" w:sz="0" w:space="0" w:color="auto"/>
            <w:bottom w:val="none" w:sz="0" w:space="0" w:color="auto"/>
            <w:right w:val="none" w:sz="0" w:space="0" w:color="auto"/>
          </w:divBdr>
        </w:div>
        <w:div w:id="1827357285">
          <w:marLeft w:val="840"/>
          <w:marRight w:val="0"/>
          <w:marTop w:val="0"/>
          <w:marBottom w:val="0"/>
          <w:divBdr>
            <w:top w:val="none" w:sz="0" w:space="0" w:color="auto"/>
            <w:left w:val="none" w:sz="0" w:space="0" w:color="auto"/>
            <w:bottom w:val="none" w:sz="0" w:space="0" w:color="auto"/>
            <w:right w:val="none" w:sz="0" w:space="0" w:color="auto"/>
          </w:divBdr>
        </w:div>
        <w:div w:id="858472896">
          <w:marLeft w:val="840"/>
          <w:marRight w:val="0"/>
          <w:marTop w:val="0"/>
          <w:marBottom w:val="0"/>
          <w:divBdr>
            <w:top w:val="none" w:sz="0" w:space="0" w:color="auto"/>
            <w:left w:val="none" w:sz="0" w:space="0" w:color="auto"/>
            <w:bottom w:val="none" w:sz="0" w:space="0" w:color="auto"/>
            <w:right w:val="none" w:sz="0" w:space="0" w:color="auto"/>
          </w:divBdr>
        </w:div>
        <w:div w:id="2065642270">
          <w:marLeft w:val="840"/>
          <w:marRight w:val="0"/>
          <w:marTop w:val="0"/>
          <w:marBottom w:val="0"/>
          <w:divBdr>
            <w:top w:val="none" w:sz="0" w:space="0" w:color="auto"/>
            <w:left w:val="none" w:sz="0" w:space="0" w:color="auto"/>
            <w:bottom w:val="none" w:sz="0" w:space="0" w:color="auto"/>
            <w:right w:val="none" w:sz="0" w:space="0" w:color="auto"/>
          </w:divBdr>
        </w:div>
        <w:div w:id="292181289">
          <w:marLeft w:val="840"/>
          <w:marRight w:val="0"/>
          <w:marTop w:val="0"/>
          <w:marBottom w:val="0"/>
          <w:divBdr>
            <w:top w:val="none" w:sz="0" w:space="0" w:color="auto"/>
            <w:left w:val="none" w:sz="0" w:space="0" w:color="auto"/>
            <w:bottom w:val="none" w:sz="0" w:space="0" w:color="auto"/>
            <w:right w:val="none" w:sz="0" w:space="0" w:color="auto"/>
          </w:divBdr>
        </w:div>
        <w:div w:id="861287305">
          <w:marLeft w:val="840"/>
          <w:marRight w:val="0"/>
          <w:marTop w:val="0"/>
          <w:marBottom w:val="0"/>
          <w:divBdr>
            <w:top w:val="none" w:sz="0" w:space="0" w:color="auto"/>
            <w:left w:val="none" w:sz="0" w:space="0" w:color="auto"/>
            <w:bottom w:val="none" w:sz="0" w:space="0" w:color="auto"/>
            <w:right w:val="none" w:sz="0" w:space="0" w:color="auto"/>
          </w:divBdr>
        </w:div>
        <w:div w:id="570653587">
          <w:marLeft w:val="840"/>
          <w:marRight w:val="0"/>
          <w:marTop w:val="0"/>
          <w:marBottom w:val="0"/>
          <w:divBdr>
            <w:top w:val="none" w:sz="0" w:space="0" w:color="auto"/>
            <w:left w:val="none" w:sz="0" w:space="0" w:color="auto"/>
            <w:bottom w:val="none" w:sz="0" w:space="0" w:color="auto"/>
            <w:right w:val="none" w:sz="0" w:space="0" w:color="auto"/>
          </w:divBdr>
        </w:div>
        <w:div w:id="1368530692">
          <w:marLeft w:val="840"/>
          <w:marRight w:val="0"/>
          <w:marTop w:val="0"/>
          <w:marBottom w:val="0"/>
          <w:divBdr>
            <w:top w:val="none" w:sz="0" w:space="0" w:color="auto"/>
            <w:left w:val="none" w:sz="0" w:space="0" w:color="auto"/>
            <w:bottom w:val="none" w:sz="0" w:space="0" w:color="auto"/>
            <w:right w:val="none" w:sz="0" w:space="0" w:color="auto"/>
          </w:divBdr>
        </w:div>
        <w:div w:id="2106027556">
          <w:marLeft w:val="840"/>
          <w:marRight w:val="0"/>
          <w:marTop w:val="0"/>
          <w:marBottom w:val="0"/>
          <w:divBdr>
            <w:top w:val="none" w:sz="0" w:space="0" w:color="auto"/>
            <w:left w:val="none" w:sz="0" w:space="0" w:color="auto"/>
            <w:bottom w:val="none" w:sz="0" w:space="0" w:color="auto"/>
            <w:right w:val="none" w:sz="0" w:space="0" w:color="auto"/>
          </w:divBdr>
        </w:div>
        <w:div w:id="1908756729">
          <w:marLeft w:val="840"/>
          <w:marRight w:val="0"/>
          <w:marTop w:val="0"/>
          <w:marBottom w:val="0"/>
          <w:divBdr>
            <w:top w:val="none" w:sz="0" w:space="0" w:color="auto"/>
            <w:left w:val="none" w:sz="0" w:space="0" w:color="auto"/>
            <w:bottom w:val="none" w:sz="0" w:space="0" w:color="auto"/>
            <w:right w:val="none" w:sz="0" w:space="0" w:color="auto"/>
          </w:divBdr>
        </w:div>
        <w:div w:id="1900433226">
          <w:marLeft w:val="840"/>
          <w:marRight w:val="0"/>
          <w:marTop w:val="0"/>
          <w:marBottom w:val="0"/>
          <w:divBdr>
            <w:top w:val="none" w:sz="0" w:space="0" w:color="auto"/>
            <w:left w:val="none" w:sz="0" w:space="0" w:color="auto"/>
            <w:bottom w:val="none" w:sz="0" w:space="0" w:color="auto"/>
            <w:right w:val="none" w:sz="0" w:space="0" w:color="auto"/>
          </w:divBdr>
        </w:div>
        <w:div w:id="1911848623">
          <w:marLeft w:val="840"/>
          <w:marRight w:val="0"/>
          <w:marTop w:val="0"/>
          <w:marBottom w:val="0"/>
          <w:divBdr>
            <w:top w:val="none" w:sz="0" w:space="0" w:color="auto"/>
            <w:left w:val="none" w:sz="0" w:space="0" w:color="auto"/>
            <w:bottom w:val="none" w:sz="0" w:space="0" w:color="auto"/>
            <w:right w:val="none" w:sz="0" w:space="0" w:color="auto"/>
          </w:divBdr>
        </w:div>
        <w:div w:id="1552958529">
          <w:marLeft w:val="360"/>
          <w:marRight w:val="0"/>
          <w:marTop w:val="0"/>
          <w:marBottom w:val="0"/>
          <w:divBdr>
            <w:top w:val="none" w:sz="0" w:space="0" w:color="auto"/>
            <w:left w:val="none" w:sz="0" w:space="0" w:color="auto"/>
            <w:bottom w:val="none" w:sz="0" w:space="0" w:color="auto"/>
            <w:right w:val="none" w:sz="0" w:space="0" w:color="auto"/>
          </w:divBdr>
        </w:div>
        <w:div w:id="1697081362">
          <w:marLeft w:val="0"/>
          <w:marRight w:val="0"/>
          <w:marTop w:val="0"/>
          <w:marBottom w:val="0"/>
          <w:divBdr>
            <w:top w:val="none" w:sz="0" w:space="0" w:color="auto"/>
            <w:left w:val="none" w:sz="0" w:space="0" w:color="auto"/>
            <w:bottom w:val="none" w:sz="0" w:space="0" w:color="auto"/>
            <w:right w:val="none" w:sz="0" w:space="0" w:color="auto"/>
          </w:divBdr>
        </w:div>
        <w:div w:id="323896004">
          <w:marLeft w:val="0"/>
          <w:marRight w:val="0"/>
          <w:marTop w:val="0"/>
          <w:marBottom w:val="0"/>
          <w:divBdr>
            <w:top w:val="none" w:sz="0" w:space="0" w:color="auto"/>
            <w:left w:val="none" w:sz="0" w:space="0" w:color="auto"/>
            <w:bottom w:val="none" w:sz="0" w:space="0" w:color="auto"/>
            <w:right w:val="none" w:sz="0" w:space="0" w:color="auto"/>
          </w:divBdr>
        </w:div>
        <w:div w:id="97799381">
          <w:marLeft w:val="0"/>
          <w:marRight w:val="0"/>
          <w:marTop w:val="0"/>
          <w:marBottom w:val="0"/>
          <w:divBdr>
            <w:top w:val="none" w:sz="0" w:space="0" w:color="auto"/>
            <w:left w:val="none" w:sz="0" w:space="0" w:color="auto"/>
            <w:bottom w:val="none" w:sz="0" w:space="0" w:color="auto"/>
            <w:right w:val="none" w:sz="0" w:space="0" w:color="auto"/>
          </w:divBdr>
        </w:div>
        <w:div w:id="407576918">
          <w:marLeft w:val="0"/>
          <w:marRight w:val="0"/>
          <w:marTop w:val="0"/>
          <w:marBottom w:val="0"/>
          <w:divBdr>
            <w:top w:val="none" w:sz="0" w:space="0" w:color="auto"/>
            <w:left w:val="none" w:sz="0" w:space="0" w:color="auto"/>
            <w:bottom w:val="none" w:sz="0" w:space="0" w:color="auto"/>
            <w:right w:val="none" w:sz="0" w:space="0" w:color="auto"/>
          </w:divBdr>
        </w:div>
        <w:div w:id="36249799">
          <w:marLeft w:val="0"/>
          <w:marRight w:val="0"/>
          <w:marTop w:val="0"/>
          <w:marBottom w:val="0"/>
          <w:divBdr>
            <w:top w:val="none" w:sz="0" w:space="0" w:color="auto"/>
            <w:left w:val="none" w:sz="0" w:space="0" w:color="auto"/>
            <w:bottom w:val="none" w:sz="0" w:space="0" w:color="auto"/>
            <w:right w:val="none" w:sz="0" w:space="0" w:color="auto"/>
          </w:divBdr>
        </w:div>
        <w:div w:id="1616406187">
          <w:marLeft w:val="0"/>
          <w:marRight w:val="0"/>
          <w:marTop w:val="0"/>
          <w:marBottom w:val="0"/>
          <w:divBdr>
            <w:top w:val="none" w:sz="0" w:space="0" w:color="auto"/>
            <w:left w:val="none" w:sz="0" w:space="0" w:color="auto"/>
            <w:bottom w:val="none" w:sz="0" w:space="0" w:color="auto"/>
            <w:right w:val="none" w:sz="0" w:space="0" w:color="auto"/>
          </w:divBdr>
        </w:div>
        <w:div w:id="1461460127">
          <w:marLeft w:val="0"/>
          <w:marRight w:val="0"/>
          <w:marTop w:val="0"/>
          <w:marBottom w:val="0"/>
          <w:divBdr>
            <w:top w:val="none" w:sz="0" w:space="0" w:color="auto"/>
            <w:left w:val="none" w:sz="0" w:space="0" w:color="auto"/>
            <w:bottom w:val="none" w:sz="0" w:space="0" w:color="auto"/>
            <w:right w:val="none" w:sz="0" w:space="0" w:color="auto"/>
          </w:divBdr>
        </w:div>
        <w:div w:id="80879206">
          <w:marLeft w:val="0"/>
          <w:marRight w:val="0"/>
          <w:marTop w:val="0"/>
          <w:marBottom w:val="0"/>
          <w:divBdr>
            <w:top w:val="none" w:sz="0" w:space="0" w:color="auto"/>
            <w:left w:val="none" w:sz="0" w:space="0" w:color="auto"/>
            <w:bottom w:val="none" w:sz="0" w:space="0" w:color="auto"/>
            <w:right w:val="none" w:sz="0" w:space="0" w:color="auto"/>
          </w:divBdr>
        </w:div>
        <w:div w:id="80496791">
          <w:marLeft w:val="600"/>
          <w:marRight w:val="0"/>
          <w:marTop w:val="0"/>
          <w:marBottom w:val="0"/>
          <w:divBdr>
            <w:top w:val="none" w:sz="0" w:space="0" w:color="auto"/>
            <w:left w:val="none" w:sz="0" w:space="0" w:color="auto"/>
            <w:bottom w:val="none" w:sz="0" w:space="0" w:color="auto"/>
            <w:right w:val="none" w:sz="0" w:space="0" w:color="auto"/>
          </w:divBdr>
        </w:div>
        <w:div w:id="1508015563">
          <w:marLeft w:val="360"/>
          <w:marRight w:val="0"/>
          <w:marTop w:val="0"/>
          <w:marBottom w:val="0"/>
          <w:divBdr>
            <w:top w:val="none" w:sz="0" w:space="0" w:color="auto"/>
            <w:left w:val="none" w:sz="0" w:space="0" w:color="auto"/>
            <w:bottom w:val="none" w:sz="0" w:space="0" w:color="auto"/>
            <w:right w:val="none" w:sz="0" w:space="0" w:color="auto"/>
          </w:divBdr>
        </w:div>
        <w:div w:id="290214324">
          <w:marLeft w:val="360"/>
          <w:marRight w:val="0"/>
          <w:marTop w:val="0"/>
          <w:marBottom w:val="0"/>
          <w:divBdr>
            <w:top w:val="none" w:sz="0" w:space="0" w:color="auto"/>
            <w:left w:val="none" w:sz="0" w:space="0" w:color="auto"/>
            <w:bottom w:val="none" w:sz="0" w:space="0" w:color="auto"/>
            <w:right w:val="none" w:sz="0" w:space="0" w:color="auto"/>
          </w:divBdr>
        </w:div>
        <w:div w:id="34282578">
          <w:marLeft w:val="360"/>
          <w:marRight w:val="0"/>
          <w:marTop w:val="0"/>
          <w:marBottom w:val="0"/>
          <w:divBdr>
            <w:top w:val="none" w:sz="0" w:space="0" w:color="auto"/>
            <w:left w:val="none" w:sz="0" w:space="0" w:color="auto"/>
            <w:bottom w:val="none" w:sz="0" w:space="0" w:color="auto"/>
            <w:right w:val="none" w:sz="0" w:space="0" w:color="auto"/>
          </w:divBdr>
        </w:div>
        <w:div w:id="81492107">
          <w:marLeft w:val="840"/>
          <w:marRight w:val="0"/>
          <w:marTop w:val="0"/>
          <w:marBottom w:val="0"/>
          <w:divBdr>
            <w:top w:val="none" w:sz="0" w:space="0" w:color="auto"/>
            <w:left w:val="none" w:sz="0" w:space="0" w:color="auto"/>
            <w:bottom w:val="none" w:sz="0" w:space="0" w:color="auto"/>
            <w:right w:val="none" w:sz="0" w:space="0" w:color="auto"/>
          </w:divBdr>
        </w:div>
        <w:div w:id="193924389">
          <w:marLeft w:val="840"/>
          <w:marRight w:val="0"/>
          <w:marTop w:val="0"/>
          <w:marBottom w:val="0"/>
          <w:divBdr>
            <w:top w:val="none" w:sz="0" w:space="0" w:color="auto"/>
            <w:left w:val="none" w:sz="0" w:space="0" w:color="auto"/>
            <w:bottom w:val="none" w:sz="0" w:space="0" w:color="auto"/>
            <w:right w:val="none" w:sz="0" w:space="0" w:color="auto"/>
          </w:divBdr>
        </w:div>
        <w:div w:id="1463383169">
          <w:marLeft w:val="840"/>
          <w:marRight w:val="0"/>
          <w:marTop w:val="0"/>
          <w:marBottom w:val="0"/>
          <w:divBdr>
            <w:top w:val="none" w:sz="0" w:space="0" w:color="auto"/>
            <w:left w:val="none" w:sz="0" w:space="0" w:color="auto"/>
            <w:bottom w:val="none" w:sz="0" w:space="0" w:color="auto"/>
            <w:right w:val="none" w:sz="0" w:space="0" w:color="auto"/>
          </w:divBdr>
        </w:div>
        <w:div w:id="554050840">
          <w:marLeft w:val="840"/>
          <w:marRight w:val="0"/>
          <w:marTop w:val="0"/>
          <w:marBottom w:val="0"/>
          <w:divBdr>
            <w:top w:val="none" w:sz="0" w:space="0" w:color="auto"/>
            <w:left w:val="none" w:sz="0" w:space="0" w:color="auto"/>
            <w:bottom w:val="none" w:sz="0" w:space="0" w:color="auto"/>
            <w:right w:val="none" w:sz="0" w:space="0" w:color="auto"/>
          </w:divBdr>
        </w:div>
        <w:div w:id="165830780">
          <w:marLeft w:val="840"/>
          <w:marRight w:val="0"/>
          <w:marTop w:val="0"/>
          <w:marBottom w:val="0"/>
          <w:divBdr>
            <w:top w:val="none" w:sz="0" w:space="0" w:color="auto"/>
            <w:left w:val="none" w:sz="0" w:space="0" w:color="auto"/>
            <w:bottom w:val="none" w:sz="0" w:space="0" w:color="auto"/>
            <w:right w:val="none" w:sz="0" w:space="0" w:color="auto"/>
          </w:divBdr>
        </w:div>
        <w:div w:id="732771404">
          <w:marLeft w:val="840"/>
          <w:marRight w:val="0"/>
          <w:marTop w:val="0"/>
          <w:marBottom w:val="0"/>
          <w:divBdr>
            <w:top w:val="none" w:sz="0" w:space="0" w:color="auto"/>
            <w:left w:val="none" w:sz="0" w:space="0" w:color="auto"/>
            <w:bottom w:val="none" w:sz="0" w:space="0" w:color="auto"/>
            <w:right w:val="none" w:sz="0" w:space="0" w:color="auto"/>
          </w:divBdr>
        </w:div>
        <w:div w:id="1563906004">
          <w:marLeft w:val="840"/>
          <w:marRight w:val="0"/>
          <w:marTop w:val="0"/>
          <w:marBottom w:val="0"/>
          <w:divBdr>
            <w:top w:val="none" w:sz="0" w:space="0" w:color="auto"/>
            <w:left w:val="none" w:sz="0" w:space="0" w:color="auto"/>
            <w:bottom w:val="none" w:sz="0" w:space="0" w:color="auto"/>
            <w:right w:val="none" w:sz="0" w:space="0" w:color="auto"/>
          </w:divBdr>
        </w:div>
        <w:div w:id="136385327">
          <w:marLeft w:val="840"/>
          <w:marRight w:val="0"/>
          <w:marTop w:val="0"/>
          <w:marBottom w:val="0"/>
          <w:divBdr>
            <w:top w:val="none" w:sz="0" w:space="0" w:color="auto"/>
            <w:left w:val="none" w:sz="0" w:space="0" w:color="auto"/>
            <w:bottom w:val="none" w:sz="0" w:space="0" w:color="auto"/>
            <w:right w:val="none" w:sz="0" w:space="0" w:color="auto"/>
          </w:divBdr>
        </w:div>
        <w:div w:id="167790221">
          <w:marLeft w:val="840"/>
          <w:marRight w:val="0"/>
          <w:marTop w:val="0"/>
          <w:marBottom w:val="0"/>
          <w:divBdr>
            <w:top w:val="none" w:sz="0" w:space="0" w:color="auto"/>
            <w:left w:val="none" w:sz="0" w:space="0" w:color="auto"/>
            <w:bottom w:val="none" w:sz="0" w:space="0" w:color="auto"/>
            <w:right w:val="none" w:sz="0" w:space="0" w:color="auto"/>
          </w:divBdr>
        </w:div>
        <w:div w:id="456141731">
          <w:marLeft w:val="840"/>
          <w:marRight w:val="0"/>
          <w:marTop w:val="0"/>
          <w:marBottom w:val="0"/>
          <w:divBdr>
            <w:top w:val="none" w:sz="0" w:space="0" w:color="auto"/>
            <w:left w:val="none" w:sz="0" w:space="0" w:color="auto"/>
            <w:bottom w:val="none" w:sz="0" w:space="0" w:color="auto"/>
            <w:right w:val="none" w:sz="0" w:space="0" w:color="auto"/>
          </w:divBdr>
        </w:div>
        <w:div w:id="694307977">
          <w:marLeft w:val="840"/>
          <w:marRight w:val="0"/>
          <w:marTop w:val="0"/>
          <w:marBottom w:val="0"/>
          <w:divBdr>
            <w:top w:val="none" w:sz="0" w:space="0" w:color="auto"/>
            <w:left w:val="none" w:sz="0" w:space="0" w:color="auto"/>
            <w:bottom w:val="none" w:sz="0" w:space="0" w:color="auto"/>
            <w:right w:val="none" w:sz="0" w:space="0" w:color="auto"/>
          </w:divBdr>
        </w:div>
        <w:div w:id="1021051673">
          <w:marLeft w:val="360"/>
          <w:marRight w:val="0"/>
          <w:marTop w:val="0"/>
          <w:marBottom w:val="0"/>
          <w:divBdr>
            <w:top w:val="none" w:sz="0" w:space="0" w:color="auto"/>
            <w:left w:val="none" w:sz="0" w:space="0" w:color="auto"/>
            <w:bottom w:val="none" w:sz="0" w:space="0" w:color="auto"/>
            <w:right w:val="none" w:sz="0" w:space="0" w:color="auto"/>
          </w:divBdr>
        </w:div>
        <w:div w:id="1455439181">
          <w:marLeft w:val="840"/>
          <w:marRight w:val="0"/>
          <w:marTop w:val="0"/>
          <w:marBottom w:val="0"/>
          <w:divBdr>
            <w:top w:val="none" w:sz="0" w:space="0" w:color="auto"/>
            <w:left w:val="none" w:sz="0" w:space="0" w:color="auto"/>
            <w:bottom w:val="none" w:sz="0" w:space="0" w:color="auto"/>
            <w:right w:val="none" w:sz="0" w:space="0" w:color="auto"/>
          </w:divBdr>
        </w:div>
        <w:div w:id="1462116421">
          <w:marLeft w:val="840"/>
          <w:marRight w:val="0"/>
          <w:marTop w:val="0"/>
          <w:marBottom w:val="0"/>
          <w:divBdr>
            <w:top w:val="none" w:sz="0" w:space="0" w:color="auto"/>
            <w:left w:val="none" w:sz="0" w:space="0" w:color="auto"/>
            <w:bottom w:val="none" w:sz="0" w:space="0" w:color="auto"/>
            <w:right w:val="none" w:sz="0" w:space="0" w:color="auto"/>
          </w:divBdr>
        </w:div>
        <w:div w:id="400258028">
          <w:marLeft w:val="840"/>
          <w:marRight w:val="0"/>
          <w:marTop w:val="0"/>
          <w:marBottom w:val="0"/>
          <w:divBdr>
            <w:top w:val="none" w:sz="0" w:space="0" w:color="auto"/>
            <w:left w:val="none" w:sz="0" w:space="0" w:color="auto"/>
            <w:bottom w:val="none" w:sz="0" w:space="0" w:color="auto"/>
            <w:right w:val="none" w:sz="0" w:space="0" w:color="auto"/>
          </w:divBdr>
        </w:div>
        <w:div w:id="1734161546">
          <w:marLeft w:val="600"/>
          <w:marRight w:val="0"/>
          <w:marTop w:val="0"/>
          <w:marBottom w:val="0"/>
          <w:divBdr>
            <w:top w:val="none" w:sz="0" w:space="0" w:color="auto"/>
            <w:left w:val="none" w:sz="0" w:space="0" w:color="auto"/>
            <w:bottom w:val="none" w:sz="0" w:space="0" w:color="auto"/>
            <w:right w:val="none" w:sz="0" w:space="0" w:color="auto"/>
          </w:divBdr>
        </w:div>
        <w:div w:id="27032737">
          <w:marLeft w:val="360"/>
          <w:marRight w:val="0"/>
          <w:marTop w:val="0"/>
          <w:marBottom w:val="0"/>
          <w:divBdr>
            <w:top w:val="none" w:sz="0" w:space="0" w:color="auto"/>
            <w:left w:val="none" w:sz="0" w:space="0" w:color="auto"/>
            <w:bottom w:val="none" w:sz="0" w:space="0" w:color="auto"/>
            <w:right w:val="none" w:sz="0" w:space="0" w:color="auto"/>
          </w:divBdr>
        </w:div>
        <w:div w:id="1420636422">
          <w:marLeft w:val="360"/>
          <w:marRight w:val="0"/>
          <w:marTop w:val="0"/>
          <w:marBottom w:val="0"/>
          <w:divBdr>
            <w:top w:val="none" w:sz="0" w:space="0" w:color="auto"/>
            <w:left w:val="none" w:sz="0" w:space="0" w:color="auto"/>
            <w:bottom w:val="none" w:sz="0" w:space="0" w:color="auto"/>
            <w:right w:val="none" w:sz="0" w:space="0" w:color="auto"/>
          </w:divBdr>
        </w:div>
        <w:div w:id="1002514780">
          <w:marLeft w:val="360"/>
          <w:marRight w:val="0"/>
          <w:marTop w:val="0"/>
          <w:marBottom w:val="0"/>
          <w:divBdr>
            <w:top w:val="none" w:sz="0" w:space="0" w:color="auto"/>
            <w:left w:val="none" w:sz="0" w:space="0" w:color="auto"/>
            <w:bottom w:val="none" w:sz="0" w:space="0" w:color="auto"/>
            <w:right w:val="none" w:sz="0" w:space="0" w:color="auto"/>
          </w:divBdr>
        </w:div>
        <w:div w:id="1002509878">
          <w:marLeft w:val="360"/>
          <w:marRight w:val="0"/>
          <w:marTop w:val="0"/>
          <w:marBottom w:val="0"/>
          <w:divBdr>
            <w:top w:val="none" w:sz="0" w:space="0" w:color="auto"/>
            <w:left w:val="none" w:sz="0" w:space="0" w:color="auto"/>
            <w:bottom w:val="none" w:sz="0" w:space="0" w:color="auto"/>
            <w:right w:val="none" w:sz="0" w:space="0" w:color="auto"/>
          </w:divBdr>
        </w:div>
        <w:div w:id="811096617">
          <w:marLeft w:val="360"/>
          <w:marRight w:val="0"/>
          <w:marTop w:val="0"/>
          <w:marBottom w:val="0"/>
          <w:divBdr>
            <w:top w:val="none" w:sz="0" w:space="0" w:color="auto"/>
            <w:left w:val="none" w:sz="0" w:space="0" w:color="auto"/>
            <w:bottom w:val="none" w:sz="0" w:space="0" w:color="auto"/>
            <w:right w:val="none" w:sz="0" w:space="0" w:color="auto"/>
          </w:divBdr>
        </w:div>
        <w:div w:id="2133281614">
          <w:marLeft w:val="360"/>
          <w:marRight w:val="0"/>
          <w:marTop w:val="0"/>
          <w:marBottom w:val="0"/>
          <w:divBdr>
            <w:top w:val="none" w:sz="0" w:space="0" w:color="auto"/>
            <w:left w:val="none" w:sz="0" w:space="0" w:color="auto"/>
            <w:bottom w:val="none" w:sz="0" w:space="0" w:color="auto"/>
            <w:right w:val="none" w:sz="0" w:space="0" w:color="auto"/>
          </w:divBdr>
        </w:div>
        <w:div w:id="341128308">
          <w:marLeft w:val="360"/>
          <w:marRight w:val="0"/>
          <w:marTop w:val="0"/>
          <w:marBottom w:val="0"/>
          <w:divBdr>
            <w:top w:val="none" w:sz="0" w:space="0" w:color="auto"/>
            <w:left w:val="none" w:sz="0" w:space="0" w:color="auto"/>
            <w:bottom w:val="none" w:sz="0" w:space="0" w:color="auto"/>
            <w:right w:val="none" w:sz="0" w:space="0" w:color="auto"/>
          </w:divBdr>
        </w:div>
        <w:div w:id="47194278">
          <w:marLeft w:val="600"/>
          <w:marRight w:val="0"/>
          <w:marTop w:val="0"/>
          <w:marBottom w:val="0"/>
          <w:divBdr>
            <w:top w:val="none" w:sz="0" w:space="0" w:color="auto"/>
            <w:left w:val="none" w:sz="0" w:space="0" w:color="auto"/>
            <w:bottom w:val="none" w:sz="0" w:space="0" w:color="auto"/>
            <w:right w:val="none" w:sz="0" w:space="0" w:color="auto"/>
          </w:divBdr>
        </w:div>
        <w:div w:id="973413355">
          <w:marLeft w:val="600"/>
          <w:marRight w:val="0"/>
          <w:marTop w:val="0"/>
          <w:marBottom w:val="0"/>
          <w:divBdr>
            <w:top w:val="none" w:sz="0" w:space="0" w:color="auto"/>
            <w:left w:val="none" w:sz="0" w:space="0" w:color="auto"/>
            <w:bottom w:val="none" w:sz="0" w:space="0" w:color="auto"/>
            <w:right w:val="none" w:sz="0" w:space="0" w:color="auto"/>
          </w:divBdr>
        </w:div>
        <w:div w:id="546071179">
          <w:marLeft w:val="0"/>
          <w:marRight w:val="0"/>
          <w:marTop w:val="0"/>
          <w:marBottom w:val="0"/>
          <w:divBdr>
            <w:top w:val="none" w:sz="0" w:space="0" w:color="auto"/>
            <w:left w:val="none" w:sz="0" w:space="0" w:color="auto"/>
            <w:bottom w:val="none" w:sz="0" w:space="0" w:color="auto"/>
            <w:right w:val="none" w:sz="0" w:space="0" w:color="auto"/>
          </w:divBdr>
        </w:div>
        <w:div w:id="467625466">
          <w:marLeft w:val="360"/>
          <w:marRight w:val="0"/>
          <w:marTop w:val="0"/>
          <w:marBottom w:val="0"/>
          <w:divBdr>
            <w:top w:val="none" w:sz="0" w:space="0" w:color="auto"/>
            <w:left w:val="none" w:sz="0" w:space="0" w:color="auto"/>
            <w:bottom w:val="none" w:sz="0" w:space="0" w:color="auto"/>
            <w:right w:val="none" w:sz="0" w:space="0" w:color="auto"/>
          </w:divBdr>
        </w:div>
        <w:div w:id="1255630790">
          <w:marLeft w:val="360"/>
          <w:marRight w:val="0"/>
          <w:marTop w:val="0"/>
          <w:marBottom w:val="0"/>
          <w:divBdr>
            <w:top w:val="none" w:sz="0" w:space="0" w:color="auto"/>
            <w:left w:val="none" w:sz="0" w:space="0" w:color="auto"/>
            <w:bottom w:val="none" w:sz="0" w:space="0" w:color="auto"/>
            <w:right w:val="none" w:sz="0" w:space="0" w:color="auto"/>
          </w:divBdr>
        </w:div>
        <w:div w:id="182592528">
          <w:marLeft w:val="600"/>
          <w:marRight w:val="0"/>
          <w:marTop w:val="0"/>
          <w:marBottom w:val="0"/>
          <w:divBdr>
            <w:top w:val="none" w:sz="0" w:space="0" w:color="auto"/>
            <w:left w:val="none" w:sz="0" w:space="0" w:color="auto"/>
            <w:bottom w:val="none" w:sz="0" w:space="0" w:color="auto"/>
            <w:right w:val="none" w:sz="0" w:space="0" w:color="auto"/>
          </w:divBdr>
        </w:div>
        <w:div w:id="244923479">
          <w:marLeft w:val="0"/>
          <w:marRight w:val="0"/>
          <w:marTop w:val="0"/>
          <w:marBottom w:val="0"/>
          <w:divBdr>
            <w:top w:val="none" w:sz="0" w:space="0" w:color="auto"/>
            <w:left w:val="none" w:sz="0" w:space="0" w:color="auto"/>
            <w:bottom w:val="none" w:sz="0" w:space="0" w:color="auto"/>
            <w:right w:val="none" w:sz="0" w:space="0" w:color="auto"/>
          </w:divBdr>
        </w:div>
        <w:div w:id="1690596346">
          <w:marLeft w:val="600"/>
          <w:marRight w:val="0"/>
          <w:marTop w:val="0"/>
          <w:marBottom w:val="0"/>
          <w:divBdr>
            <w:top w:val="none" w:sz="0" w:space="0" w:color="auto"/>
            <w:left w:val="none" w:sz="0" w:space="0" w:color="auto"/>
            <w:bottom w:val="none" w:sz="0" w:space="0" w:color="auto"/>
            <w:right w:val="none" w:sz="0" w:space="0" w:color="auto"/>
          </w:divBdr>
        </w:div>
        <w:div w:id="2003894422">
          <w:marLeft w:val="0"/>
          <w:marRight w:val="0"/>
          <w:marTop w:val="0"/>
          <w:marBottom w:val="0"/>
          <w:divBdr>
            <w:top w:val="none" w:sz="0" w:space="0" w:color="auto"/>
            <w:left w:val="none" w:sz="0" w:space="0" w:color="auto"/>
            <w:bottom w:val="none" w:sz="0" w:space="0" w:color="auto"/>
            <w:right w:val="none" w:sz="0" w:space="0" w:color="auto"/>
          </w:divBdr>
        </w:div>
        <w:div w:id="1976180284">
          <w:marLeft w:val="0"/>
          <w:marRight w:val="0"/>
          <w:marTop w:val="0"/>
          <w:marBottom w:val="0"/>
          <w:divBdr>
            <w:top w:val="none" w:sz="0" w:space="0" w:color="auto"/>
            <w:left w:val="none" w:sz="0" w:space="0" w:color="auto"/>
            <w:bottom w:val="none" w:sz="0" w:space="0" w:color="auto"/>
            <w:right w:val="none" w:sz="0" w:space="0" w:color="auto"/>
          </w:divBdr>
        </w:div>
        <w:div w:id="2123766757">
          <w:marLeft w:val="0"/>
          <w:marRight w:val="0"/>
          <w:marTop w:val="0"/>
          <w:marBottom w:val="0"/>
          <w:divBdr>
            <w:top w:val="none" w:sz="0" w:space="0" w:color="auto"/>
            <w:left w:val="none" w:sz="0" w:space="0" w:color="auto"/>
            <w:bottom w:val="none" w:sz="0" w:space="0" w:color="auto"/>
            <w:right w:val="none" w:sz="0" w:space="0" w:color="auto"/>
          </w:divBdr>
        </w:div>
        <w:div w:id="581640339">
          <w:marLeft w:val="360"/>
          <w:marRight w:val="0"/>
          <w:marTop w:val="0"/>
          <w:marBottom w:val="0"/>
          <w:divBdr>
            <w:top w:val="none" w:sz="0" w:space="0" w:color="auto"/>
            <w:left w:val="none" w:sz="0" w:space="0" w:color="auto"/>
            <w:bottom w:val="none" w:sz="0" w:space="0" w:color="auto"/>
            <w:right w:val="none" w:sz="0" w:space="0" w:color="auto"/>
          </w:divBdr>
        </w:div>
        <w:div w:id="1009599902">
          <w:marLeft w:val="0"/>
          <w:marRight w:val="0"/>
          <w:marTop w:val="0"/>
          <w:marBottom w:val="0"/>
          <w:divBdr>
            <w:top w:val="none" w:sz="0" w:space="0" w:color="auto"/>
            <w:left w:val="none" w:sz="0" w:space="0" w:color="auto"/>
            <w:bottom w:val="none" w:sz="0" w:space="0" w:color="auto"/>
            <w:right w:val="none" w:sz="0" w:space="0" w:color="auto"/>
          </w:divBdr>
        </w:div>
        <w:div w:id="1830093854">
          <w:marLeft w:val="0"/>
          <w:marRight w:val="0"/>
          <w:marTop w:val="0"/>
          <w:marBottom w:val="0"/>
          <w:divBdr>
            <w:top w:val="none" w:sz="0" w:space="0" w:color="auto"/>
            <w:left w:val="none" w:sz="0" w:space="0" w:color="auto"/>
            <w:bottom w:val="none" w:sz="0" w:space="0" w:color="auto"/>
            <w:right w:val="none" w:sz="0" w:space="0" w:color="auto"/>
          </w:divBdr>
          <w:divsChild>
            <w:div w:id="1557161349">
              <w:marLeft w:val="0"/>
              <w:marRight w:val="0"/>
              <w:marTop w:val="0"/>
              <w:marBottom w:val="0"/>
              <w:divBdr>
                <w:top w:val="none" w:sz="0" w:space="0" w:color="auto"/>
                <w:left w:val="none" w:sz="0" w:space="0" w:color="auto"/>
                <w:bottom w:val="none" w:sz="0" w:space="0" w:color="auto"/>
                <w:right w:val="none" w:sz="0" w:space="0" w:color="auto"/>
              </w:divBdr>
            </w:div>
            <w:div w:id="1134056005">
              <w:marLeft w:val="0"/>
              <w:marRight w:val="0"/>
              <w:marTop w:val="0"/>
              <w:marBottom w:val="0"/>
              <w:divBdr>
                <w:top w:val="none" w:sz="0" w:space="0" w:color="auto"/>
                <w:left w:val="none" w:sz="0" w:space="0" w:color="auto"/>
                <w:bottom w:val="none" w:sz="0" w:space="0" w:color="auto"/>
                <w:right w:val="none" w:sz="0" w:space="0" w:color="auto"/>
              </w:divBdr>
            </w:div>
            <w:div w:id="1289893447">
              <w:marLeft w:val="0"/>
              <w:marRight w:val="0"/>
              <w:marTop w:val="0"/>
              <w:marBottom w:val="0"/>
              <w:divBdr>
                <w:top w:val="none" w:sz="0" w:space="0" w:color="auto"/>
                <w:left w:val="none" w:sz="0" w:space="0" w:color="auto"/>
                <w:bottom w:val="none" w:sz="0" w:space="0" w:color="auto"/>
                <w:right w:val="none" w:sz="0" w:space="0" w:color="auto"/>
              </w:divBdr>
            </w:div>
            <w:div w:id="1332830117">
              <w:marLeft w:val="0"/>
              <w:marRight w:val="0"/>
              <w:marTop w:val="0"/>
              <w:marBottom w:val="0"/>
              <w:divBdr>
                <w:top w:val="none" w:sz="0" w:space="0" w:color="auto"/>
                <w:left w:val="none" w:sz="0" w:space="0" w:color="auto"/>
                <w:bottom w:val="none" w:sz="0" w:space="0" w:color="auto"/>
                <w:right w:val="none" w:sz="0" w:space="0" w:color="auto"/>
              </w:divBdr>
            </w:div>
            <w:div w:id="1604070284">
              <w:marLeft w:val="0"/>
              <w:marRight w:val="0"/>
              <w:marTop w:val="0"/>
              <w:marBottom w:val="0"/>
              <w:divBdr>
                <w:top w:val="none" w:sz="0" w:space="0" w:color="auto"/>
                <w:left w:val="none" w:sz="0" w:space="0" w:color="auto"/>
                <w:bottom w:val="none" w:sz="0" w:space="0" w:color="auto"/>
                <w:right w:val="none" w:sz="0" w:space="0" w:color="auto"/>
              </w:divBdr>
            </w:div>
            <w:div w:id="826745614">
              <w:marLeft w:val="0"/>
              <w:marRight w:val="0"/>
              <w:marTop w:val="0"/>
              <w:marBottom w:val="0"/>
              <w:divBdr>
                <w:top w:val="none" w:sz="0" w:space="0" w:color="auto"/>
                <w:left w:val="none" w:sz="0" w:space="0" w:color="auto"/>
                <w:bottom w:val="none" w:sz="0" w:space="0" w:color="auto"/>
                <w:right w:val="none" w:sz="0" w:space="0" w:color="auto"/>
              </w:divBdr>
            </w:div>
            <w:div w:id="1471940756">
              <w:marLeft w:val="0"/>
              <w:marRight w:val="0"/>
              <w:marTop w:val="0"/>
              <w:marBottom w:val="0"/>
              <w:divBdr>
                <w:top w:val="none" w:sz="0" w:space="0" w:color="auto"/>
                <w:left w:val="none" w:sz="0" w:space="0" w:color="auto"/>
                <w:bottom w:val="none" w:sz="0" w:space="0" w:color="auto"/>
                <w:right w:val="none" w:sz="0" w:space="0" w:color="auto"/>
              </w:divBdr>
            </w:div>
            <w:div w:id="440340149">
              <w:marLeft w:val="0"/>
              <w:marRight w:val="0"/>
              <w:marTop w:val="0"/>
              <w:marBottom w:val="0"/>
              <w:divBdr>
                <w:top w:val="none" w:sz="0" w:space="0" w:color="auto"/>
                <w:left w:val="none" w:sz="0" w:space="0" w:color="auto"/>
                <w:bottom w:val="none" w:sz="0" w:space="0" w:color="auto"/>
                <w:right w:val="none" w:sz="0" w:space="0" w:color="auto"/>
              </w:divBdr>
            </w:div>
            <w:div w:id="1297295491">
              <w:marLeft w:val="0"/>
              <w:marRight w:val="0"/>
              <w:marTop w:val="0"/>
              <w:marBottom w:val="0"/>
              <w:divBdr>
                <w:top w:val="none" w:sz="0" w:space="0" w:color="auto"/>
                <w:left w:val="none" w:sz="0" w:space="0" w:color="auto"/>
                <w:bottom w:val="none" w:sz="0" w:space="0" w:color="auto"/>
                <w:right w:val="none" w:sz="0" w:space="0" w:color="auto"/>
              </w:divBdr>
            </w:div>
            <w:div w:id="1049307827">
              <w:marLeft w:val="0"/>
              <w:marRight w:val="0"/>
              <w:marTop w:val="0"/>
              <w:marBottom w:val="0"/>
              <w:divBdr>
                <w:top w:val="none" w:sz="0" w:space="0" w:color="auto"/>
                <w:left w:val="none" w:sz="0" w:space="0" w:color="auto"/>
                <w:bottom w:val="none" w:sz="0" w:space="0" w:color="auto"/>
                <w:right w:val="none" w:sz="0" w:space="0" w:color="auto"/>
              </w:divBdr>
            </w:div>
            <w:div w:id="967588483">
              <w:marLeft w:val="0"/>
              <w:marRight w:val="0"/>
              <w:marTop w:val="0"/>
              <w:marBottom w:val="0"/>
              <w:divBdr>
                <w:top w:val="none" w:sz="0" w:space="0" w:color="auto"/>
                <w:left w:val="none" w:sz="0" w:space="0" w:color="auto"/>
                <w:bottom w:val="none" w:sz="0" w:space="0" w:color="auto"/>
                <w:right w:val="none" w:sz="0" w:space="0" w:color="auto"/>
              </w:divBdr>
            </w:div>
            <w:div w:id="1608736200">
              <w:marLeft w:val="0"/>
              <w:marRight w:val="0"/>
              <w:marTop w:val="0"/>
              <w:marBottom w:val="0"/>
              <w:divBdr>
                <w:top w:val="none" w:sz="0" w:space="0" w:color="auto"/>
                <w:left w:val="none" w:sz="0" w:space="0" w:color="auto"/>
                <w:bottom w:val="none" w:sz="0" w:space="0" w:color="auto"/>
                <w:right w:val="none" w:sz="0" w:space="0" w:color="auto"/>
              </w:divBdr>
            </w:div>
            <w:div w:id="1508473311">
              <w:marLeft w:val="0"/>
              <w:marRight w:val="0"/>
              <w:marTop w:val="0"/>
              <w:marBottom w:val="0"/>
              <w:divBdr>
                <w:top w:val="none" w:sz="0" w:space="0" w:color="auto"/>
                <w:left w:val="none" w:sz="0" w:space="0" w:color="auto"/>
                <w:bottom w:val="none" w:sz="0" w:space="0" w:color="auto"/>
                <w:right w:val="none" w:sz="0" w:space="0" w:color="auto"/>
              </w:divBdr>
            </w:div>
            <w:div w:id="2079353022">
              <w:marLeft w:val="0"/>
              <w:marRight w:val="0"/>
              <w:marTop w:val="0"/>
              <w:marBottom w:val="0"/>
              <w:divBdr>
                <w:top w:val="none" w:sz="0" w:space="0" w:color="auto"/>
                <w:left w:val="none" w:sz="0" w:space="0" w:color="auto"/>
                <w:bottom w:val="none" w:sz="0" w:space="0" w:color="auto"/>
                <w:right w:val="none" w:sz="0" w:space="0" w:color="auto"/>
              </w:divBdr>
            </w:div>
            <w:div w:id="1520849225">
              <w:marLeft w:val="0"/>
              <w:marRight w:val="0"/>
              <w:marTop w:val="0"/>
              <w:marBottom w:val="0"/>
              <w:divBdr>
                <w:top w:val="none" w:sz="0" w:space="0" w:color="auto"/>
                <w:left w:val="none" w:sz="0" w:space="0" w:color="auto"/>
                <w:bottom w:val="none" w:sz="0" w:space="0" w:color="auto"/>
                <w:right w:val="none" w:sz="0" w:space="0" w:color="auto"/>
              </w:divBdr>
            </w:div>
            <w:div w:id="1851992525">
              <w:marLeft w:val="0"/>
              <w:marRight w:val="0"/>
              <w:marTop w:val="0"/>
              <w:marBottom w:val="0"/>
              <w:divBdr>
                <w:top w:val="none" w:sz="0" w:space="0" w:color="auto"/>
                <w:left w:val="none" w:sz="0" w:space="0" w:color="auto"/>
                <w:bottom w:val="none" w:sz="0" w:space="0" w:color="auto"/>
                <w:right w:val="none" w:sz="0" w:space="0" w:color="auto"/>
              </w:divBdr>
            </w:div>
            <w:div w:id="805392212">
              <w:marLeft w:val="0"/>
              <w:marRight w:val="0"/>
              <w:marTop w:val="0"/>
              <w:marBottom w:val="0"/>
              <w:divBdr>
                <w:top w:val="none" w:sz="0" w:space="0" w:color="auto"/>
                <w:left w:val="none" w:sz="0" w:space="0" w:color="auto"/>
                <w:bottom w:val="none" w:sz="0" w:space="0" w:color="auto"/>
                <w:right w:val="none" w:sz="0" w:space="0" w:color="auto"/>
              </w:divBdr>
            </w:div>
            <w:div w:id="1470169745">
              <w:marLeft w:val="0"/>
              <w:marRight w:val="0"/>
              <w:marTop w:val="0"/>
              <w:marBottom w:val="0"/>
              <w:divBdr>
                <w:top w:val="none" w:sz="0" w:space="0" w:color="auto"/>
                <w:left w:val="none" w:sz="0" w:space="0" w:color="auto"/>
                <w:bottom w:val="none" w:sz="0" w:space="0" w:color="auto"/>
                <w:right w:val="none" w:sz="0" w:space="0" w:color="auto"/>
              </w:divBdr>
            </w:div>
            <w:div w:id="185678226">
              <w:marLeft w:val="0"/>
              <w:marRight w:val="0"/>
              <w:marTop w:val="0"/>
              <w:marBottom w:val="0"/>
              <w:divBdr>
                <w:top w:val="none" w:sz="0" w:space="0" w:color="auto"/>
                <w:left w:val="none" w:sz="0" w:space="0" w:color="auto"/>
                <w:bottom w:val="none" w:sz="0" w:space="0" w:color="auto"/>
                <w:right w:val="none" w:sz="0" w:space="0" w:color="auto"/>
              </w:divBdr>
            </w:div>
            <w:div w:id="1052001309">
              <w:marLeft w:val="0"/>
              <w:marRight w:val="0"/>
              <w:marTop w:val="0"/>
              <w:marBottom w:val="0"/>
              <w:divBdr>
                <w:top w:val="none" w:sz="0" w:space="0" w:color="auto"/>
                <w:left w:val="none" w:sz="0" w:space="0" w:color="auto"/>
                <w:bottom w:val="none" w:sz="0" w:space="0" w:color="auto"/>
                <w:right w:val="none" w:sz="0" w:space="0" w:color="auto"/>
              </w:divBdr>
            </w:div>
          </w:divsChild>
        </w:div>
        <w:div w:id="86391907">
          <w:marLeft w:val="0"/>
          <w:marRight w:val="0"/>
          <w:marTop w:val="0"/>
          <w:marBottom w:val="0"/>
          <w:divBdr>
            <w:top w:val="none" w:sz="0" w:space="0" w:color="auto"/>
            <w:left w:val="none" w:sz="0" w:space="0" w:color="auto"/>
            <w:bottom w:val="none" w:sz="0" w:space="0" w:color="auto"/>
            <w:right w:val="none" w:sz="0" w:space="0" w:color="auto"/>
          </w:divBdr>
        </w:div>
        <w:div w:id="1285379911">
          <w:marLeft w:val="600"/>
          <w:marRight w:val="0"/>
          <w:marTop w:val="0"/>
          <w:marBottom w:val="0"/>
          <w:divBdr>
            <w:top w:val="none" w:sz="0" w:space="0" w:color="auto"/>
            <w:left w:val="none" w:sz="0" w:space="0" w:color="auto"/>
            <w:bottom w:val="none" w:sz="0" w:space="0" w:color="auto"/>
            <w:right w:val="none" w:sz="0" w:space="0" w:color="auto"/>
          </w:divBdr>
        </w:div>
        <w:div w:id="797995060">
          <w:marLeft w:val="0"/>
          <w:marRight w:val="0"/>
          <w:marTop w:val="0"/>
          <w:marBottom w:val="0"/>
          <w:divBdr>
            <w:top w:val="none" w:sz="0" w:space="0" w:color="auto"/>
            <w:left w:val="none" w:sz="0" w:space="0" w:color="auto"/>
            <w:bottom w:val="none" w:sz="0" w:space="0" w:color="auto"/>
            <w:right w:val="none" w:sz="0" w:space="0" w:color="auto"/>
          </w:divBdr>
        </w:div>
        <w:div w:id="222721619">
          <w:marLeft w:val="600"/>
          <w:marRight w:val="0"/>
          <w:marTop w:val="0"/>
          <w:marBottom w:val="0"/>
          <w:divBdr>
            <w:top w:val="none" w:sz="0" w:space="0" w:color="auto"/>
            <w:left w:val="none" w:sz="0" w:space="0" w:color="auto"/>
            <w:bottom w:val="none" w:sz="0" w:space="0" w:color="auto"/>
            <w:right w:val="none" w:sz="0" w:space="0" w:color="auto"/>
          </w:divBdr>
        </w:div>
        <w:div w:id="800653319">
          <w:marLeft w:val="0"/>
          <w:marRight w:val="0"/>
          <w:marTop w:val="0"/>
          <w:marBottom w:val="0"/>
          <w:divBdr>
            <w:top w:val="none" w:sz="0" w:space="0" w:color="auto"/>
            <w:left w:val="none" w:sz="0" w:space="0" w:color="auto"/>
            <w:bottom w:val="none" w:sz="0" w:space="0" w:color="auto"/>
            <w:right w:val="none" w:sz="0" w:space="0" w:color="auto"/>
          </w:divBdr>
        </w:div>
        <w:div w:id="151483343">
          <w:marLeft w:val="600"/>
          <w:marRight w:val="0"/>
          <w:marTop w:val="0"/>
          <w:marBottom w:val="0"/>
          <w:divBdr>
            <w:top w:val="none" w:sz="0" w:space="0" w:color="auto"/>
            <w:left w:val="none" w:sz="0" w:space="0" w:color="auto"/>
            <w:bottom w:val="none" w:sz="0" w:space="0" w:color="auto"/>
            <w:right w:val="none" w:sz="0" w:space="0" w:color="auto"/>
          </w:divBdr>
        </w:div>
        <w:div w:id="2128815265">
          <w:marLeft w:val="0"/>
          <w:marRight w:val="0"/>
          <w:marTop w:val="0"/>
          <w:marBottom w:val="0"/>
          <w:divBdr>
            <w:top w:val="none" w:sz="0" w:space="0" w:color="auto"/>
            <w:left w:val="none" w:sz="0" w:space="0" w:color="auto"/>
            <w:bottom w:val="none" w:sz="0" w:space="0" w:color="auto"/>
            <w:right w:val="none" w:sz="0" w:space="0" w:color="auto"/>
          </w:divBdr>
        </w:div>
        <w:div w:id="1369185544">
          <w:marLeft w:val="0"/>
          <w:marRight w:val="0"/>
          <w:marTop w:val="0"/>
          <w:marBottom w:val="0"/>
          <w:divBdr>
            <w:top w:val="none" w:sz="0" w:space="0" w:color="auto"/>
            <w:left w:val="none" w:sz="0" w:space="0" w:color="auto"/>
            <w:bottom w:val="none" w:sz="0" w:space="0" w:color="auto"/>
            <w:right w:val="none" w:sz="0" w:space="0" w:color="auto"/>
          </w:divBdr>
        </w:div>
        <w:div w:id="1286351243">
          <w:marLeft w:val="0"/>
          <w:marRight w:val="0"/>
          <w:marTop w:val="0"/>
          <w:marBottom w:val="0"/>
          <w:divBdr>
            <w:top w:val="none" w:sz="0" w:space="0" w:color="auto"/>
            <w:left w:val="none" w:sz="0" w:space="0" w:color="auto"/>
            <w:bottom w:val="none" w:sz="0" w:space="0" w:color="auto"/>
            <w:right w:val="none" w:sz="0" w:space="0" w:color="auto"/>
          </w:divBdr>
        </w:div>
        <w:div w:id="1533373947">
          <w:marLeft w:val="0"/>
          <w:marRight w:val="0"/>
          <w:marTop w:val="0"/>
          <w:marBottom w:val="0"/>
          <w:divBdr>
            <w:top w:val="none" w:sz="0" w:space="0" w:color="auto"/>
            <w:left w:val="none" w:sz="0" w:space="0" w:color="auto"/>
            <w:bottom w:val="none" w:sz="0" w:space="0" w:color="auto"/>
            <w:right w:val="none" w:sz="0" w:space="0" w:color="auto"/>
          </w:divBdr>
        </w:div>
        <w:div w:id="62333536">
          <w:marLeft w:val="0"/>
          <w:marRight w:val="0"/>
          <w:marTop w:val="0"/>
          <w:marBottom w:val="0"/>
          <w:divBdr>
            <w:top w:val="none" w:sz="0" w:space="0" w:color="auto"/>
            <w:left w:val="none" w:sz="0" w:space="0" w:color="auto"/>
            <w:bottom w:val="none" w:sz="0" w:space="0" w:color="auto"/>
            <w:right w:val="none" w:sz="0" w:space="0" w:color="auto"/>
          </w:divBdr>
          <w:divsChild>
            <w:div w:id="2091123354">
              <w:marLeft w:val="0"/>
              <w:marRight w:val="0"/>
              <w:marTop w:val="0"/>
              <w:marBottom w:val="0"/>
              <w:divBdr>
                <w:top w:val="none" w:sz="0" w:space="0" w:color="auto"/>
                <w:left w:val="none" w:sz="0" w:space="0" w:color="auto"/>
                <w:bottom w:val="none" w:sz="0" w:space="0" w:color="auto"/>
                <w:right w:val="none" w:sz="0" w:space="0" w:color="auto"/>
              </w:divBdr>
            </w:div>
            <w:div w:id="1152871602">
              <w:marLeft w:val="0"/>
              <w:marRight w:val="0"/>
              <w:marTop w:val="0"/>
              <w:marBottom w:val="0"/>
              <w:divBdr>
                <w:top w:val="none" w:sz="0" w:space="0" w:color="auto"/>
                <w:left w:val="none" w:sz="0" w:space="0" w:color="auto"/>
                <w:bottom w:val="none" w:sz="0" w:space="0" w:color="auto"/>
                <w:right w:val="none" w:sz="0" w:space="0" w:color="auto"/>
              </w:divBdr>
            </w:div>
            <w:div w:id="348987009">
              <w:marLeft w:val="0"/>
              <w:marRight w:val="0"/>
              <w:marTop w:val="0"/>
              <w:marBottom w:val="0"/>
              <w:divBdr>
                <w:top w:val="none" w:sz="0" w:space="0" w:color="auto"/>
                <w:left w:val="none" w:sz="0" w:space="0" w:color="auto"/>
                <w:bottom w:val="none" w:sz="0" w:space="0" w:color="auto"/>
                <w:right w:val="none" w:sz="0" w:space="0" w:color="auto"/>
              </w:divBdr>
            </w:div>
            <w:div w:id="1550921297">
              <w:marLeft w:val="0"/>
              <w:marRight w:val="0"/>
              <w:marTop w:val="0"/>
              <w:marBottom w:val="0"/>
              <w:divBdr>
                <w:top w:val="none" w:sz="0" w:space="0" w:color="auto"/>
                <w:left w:val="none" w:sz="0" w:space="0" w:color="auto"/>
                <w:bottom w:val="none" w:sz="0" w:space="0" w:color="auto"/>
                <w:right w:val="none" w:sz="0" w:space="0" w:color="auto"/>
              </w:divBdr>
            </w:div>
            <w:div w:id="1999527659">
              <w:marLeft w:val="0"/>
              <w:marRight w:val="0"/>
              <w:marTop w:val="0"/>
              <w:marBottom w:val="0"/>
              <w:divBdr>
                <w:top w:val="none" w:sz="0" w:space="0" w:color="auto"/>
                <w:left w:val="none" w:sz="0" w:space="0" w:color="auto"/>
                <w:bottom w:val="none" w:sz="0" w:space="0" w:color="auto"/>
                <w:right w:val="none" w:sz="0" w:space="0" w:color="auto"/>
              </w:divBdr>
            </w:div>
          </w:divsChild>
        </w:div>
        <w:div w:id="1574702958">
          <w:marLeft w:val="0"/>
          <w:marRight w:val="0"/>
          <w:marTop w:val="0"/>
          <w:marBottom w:val="0"/>
          <w:divBdr>
            <w:top w:val="none" w:sz="0" w:space="0" w:color="auto"/>
            <w:left w:val="none" w:sz="0" w:space="0" w:color="auto"/>
            <w:bottom w:val="none" w:sz="0" w:space="0" w:color="auto"/>
            <w:right w:val="none" w:sz="0" w:space="0" w:color="auto"/>
          </w:divBdr>
        </w:div>
        <w:div w:id="174997510">
          <w:marLeft w:val="0"/>
          <w:marRight w:val="0"/>
          <w:marTop w:val="0"/>
          <w:marBottom w:val="0"/>
          <w:divBdr>
            <w:top w:val="none" w:sz="0" w:space="0" w:color="auto"/>
            <w:left w:val="none" w:sz="0" w:space="0" w:color="auto"/>
            <w:bottom w:val="none" w:sz="0" w:space="0" w:color="auto"/>
            <w:right w:val="none" w:sz="0" w:space="0" w:color="auto"/>
          </w:divBdr>
        </w:div>
        <w:div w:id="1008093296">
          <w:marLeft w:val="0"/>
          <w:marRight w:val="0"/>
          <w:marTop w:val="0"/>
          <w:marBottom w:val="0"/>
          <w:divBdr>
            <w:top w:val="none" w:sz="0" w:space="0" w:color="auto"/>
            <w:left w:val="none" w:sz="0" w:space="0" w:color="auto"/>
            <w:bottom w:val="none" w:sz="0" w:space="0" w:color="auto"/>
            <w:right w:val="none" w:sz="0" w:space="0" w:color="auto"/>
          </w:divBdr>
        </w:div>
        <w:div w:id="2089039495">
          <w:marLeft w:val="0"/>
          <w:marRight w:val="0"/>
          <w:marTop w:val="0"/>
          <w:marBottom w:val="0"/>
          <w:divBdr>
            <w:top w:val="none" w:sz="0" w:space="0" w:color="auto"/>
            <w:left w:val="none" w:sz="0" w:space="0" w:color="auto"/>
            <w:bottom w:val="none" w:sz="0" w:space="0" w:color="auto"/>
            <w:right w:val="none" w:sz="0" w:space="0" w:color="auto"/>
          </w:divBdr>
          <w:divsChild>
            <w:div w:id="1178153065">
              <w:marLeft w:val="0"/>
              <w:marRight w:val="0"/>
              <w:marTop w:val="0"/>
              <w:marBottom w:val="0"/>
              <w:divBdr>
                <w:top w:val="none" w:sz="0" w:space="0" w:color="auto"/>
                <w:left w:val="none" w:sz="0" w:space="0" w:color="auto"/>
                <w:bottom w:val="none" w:sz="0" w:space="0" w:color="auto"/>
                <w:right w:val="none" w:sz="0" w:space="0" w:color="auto"/>
              </w:divBdr>
            </w:div>
            <w:div w:id="1185048176">
              <w:marLeft w:val="0"/>
              <w:marRight w:val="0"/>
              <w:marTop w:val="0"/>
              <w:marBottom w:val="0"/>
              <w:divBdr>
                <w:top w:val="none" w:sz="0" w:space="0" w:color="auto"/>
                <w:left w:val="none" w:sz="0" w:space="0" w:color="auto"/>
                <w:bottom w:val="none" w:sz="0" w:space="0" w:color="auto"/>
                <w:right w:val="none" w:sz="0" w:space="0" w:color="auto"/>
              </w:divBdr>
            </w:div>
            <w:div w:id="13192943">
              <w:marLeft w:val="0"/>
              <w:marRight w:val="0"/>
              <w:marTop w:val="0"/>
              <w:marBottom w:val="0"/>
              <w:divBdr>
                <w:top w:val="none" w:sz="0" w:space="0" w:color="auto"/>
                <w:left w:val="none" w:sz="0" w:space="0" w:color="auto"/>
                <w:bottom w:val="none" w:sz="0" w:space="0" w:color="auto"/>
                <w:right w:val="none" w:sz="0" w:space="0" w:color="auto"/>
              </w:divBdr>
            </w:div>
          </w:divsChild>
        </w:div>
        <w:div w:id="728529501">
          <w:marLeft w:val="0"/>
          <w:marRight w:val="0"/>
          <w:marTop w:val="0"/>
          <w:marBottom w:val="0"/>
          <w:divBdr>
            <w:top w:val="none" w:sz="0" w:space="0" w:color="auto"/>
            <w:left w:val="none" w:sz="0" w:space="0" w:color="auto"/>
            <w:bottom w:val="none" w:sz="0" w:space="0" w:color="auto"/>
            <w:right w:val="none" w:sz="0" w:space="0" w:color="auto"/>
          </w:divBdr>
        </w:div>
        <w:div w:id="1859200562">
          <w:marLeft w:val="0"/>
          <w:marRight w:val="0"/>
          <w:marTop w:val="0"/>
          <w:marBottom w:val="0"/>
          <w:divBdr>
            <w:top w:val="none" w:sz="0" w:space="0" w:color="auto"/>
            <w:left w:val="none" w:sz="0" w:space="0" w:color="auto"/>
            <w:bottom w:val="none" w:sz="0" w:space="0" w:color="auto"/>
            <w:right w:val="none" w:sz="0" w:space="0" w:color="auto"/>
          </w:divBdr>
        </w:div>
        <w:div w:id="1382707860">
          <w:marLeft w:val="0"/>
          <w:marRight w:val="0"/>
          <w:marTop w:val="0"/>
          <w:marBottom w:val="0"/>
          <w:divBdr>
            <w:top w:val="none" w:sz="0" w:space="0" w:color="auto"/>
            <w:left w:val="none" w:sz="0" w:space="0" w:color="auto"/>
            <w:bottom w:val="none" w:sz="0" w:space="0" w:color="auto"/>
            <w:right w:val="none" w:sz="0" w:space="0" w:color="auto"/>
          </w:divBdr>
        </w:div>
        <w:div w:id="1009529474">
          <w:marLeft w:val="0"/>
          <w:marRight w:val="0"/>
          <w:marTop w:val="0"/>
          <w:marBottom w:val="0"/>
          <w:divBdr>
            <w:top w:val="none" w:sz="0" w:space="0" w:color="auto"/>
            <w:left w:val="none" w:sz="0" w:space="0" w:color="auto"/>
            <w:bottom w:val="none" w:sz="0" w:space="0" w:color="auto"/>
            <w:right w:val="none" w:sz="0" w:space="0" w:color="auto"/>
          </w:divBdr>
          <w:divsChild>
            <w:div w:id="1711103260">
              <w:marLeft w:val="0"/>
              <w:marRight w:val="0"/>
              <w:marTop w:val="0"/>
              <w:marBottom w:val="0"/>
              <w:divBdr>
                <w:top w:val="none" w:sz="0" w:space="0" w:color="auto"/>
                <w:left w:val="none" w:sz="0" w:space="0" w:color="auto"/>
                <w:bottom w:val="none" w:sz="0" w:space="0" w:color="auto"/>
                <w:right w:val="none" w:sz="0" w:space="0" w:color="auto"/>
              </w:divBdr>
            </w:div>
            <w:div w:id="638386483">
              <w:marLeft w:val="0"/>
              <w:marRight w:val="0"/>
              <w:marTop w:val="0"/>
              <w:marBottom w:val="0"/>
              <w:divBdr>
                <w:top w:val="none" w:sz="0" w:space="0" w:color="auto"/>
                <w:left w:val="none" w:sz="0" w:space="0" w:color="auto"/>
                <w:bottom w:val="none" w:sz="0" w:space="0" w:color="auto"/>
                <w:right w:val="none" w:sz="0" w:space="0" w:color="auto"/>
              </w:divBdr>
            </w:div>
            <w:div w:id="364258586">
              <w:marLeft w:val="0"/>
              <w:marRight w:val="0"/>
              <w:marTop w:val="0"/>
              <w:marBottom w:val="0"/>
              <w:divBdr>
                <w:top w:val="none" w:sz="0" w:space="0" w:color="auto"/>
                <w:left w:val="none" w:sz="0" w:space="0" w:color="auto"/>
                <w:bottom w:val="none" w:sz="0" w:space="0" w:color="auto"/>
                <w:right w:val="none" w:sz="0" w:space="0" w:color="auto"/>
              </w:divBdr>
            </w:div>
            <w:div w:id="1721319361">
              <w:marLeft w:val="0"/>
              <w:marRight w:val="0"/>
              <w:marTop w:val="0"/>
              <w:marBottom w:val="0"/>
              <w:divBdr>
                <w:top w:val="none" w:sz="0" w:space="0" w:color="auto"/>
                <w:left w:val="none" w:sz="0" w:space="0" w:color="auto"/>
                <w:bottom w:val="none" w:sz="0" w:space="0" w:color="auto"/>
                <w:right w:val="none" w:sz="0" w:space="0" w:color="auto"/>
              </w:divBdr>
            </w:div>
          </w:divsChild>
        </w:div>
        <w:div w:id="950433158">
          <w:marLeft w:val="0"/>
          <w:marRight w:val="0"/>
          <w:marTop w:val="0"/>
          <w:marBottom w:val="0"/>
          <w:divBdr>
            <w:top w:val="none" w:sz="0" w:space="0" w:color="auto"/>
            <w:left w:val="none" w:sz="0" w:space="0" w:color="auto"/>
            <w:bottom w:val="none" w:sz="0" w:space="0" w:color="auto"/>
            <w:right w:val="none" w:sz="0" w:space="0" w:color="auto"/>
          </w:divBdr>
        </w:div>
        <w:div w:id="1414203633">
          <w:marLeft w:val="0"/>
          <w:marRight w:val="0"/>
          <w:marTop w:val="0"/>
          <w:marBottom w:val="0"/>
          <w:divBdr>
            <w:top w:val="none" w:sz="0" w:space="0" w:color="auto"/>
            <w:left w:val="none" w:sz="0" w:space="0" w:color="auto"/>
            <w:bottom w:val="none" w:sz="0" w:space="0" w:color="auto"/>
            <w:right w:val="none" w:sz="0" w:space="0" w:color="auto"/>
          </w:divBdr>
          <w:divsChild>
            <w:div w:id="509103367">
              <w:marLeft w:val="0"/>
              <w:marRight w:val="0"/>
              <w:marTop w:val="0"/>
              <w:marBottom w:val="0"/>
              <w:divBdr>
                <w:top w:val="none" w:sz="0" w:space="0" w:color="auto"/>
                <w:left w:val="none" w:sz="0" w:space="0" w:color="auto"/>
                <w:bottom w:val="none" w:sz="0" w:space="0" w:color="auto"/>
                <w:right w:val="none" w:sz="0" w:space="0" w:color="auto"/>
              </w:divBdr>
            </w:div>
            <w:div w:id="617295722">
              <w:marLeft w:val="0"/>
              <w:marRight w:val="0"/>
              <w:marTop w:val="0"/>
              <w:marBottom w:val="0"/>
              <w:divBdr>
                <w:top w:val="none" w:sz="0" w:space="0" w:color="auto"/>
                <w:left w:val="none" w:sz="0" w:space="0" w:color="auto"/>
                <w:bottom w:val="none" w:sz="0" w:space="0" w:color="auto"/>
                <w:right w:val="none" w:sz="0" w:space="0" w:color="auto"/>
              </w:divBdr>
            </w:div>
            <w:div w:id="512914061">
              <w:marLeft w:val="0"/>
              <w:marRight w:val="0"/>
              <w:marTop w:val="0"/>
              <w:marBottom w:val="0"/>
              <w:divBdr>
                <w:top w:val="none" w:sz="0" w:space="0" w:color="auto"/>
                <w:left w:val="none" w:sz="0" w:space="0" w:color="auto"/>
                <w:bottom w:val="none" w:sz="0" w:space="0" w:color="auto"/>
                <w:right w:val="none" w:sz="0" w:space="0" w:color="auto"/>
              </w:divBdr>
            </w:div>
            <w:div w:id="1029530369">
              <w:marLeft w:val="0"/>
              <w:marRight w:val="0"/>
              <w:marTop w:val="0"/>
              <w:marBottom w:val="0"/>
              <w:divBdr>
                <w:top w:val="none" w:sz="0" w:space="0" w:color="auto"/>
                <w:left w:val="none" w:sz="0" w:space="0" w:color="auto"/>
                <w:bottom w:val="none" w:sz="0" w:space="0" w:color="auto"/>
                <w:right w:val="none" w:sz="0" w:space="0" w:color="auto"/>
              </w:divBdr>
            </w:div>
            <w:div w:id="1434208061">
              <w:marLeft w:val="0"/>
              <w:marRight w:val="0"/>
              <w:marTop w:val="0"/>
              <w:marBottom w:val="0"/>
              <w:divBdr>
                <w:top w:val="none" w:sz="0" w:space="0" w:color="auto"/>
                <w:left w:val="none" w:sz="0" w:space="0" w:color="auto"/>
                <w:bottom w:val="none" w:sz="0" w:space="0" w:color="auto"/>
                <w:right w:val="none" w:sz="0" w:space="0" w:color="auto"/>
              </w:divBdr>
            </w:div>
            <w:div w:id="457573932">
              <w:marLeft w:val="0"/>
              <w:marRight w:val="0"/>
              <w:marTop w:val="0"/>
              <w:marBottom w:val="0"/>
              <w:divBdr>
                <w:top w:val="none" w:sz="0" w:space="0" w:color="auto"/>
                <w:left w:val="none" w:sz="0" w:space="0" w:color="auto"/>
                <w:bottom w:val="none" w:sz="0" w:space="0" w:color="auto"/>
                <w:right w:val="none" w:sz="0" w:space="0" w:color="auto"/>
              </w:divBdr>
            </w:div>
            <w:div w:id="1601839451">
              <w:marLeft w:val="0"/>
              <w:marRight w:val="0"/>
              <w:marTop w:val="0"/>
              <w:marBottom w:val="0"/>
              <w:divBdr>
                <w:top w:val="none" w:sz="0" w:space="0" w:color="auto"/>
                <w:left w:val="none" w:sz="0" w:space="0" w:color="auto"/>
                <w:bottom w:val="none" w:sz="0" w:space="0" w:color="auto"/>
                <w:right w:val="none" w:sz="0" w:space="0" w:color="auto"/>
              </w:divBdr>
            </w:div>
            <w:div w:id="1156535617">
              <w:marLeft w:val="0"/>
              <w:marRight w:val="0"/>
              <w:marTop w:val="0"/>
              <w:marBottom w:val="0"/>
              <w:divBdr>
                <w:top w:val="none" w:sz="0" w:space="0" w:color="auto"/>
                <w:left w:val="none" w:sz="0" w:space="0" w:color="auto"/>
                <w:bottom w:val="none" w:sz="0" w:space="0" w:color="auto"/>
                <w:right w:val="none" w:sz="0" w:space="0" w:color="auto"/>
              </w:divBdr>
            </w:div>
          </w:divsChild>
        </w:div>
        <w:div w:id="2037734976">
          <w:marLeft w:val="0"/>
          <w:marRight w:val="0"/>
          <w:marTop w:val="0"/>
          <w:marBottom w:val="0"/>
          <w:divBdr>
            <w:top w:val="none" w:sz="0" w:space="0" w:color="auto"/>
            <w:left w:val="none" w:sz="0" w:space="0" w:color="auto"/>
            <w:bottom w:val="none" w:sz="0" w:space="0" w:color="auto"/>
            <w:right w:val="none" w:sz="0" w:space="0" w:color="auto"/>
          </w:divBdr>
          <w:divsChild>
            <w:div w:id="204408987">
              <w:marLeft w:val="0"/>
              <w:marRight w:val="0"/>
              <w:marTop w:val="0"/>
              <w:marBottom w:val="0"/>
              <w:divBdr>
                <w:top w:val="none" w:sz="0" w:space="0" w:color="auto"/>
                <w:left w:val="none" w:sz="0" w:space="0" w:color="auto"/>
                <w:bottom w:val="none" w:sz="0" w:space="0" w:color="auto"/>
                <w:right w:val="none" w:sz="0" w:space="0" w:color="auto"/>
              </w:divBdr>
            </w:div>
            <w:div w:id="509219856">
              <w:marLeft w:val="0"/>
              <w:marRight w:val="0"/>
              <w:marTop w:val="0"/>
              <w:marBottom w:val="0"/>
              <w:divBdr>
                <w:top w:val="none" w:sz="0" w:space="0" w:color="auto"/>
                <w:left w:val="none" w:sz="0" w:space="0" w:color="auto"/>
                <w:bottom w:val="none" w:sz="0" w:space="0" w:color="auto"/>
                <w:right w:val="none" w:sz="0" w:space="0" w:color="auto"/>
              </w:divBdr>
            </w:div>
            <w:div w:id="630600446">
              <w:marLeft w:val="0"/>
              <w:marRight w:val="0"/>
              <w:marTop w:val="0"/>
              <w:marBottom w:val="0"/>
              <w:divBdr>
                <w:top w:val="none" w:sz="0" w:space="0" w:color="auto"/>
                <w:left w:val="none" w:sz="0" w:space="0" w:color="auto"/>
                <w:bottom w:val="none" w:sz="0" w:space="0" w:color="auto"/>
                <w:right w:val="none" w:sz="0" w:space="0" w:color="auto"/>
              </w:divBdr>
            </w:div>
          </w:divsChild>
        </w:div>
        <w:div w:id="1498958467">
          <w:marLeft w:val="0"/>
          <w:marRight w:val="0"/>
          <w:marTop w:val="0"/>
          <w:marBottom w:val="0"/>
          <w:divBdr>
            <w:top w:val="none" w:sz="0" w:space="0" w:color="auto"/>
            <w:left w:val="none" w:sz="0" w:space="0" w:color="auto"/>
            <w:bottom w:val="none" w:sz="0" w:space="0" w:color="auto"/>
            <w:right w:val="none" w:sz="0" w:space="0" w:color="auto"/>
          </w:divBdr>
        </w:div>
        <w:div w:id="1997997813">
          <w:marLeft w:val="0"/>
          <w:marRight w:val="0"/>
          <w:marTop w:val="0"/>
          <w:marBottom w:val="0"/>
          <w:divBdr>
            <w:top w:val="none" w:sz="0" w:space="0" w:color="auto"/>
            <w:left w:val="none" w:sz="0" w:space="0" w:color="auto"/>
            <w:bottom w:val="none" w:sz="0" w:space="0" w:color="auto"/>
            <w:right w:val="none" w:sz="0" w:space="0" w:color="auto"/>
          </w:divBdr>
          <w:divsChild>
            <w:div w:id="1707754915">
              <w:marLeft w:val="0"/>
              <w:marRight w:val="0"/>
              <w:marTop w:val="0"/>
              <w:marBottom w:val="0"/>
              <w:divBdr>
                <w:top w:val="none" w:sz="0" w:space="0" w:color="auto"/>
                <w:left w:val="none" w:sz="0" w:space="0" w:color="auto"/>
                <w:bottom w:val="none" w:sz="0" w:space="0" w:color="auto"/>
                <w:right w:val="none" w:sz="0" w:space="0" w:color="auto"/>
              </w:divBdr>
            </w:div>
            <w:div w:id="166288641">
              <w:marLeft w:val="0"/>
              <w:marRight w:val="0"/>
              <w:marTop w:val="0"/>
              <w:marBottom w:val="0"/>
              <w:divBdr>
                <w:top w:val="none" w:sz="0" w:space="0" w:color="auto"/>
                <w:left w:val="none" w:sz="0" w:space="0" w:color="auto"/>
                <w:bottom w:val="none" w:sz="0" w:space="0" w:color="auto"/>
                <w:right w:val="none" w:sz="0" w:space="0" w:color="auto"/>
              </w:divBdr>
            </w:div>
            <w:div w:id="288438894">
              <w:marLeft w:val="0"/>
              <w:marRight w:val="0"/>
              <w:marTop w:val="0"/>
              <w:marBottom w:val="0"/>
              <w:divBdr>
                <w:top w:val="none" w:sz="0" w:space="0" w:color="auto"/>
                <w:left w:val="none" w:sz="0" w:space="0" w:color="auto"/>
                <w:bottom w:val="none" w:sz="0" w:space="0" w:color="auto"/>
                <w:right w:val="none" w:sz="0" w:space="0" w:color="auto"/>
              </w:divBdr>
            </w:div>
          </w:divsChild>
        </w:div>
        <w:div w:id="1734889463">
          <w:marLeft w:val="0"/>
          <w:marRight w:val="0"/>
          <w:marTop w:val="0"/>
          <w:marBottom w:val="0"/>
          <w:divBdr>
            <w:top w:val="none" w:sz="0" w:space="0" w:color="auto"/>
            <w:left w:val="none" w:sz="0" w:space="0" w:color="auto"/>
            <w:bottom w:val="none" w:sz="0" w:space="0" w:color="auto"/>
            <w:right w:val="none" w:sz="0" w:space="0" w:color="auto"/>
          </w:divBdr>
        </w:div>
        <w:div w:id="1817145303">
          <w:marLeft w:val="0"/>
          <w:marRight w:val="0"/>
          <w:marTop w:val="0"/>
          <w:marBottom w:val="0"/>
          <w:divBdr>
            <w:top w:val="none" w:sz="0" w:space="0" w:color="auto"/>
            <w:left w:val="none" w:sz="0" w:space="0" w:color="auto"/>
            <w:bottom w:val="none" w:sz="0" w:space="0" w:color="auto"/>
            <w:right w:val="none" w:sz="0" w:space="0" w:color="auto"/>
          </w:divBdr>
          <w:divsChild>
            <w:div w:id="1614247955">
              <w:marLeft w:val="0"/>
              <w:marRight w:val="0"/>
              <w:marTop w:val="0"/>
              <w:marBottom w:val="0"/>
              <w:divBdr>
                <w:top w:val="none" w:sz="0" w:space="0" w:color="auto"/>
                <w:left w:val="none" w:sz="0" w:space="0" w:color="auto"/>
                <w:bottom w:val="none" w:sz="0" w:space="0" w:color="auto"/>
                <w:right w:val="none" w:sz="0" w:space="0" w:color="auto"/>
              </w:divBdr>
            </w:div>
            <w:div w:id="471139975">
              <w:marLeft w:val="0"/>
              <w:marRight w:val="0"/>
              <w:marTop w:val="0"/>
              <w:marBottom w:val="0"/>
              <w:divBdr>
                <w:top w:val="none" w:sz="0" w:space="0" w:color="auto"/>
                <w:left w:val="none" w:sz="0" w:space="0" w:color="auto"/>
                <w:bottom w:val="none" w:sz="0" w:space="0" w:color="auto"/>
                <w:right w:val="none" w:sz="0" w:space="0" w:color="auto"/>
              </w:divBdr>
            </w:div>
            <w:div w:id="1936554220">
              <w:marLeft w:val="0"/>
              <w:marRight w:val="0"/>
              <w:marTop w:val="0"/>
              <w:marBottom w:val="0"/>
              <w:divBdr>
                <w:top w:val="none" w:sz="0" w:space="0" w:color="auto"/>
                <w:left w:val="none" w:sz="0" w:space="0" w:color="auto"/>
                <w:bottom w:val="none" w:sz="0" w:space="0" w:color="auto"/>
                <w:right w:val="none" w:sz="0" w:space="0" w:color="auto"/>
              </w:divBdr>
            </w:div>
          </w:divsChild>
        </w:div>
        <w:div w:id="736824775">
          <w:marLeft w:val="0"/>
          <w:marRight w:val="0"/>
          <w:marTop w:val="0"/>
          <w:marBottom w:val="0"/>
          <w:divBdr>
            <w:top w:val="none" w:sz="0" w:space="0" w:color="auto"/>
            <w:left w:val="none" w:sz="0" w:space="0" w:color="auto"/>
            <w:bottom w:val="none" w:sz="0" w:space="0" w:color="auto"/>
            <w:right w:val="none" w:sz="0" w:space="0" w:color="auto"/>
          </w:divBdr>
        </w:div>
        <w:div w:id="317853382">
          <w:marLeft w:val="360"/>
          <w:marRight w:val="0"/>
          <w:marTop w:val="0"/>
          <w:marBottom w:val="0"/>
          <w:divBdr>
            <w:top w:val="none" w:sz="0" w:space="0" w:color="auto"/>
            <w:left w:val="none" w:sz="0" w:space="0" w:color="auto"/>
            <w:bottom w:val="none" w:sz="0" w:space="0" w:color="auto"/>
            <w:right w:val="none" w:sz="0" w:space="0" w:color="auto"/>
          </w:divBdr>
        </w:div>
        <w:div w:id="1128474373">
          <w:marLeft w:val="0"/>
          <w:marRight w:val="0"/>
          <w:marTop w:val="0"/>
          <w:marBottom w:val="0"/>
          <w:divBdr>
            <w:top w:val="none" w:sz="0" w:space="0" w:color="auto"/>
            <w:left w:val="none" w:sz="0" w:space="0" w:color="auto"/>
            <w:bottom w:val="none" w:sz="0" w:space="0" w:color="auto"/>
            <w:right w:val="none" w:sz="0" w:space="0" w:color="auto"/>
          </w:divBdr>
        </w:div>
        <w:div w:id="1938948697">
          <w:marLeft w:val="360"/>
          <w:marRight w:val="0"/>
          <w:marTop w:val="0"/>
          <w:marBottom w:val="0"/>
          <w:divBdr>
            <w:top w:val="none" w:sz="0" w:space="0" w:color="auto"/>
            <w:left w:val="none" w:sz="0" w:space="0" w:color="auto"/>
            <w:bottom w:val="none" w:sz="0" w:space="0" w:color="auto"/>
            <w:right w:val="none" w:sz="0" w:space="0" w:color="auto"/>
          </w:divBdr>
        </w:div>
        <w:div w:id="698163447">
          <w:marLeft w:val="360"/>
          <w:marRight w:val="0"/>
          <w:marTop w:val="0"/>
          <w:marBottom w:val="0"/>
          <w:divBdr>
            <w:top w:val="none" w:sz="0" w:space="0" w:color="auto"/>
            <w:left w:val="none" w:sz="0" w:space="0" w:color="auto"/>
            <w:bottom w:val="none" w:sz="0" w:space="0" w:color="auto"/>
            <w:right w:val="none" w:sz="0" w:space="0" w:color="auto"/>
          </w:divBdr>
        </w:div>
        <w:div w:id="779448399">
          <w:marLeft w:val="0"/>
          <w:marRight w:val="0"/>
          <w:marTop w:val="0"/>
          <w:marBottom w:val="0"/>
          <w:divBdr>
            <w:top w:val="none" w:sz="0" w:space="0" w:color="auto"/>
            <w:left w:val="none" w:sz="0" w:space="0" w:color="auto"/>
            <w:bottom w:val="none" w:sz="0" w:space="0" w:color="auto"/>
            <w:right w:val="none" w:sz="0" w:space="0" w:color="auto"/>
          </w:divBdr>
        </w:div>
        <w:div w:id="661784801">
          <w:marLeft w:val="0"/>
          <w:marRight w:val="0"/>
          <w:marTop w:val="0"/>
          <w:marBottom w:val="0"/>
          <w:divBdr>
            <w:top w:val="none" w:sz="0" w:space="0" w:color="auto"/>
            <w:left w:val="none" w:sz="0" w:space="0" w:color="auto"/>
            <w:bottom w:val="none" w:sz="0" w:space="0" w:color="auto"/>
            <w:right w:val="none" w:sz="0" w:space="0" w:color="auto"/>
          </w:divBdr>
        </w:div>
        <w:div w:id="628167707">
          <w:marLeft w:val="0"/>
          <w:marRight w:val="0"/>
          <w:marTop w:val="0"/>
          <w:marBottom w:val="0"/>
          <w:divBdr>
            <w:top w:val="none" w:sz="0" w:space="0" w:color="auto"/>
            <w:left w:val="none" w:sz="0" w:space="0" w:color="auto"/>
            <w:bottom w:val="none" w:sz="0" w:space="0" w:color="auto"/>
            <w:right w:val="none" w:sz="0" w:space="0" w:color="auto"/>
          </w:divBdr>
        </w:div>
        <w:div w:id="1263341963">
          <w:marLeft w:val="0"/>
          <w:marRight w:val="0"/>
          <w:marTop w:val="0"/>
          <w:marBottom w:val="0"/>
          <w:divBdr>
            <w:top w:val="none" w:sz="0" w:space="0" w:color="auto"/>
            <w:left w:val="none" w:sz="0" w:space="0" w:color="auto"/>
            <w:bottom w:val="none" w:sz="0" w:space="0" w:color="auto"/>
            <w:right w:val="none" w:sz="0" w:space="0" w:color="auto"/>
          </w:divBdr>
        </w:div>
        <w:div w:id="321935936">
          <w:marLeft w:val="0"/>
          <w:marRight w:val="0"/>
          <w:marTop w:val="0"/>
          <w:marBottom w:val="0"/>
          <w:divBdr>
            <w:top w:val="none" w:sz="0" w:space="0" w:color="auto"/>
            <w:left w:val="none" w:sz="0" w:space="0" w:color="auto"/>
            <w:bottom w:val="none" w:sz="0" w:space="0" w:color="auto"/>
            <w:right w:val="none" w:sz="0" w:space="0" w:color="auto"/>
          </w:divBdr>
        </w:div>
        <w:div w:id="1669018739">
          <w:marLeft w:val="0"/>
          <w:marRight w:val="0"/>
          <w:marTop w:val="0"/>
          <w:marBottom w:val="0"/>
          <w:divBdr>
            <w:top w:val="none" w:sz="0" w:space="0" w:color="auto"/>
            <w:left w:val="none" w:sz="0" w:space="0" w:color="auto"/>
            <w:bottom w:val="none" w:sz="0" w:space="0" w:color="auto"/>
            <w:right w:val="none" w:sz="0" w:space="0" w:color="auto"/>
          </w:divBdr>
        </w:div>
        <w:div w:id="1498763473">
          <w:marLeft w:val="0"/>
          <w:marRight w:val="0"/>
          <w:marTop w:val="0"/>
          <w:marBottom w:val="0"/>
          <w:divBdr>
            <w:top w:val="none" w:sz="0" w:space="0" w:color="auto"/>
            <w:left w:val="none" w:sz="0" w:space="0" w:color="auto"/>
            <w:bottom w:val="none" w:sz="0" w:space="0" w:color="auto"/>
            <w:right w:val="none" w:sz="0" w:space="0" w:color="auto"/>
          </w:divBdr>
          <w:divsChild>
            <w:div w:id="1064261666">
              <w:marLeft w:val="0"/>
              <w:marRight w:val="0"/>
              <w:marTop w:val="0"/>
              <w:marBottom w:val="0"/>
              <w:divBdr>
                <w:top w:val="none" w:sz="0" w:space="0" w:color="auto"/>
                <w:left w:val="none" w:sz="0" w:space="0" w:color="auto"/>
                <w:bottom w:val="none" w:sz="0" w:space="0" w:color="auto"/>
                <w:right w:val="none" w:sz="0" w:space="0" w:color="auto"/>
              </w:divBdr>
            </w:div>
          </w:divsChild>
        </w:div>
        <w:div w:id="213203639">
          <w:marLeft w:val="0"/>
          <w:marRight w:val="0"/>
          <w:marTop w:val="0"/>
          <w:marBottom w:val="0"/>
          <w:divBdr>
            <w:top w:val="none" w:sz="0" w:space="0" w:color="auto"/>
            <w:left w:val="none" w:sz="0" w:space="0" w:color="auto"/>
            <w:bottom w:val="none" w:sz="0" w:space="0" w:color="auto"/>
            <w:right w:val="none" w:sz="0" w:space="0" w:color="auto"/>
          </w:divBdr>
        </w:div>
        <w:div w:id="1732652298">
          <w:marLeft w:val="0"/>
          <w:marRight w:val="0"/>
          <w:marTop w:val="0"/>
          <w:marBottom w:val="0"/>
          <w:divBdr>
            <w:top w:val="none" w:sz="0" w:space="0" w:color="auto"/>
            <w:left w:val="none" w:sz="0" w:space="0" w:color="auto"/>
            <w:bottom w:val="none" w:sz="0" w:space="0" w:color="auto"/>
            <w:right w:val="none" w:sz="0" w:space="0" w:color="auto"/>
          </w:divBdr>
        </w:div>
        <w:div w:id="1759863700">
          <w:marLeft w:val="0"/>
          <w:marRight w:val="0"/>
          <w:marTop w:val="0"/>
          <w:marBottom w:val="0"/>
          <w:divBdr>
            <w:top w:val="none" w:sz="0" w:space="0" w:color="auto"/>
            <w:left w:val="none" w:sz="0" w:space="0" w:color="auto"/>
            <w:bottom w:val="none" w:sz="0" w:space="0" w:color="auto"/>
            <w:right w:val="none" w:sz="0" w:space="0" w:color="auto"/>
          </w:divBdr>
        </w:div>
        <w:div w:id="1268348541">
          <w:marLeft w:val="0"/>
          <w:marRight w:val="0"/>
          <w:marTop w:val="0"/>
          <w:marBottom w:val="0"/>
          <w:divBdr>
            <w:top w:val="none" w:sz="0" w:space="0" w:color="auto"/>
            <w:left w:val="none" w:sz="0" w:space="0" w:color="auto"/>
            <w:bottom w:val="none" w:sz="0" w:space="0" w:color="auto"/>
            <w:right w:val="none" w:sz="0" w:space="0" w:color="auto"/>
          </w:divBdr>
        </w:div>
        <w:div w:id="1058942865">
          <w:marLeft w:val="0"/>
          <w:marRight w:val="0"/>
          <w:marTop w:val="0"/>
          <w:marBottom w:val="0"/>
          <w:divBdr>
            <w:top w:val="none" w:sz="0" w:space="0" w:color="auto"/>
            <w:left w:val="none" w:sz="0" w:space="0" w:color="auto"/>
            <w:bottom w:val="none" w:sz="0" w:space="0" w:color="auto"/>
            <w:right w:val="none" w:sz="0" w:space="0" w:color="auto"/>
          </w:divBdr>
        </w:div>
        <w:div w:id="1722169766">
          <w:marLeft w:val="0"/>
          <w:marRight w:val="0"/>
          <w:marTop w:val="0"/>
          <w:marBottom w:val="0"/>
          <w:divBdr>
            <w:top w:val="none" w:sz="0" w:space="0" w:color="auto"/>
            <w:left w:val="none" w:sz="0" w:space="0" w:color="auto"/>
            <w:bottom w:val="none" w:sz="0" w:space="0" w:color="auto"/>
            <w:right w:val="none" w:sz="0" w:space="0" w:color="auto"/>
          </w:divBdr>
        </w:div>
        <w:div w:id="1000818033">
          <w:marLeft w:val="0"/>
          <w:marRight w:val="0"/>
          <w:marTop w:val="0"/>
          <w:marBottom w:val="0"/>
          <w:divBdr>
            <w:top w:val="none" w:sz="0" w:space="0" w:color="auto"/>
            <w:left w:val="none" w:sz="0" w:space="0" w:color="auto"/>
            <w:bottom w:val="none" w:sz="0" w:space="0" w:color="auto"/>
            <w:right w:val="none" w:sz="0" w:space="0" w:color="auto"/>
          </w:divBdr>
        </w:div>
        <w:div w:id="478763502">
          <w:marLeft w:val="0"/>
          <w:marRight w:val="0"/>
          <w:marTop w:val="0"/>
          <w:marBottom w:val="0"/>
          <w:divBdr>
            <w:top w:val="none" w:sz="0" w:space="0" w:color="auto"/>
            <w:left w:val="none" w:sz="0" w:space="0" w:color="auto"/>
            <w:bottom w:val="none" w:sz="0" w:space="0" w:color="auto"/>
            <w:right w:val="none" w:sz="0" w:space="0" w:color="auto"/>
          </w:divBdr>
        </w:div>
        <w:div w:id="1410344211">
          <w:marLeft w:val="0"/>
          <w:marRight w:val="0"/>
          <w:marTop w:val="0"/>
          <w:marBottom w:val="0"/>
          <w:divBdr>
            <w:top w:val="none" w:sz="0" w:space="0" w:color="auto"/>
            <w:left w:val="none" w:sz="0" w:space="0" w:color="auto"/>
            <w:bottom w:val="none" w:sz="0" w:space="0" w:color="auto"/>
            <w:right w:val="none" w:sz="0" w:space="0" w:color="auto"/>
          </w:divBdr>
          <w:divsChild>
            <w:div w:id="945959909">
              <w:marLeft w:val="0"/>
              <w:marRight w:val="0"/>
              <w:marTop w:val="0"/>
              <w:marBottom w:val="0"/>
              <w:divBdr>
                <w:top w:val="none" w:sz="0" w:space="0" w:color="auto"/>
                <w:left w:val="none" w:sz="0" w:space="0" w:color="auto"/>
                <w:bottom w:val="none" w:sz="0" w:space="0" w:color="auto"/>
                <w:right w:val="none" w:sz="0" w:space="0" w:color="auto"/>
              </w:divBdr>
            </w:div>
            <w:div w:id="1985086290">
              <w:marLeft w:val="0"/>
              <w:marRight w:val="0"/>
              <w:marTop w:val="0"/>
              <w:marBottom w:val="0"/>
              <w:divBdr>
                <w:top w:val="none" w:sz="0" w:space="0" w:color="auto"/>
                <w:left w:val="none" w:sz="0" w:space="0" w:color="auto"/>
                <w:bottom w:val="none" w:sz="0" w:space="0" w:color="auto"/>
                <w:right w:val="none" w:sz="0" w:space="0" w:color="auto"/>
              </w:divBdr>
            </w:div>
            <w:div w:id="2079278395">
              <w:marLeft w:val="0"/>
              <w:marRight w:val="0"/>
              <w:marTop w:val="0"/>
              <w:marBottom w:val="0"/>
              <w:divBdr>
                <w:top w:val="none" w:sz="0" w:space="0" w:color="auto"/>
                <w:left w:val="none" w:sz="0" w:space="0" w:color="auto"/>
                <w:bottom w:val="none" w:sz="0" w:space="0" w:color="auto"/>
                <w:right w:val="none" w:sz="0" w:space="0" w:color="auto"/>
              </w:divBdr>
            </w:div>
            <w:div w:id="240799537">
              <w:marLeft w:val="0"/>
              <w:marRight w:val="0"/>
              <w:marTop w:val="0"/>
              <w:marBottom w:val="0"/>
              <w:divBdr>
                <w:top w:val="none" w:sz="0" w:space="0" w:color="auto"/>
                <w:left w:val="none" w:sz="0" w:space="0" w:color="auto"/>
                <w:bottom w:val="none" w:sz="0" w:space="0" w:color="auto"/>
                <w:right w:val="none" w:sz="0" w:space="0" w:color="auto"/>
              </w:divBdr>
            </w:div>
            <w:div w:id="402803573">
              <w:marLeft w:val="0"/>
              <w:marRight w:val="0"/>
              <w:marTop w:val="0"/>
              <w:marBottom w:val="0"/>
              <w:divBdr>
                <w:top w:val="none" w:sz="0" w:space="0" w:color="auto"/>
                <w:left w:val="none" w:sz="0" w:space="0" w:color="auto"/>
                <w:bottom w:val="none" w:sz="0" w:space="0" w:color="auto"/>
                <w:right w:val="none" w:sz="0" w:space="0" w:color="auto"/>
              </w:divBdr>
            </w:div>
            <w:div w:id="2023506034">
              <w:marLeft w:val="0"/>
              <w:marRight w:val="0"/>
              <w:marTop w:val="0"/>
              <w:marBottom w:val="0"/>
              <w:divBdr>
                <w:top w:val="none" w:sz="0" w:space="0" w:color="auto"/>
                <w:left w:val="none" w:sz="0" w:space="0" w:color="auto"/>
                <w:bottom w:val="none" w:sz="0" w:space="0" w:color="auto"/>
                <w:right w:val="none" w:sz="0" w:space="0" w:color="auto"/>
              </w:divBdr>
            </w:div>
            <w:div w:id="2132089282">
              <w:marLeft w:val="0"/>
              <w:marRight w:val="0"/>
              <w:marTop w:val="0"/>
              <w:marBottom w:val="0"/>
              <w:divBdr>
                <w:top w:val="none" w:sz="0" w:space="0" w:color="auto"/>
                <w:left w:val="none" w:sz="0" w:space="0" w:color="auto"/>
                <w:bottom w:val="none" w:sz="0" w:space="0" w:color="auto"/>
                <w:right w:val="none" w:sz="0" w:space="0" w:color="auto"/>
              </w:divBdr>
            </w:div>
            <w:div w:id="1119568708">
              <w:marLeft w:val="0"/>
              <w:marRight w:val="0"/>
              <w:marTop w:val="0"/>
              <w:marBottom w:val="0"/>
              <w:divBdr>
                <w:top w:val="none" w:sz="0" w:space="0" w:color="auto"/>
                <w:left w:val="none" w:sz="0" w:space="0" w:color="auto"/>
                <w:bottom w:val="none" w:sz="0" w:space="0" w:color="auto"/>
                <w:right w:val="none" w:sz="0" w:space="0" w:color="auto"/>
              </w:divBdr>
            </w:div>
          </w:divsChild>
        </w:div>
        <w:div w:id="1480999031">
          <w:marLeft w:val="0"/>
          <w:marRight w:val="0"/>
          <w:marTop w:val="0"/>
          <w:marBottom w:val="0"/>
          <w:divBdr>
            <w:top w:val="none" w:sz="0" w:space="0" w:color="auto"/>
            <w:left w:val="none" w:sz="0" w:space="0" w:color="auto"/>
            <w:bottom w:val="none" w:sz="0" w:space="0" w:color="auto"/>
            <w:right w:val="none" w:sz="0" w:space="0" w:color="auto"/>
          </w:divBdr>
        </w:div>
        <w:div w:id="671496326">
          <w:marLeft w:val="360"/>
          <w:marRight w:val="0"/>
          <w:marTop w:val="0"/>
          <w:marBottom w:val="0"/>
          <w:divBdr>
            <w:top w:val="none" w:sz="0" w:space="0" w:color="auto"/>
            <w:left w:val="none" w:sz="0" w:space="0" w:color="auto"/>
            <w:bottom w:val="none" w:sz="0" w:space="0" w:color="auto"/>
            <w:right w:val="none" w:sz="0" w:space="0" w:color="auto"/>
          </w:divBdr>
        </w:div>
        <w:div w:id="2109307188">
          <w:marLeft w:val="0"/>
          <w:marRight w:val="0"/>
          <w:marTop w:val="0"/>
          <w:marBottom w:val="0"/>
          <w:divBdr>
            <w:top w:val="none" w:sz="0" w:space="0" w:color="auto"/>
            <w:left w:val="none" w:sz="0" w:space="0" w:color="auto"/>
            <w:bottom w:val="none" w:sz="0" w:space="0" w:color="auto"/>
            <w:right w:val="none" w:sz="0" w:space="0" w:color="auto"/>
          </w:divBdr>
        </w:div>
        <w:div w:id="1632439132">
          <w:marLeft w:val="0"/>
          <w:marRight w:val="0"/>
          <w:marTop w:val="0"/>
          <w:marBottom w:val="0"/>
          <w:divBdr>
            <w:top w:val="none" w:sz="0" w:space="0" w:color="auto"/>
            <w:left w:val="none" w:sz="0" w:space="0" w:color="auto"/>
            <w:bottom w:val="none" w:sz="0" w:space="0" w:color="auto"/>
            <w:right w:val="none" w:sz="0" w:space="0" w:color="auto"/>
          </w:divBdr>
        </w:div>
        <w:div w:id="1561400183">
          <w:marLeft w:val="0"/>
          <w:marRight w:val="0"/>
          <w:marTop w:val="0"/>
          <w:marBottom w:val="0"/>
          <w:divBdr>
            <w:top w:val="none" w:sz="0" w:space="0" w:color="auto"/>
            <w:left w:val="none" w:sz="0" w:space="0" w:color="auto"/>
            <w:bottom w:val="none" w:sz="0" w:space="0" w:color="auto"/>
            <w:right w:val="none" w:sz="0" w:space="0" w:color="auto"/>
          </w:divBdr>
        </w:div>
        <w:div w:id="1325816771">
          <w:marLeft w:val="0"/>
          <w:marRight w:val="0"/>
          <w:marTop w:val="0"/>
          <w:marBottom w:val="0"/>
          <w:divBdr>
            <w:top w:val="none" w:sz="0" w:space="0" w:color="auto"/>
            <w:left w:val="none" w:sz="0" w:space="0" w:color="auto"/>
            <w:bottom w:val="none" w:sz="0" w:space="0" w:color="auto"/>
            <w:right w:val="none" w:sz="0" w:space="0" w:color="auto"/>
          </w:divBdr>
        </w:div>
        <w:div w:id="1572734845">
          <w:marLeft w:val="0"/>
          <w:marRight w:val="0"/>
          <w:marTop w:val="0"/>
          <w:marBottom w:val="0"/>
          <w:divBdr>
            <w:top w:val="none" w:sz="0" w:space="0" w:color="auto"/>
            <w:left w:val="none" w:sz="0" w:space="0" w:color="auto"/>
            <w:bottom w:val="none" w:sz="0" w:space="0" w:color="auto"/>
            <w:right w:val="none" w:sz="0" w:space="0" w:color="auto"/>
          </w:divBdr>
          <w:divsChild>
            <w:div w:id="1411922520">
              <w:marLeft w:val="0"/>
              <w:marRight w:val="0"/>
              <w:marTop w:val="0"/>
              <w:marBottom w:val="0"/>
              <w:divBdr>
                <w:top w:val="none" w:sz="0" w:space="0" w:color="auto"/>
                <w:left w:val="none" w:sz="0" w:space="0" w:color="auto"/>
                <w:bottom w:val="none" w:sz="0" w:space="0" w:color="auto"/>
                <w:right w:val="none" w:sz="0" w:space="0" w:color="auto"/>
              </w:divBdr>
            </w:div>
            <w:div w:id="1632780333">
              <w:marLeft w:val="0"/>
              <w:marRight w:val="0"/>
              <w:marTop w:val="0"/>
              <w:marBottom w:val="0"/>
              <w:divBdr>
                <w:top w:val="none" w:sz="0" w:space="0" w:color="auto"/>
                <w:left w:val="none" w:sz="0" w:space="0" w:color="auto"/>
                <w:bottom w:val="none" w:sz="0" w:space="0" w:color="auto"/>
                <w:right w:val="none" w:sz="0" w:space="0" w:color="auto"/>
              </w:divBdr>
            </w:div>
            <w:div w:id="379280960">
              <w:marLeft w:val="0"/>
              <w:marRight w:val="0"/>
              <w:marTop w:val="0"/>
              <w:marBottom w:val="0"/>
              <w:divBdr>
                <w:top w:val="none" w:sz="0" w:space="0" w:color="auto"/>
                <w:left w:val="none" w:sz="0" w:space="0" w:color="auto"/>
                <w:bottom w:val="none" w:sz="0" w:space="0" w:color="auto"/>
                <w:right w:val="none" w:sz="0" w:space="0" w:color="auto"/>
              </w:divBdr>
            </w:div>
            <w:div w:id="1455365668">
              <w:marLeft w:val="0"/>
              <w:marRight w:val="0"/>
              <w:marTop w:val="0"/>
              <w:marBottom w:val="0"/>
              <w:divBdr>
                <w:top w:val="none" w:sz="0" w:space="0" w:color="auto"/>
                <w:left w:val="none" w:sz="0" w:space="0" w:color="auto"/>
                <w:bottom w:val="none" w:sz="0" w:space="0" w:color="auto"/>
                <w:right w:val="none" w:sz="0" w:space="0" w:color="auto"/>
              </w:divBdr>
            </w:div>
            <w:div w:id="1303273981">
              <w:marLeft w:val="0"/>
              <w:marRight w:val="0"/>
              <w:marTop w:val="0"/>
              <w:marBottom w:val="0"/>
              <w:divBdr>
                <w:top w:val="none" w:sz="0" w:space="0" w:color="auto"/>
                <w:left w:val="none" w:sz="0" w:space="0" w:color="auto"/>
                <w:bottom w:val="none" w:sz="0" w:space="0" w:color="auto"/>
                <w:right w:val="none" w:sz="0" w:space="0" w:color="auto"/>
              </w:divBdr>
            </w:div>
            <w:div w:id="1251625466">
              <w:marLeft w:val="0"/>
              <w:marRight w:val="0"/>
              <w:marTop w:val="0"/>
              <w:marBottom w:val="0"/>
              <w:divBdr>
                <w:top w:val="none" w:sz="0" w:space="0" w:color="auto"/>
                <w:left w:val="none" w:sz="0" w:space="0" w:color="auto"/>
                <w:bottom w:val="none" w:sz="0" w:space="0" w:color="auto"/>
                <w:right w:val="none" w:sz="0" w:space="0" w:color="auto"/>
              </w:divBdr>
            </w:div>
            <w:div w:id="478694036">
              <w:marLeft w:val="0"/>
              <w:marRight w:val="0"/>
              <w:marTop w:val="0"/>
              <w:marBottom w:val="0"/>
              <w:divBdr>
                <w:top w:val="none" w:sz="0" w:space="0" w:color="auto"/>
                <w:left w:val="none" w:sz="0" w:space="0" w:color="auto"/>
                <w:bottom w:val="none" w:sz="0" w:space="0" w:color="auto"/>
                <w:right w:val="none" w:sz="0" w:space="0" w:color="auto"/>
              </w:divBdr>
            </w:div>
            <w:div w:id="628587156">
              <w:marLeft w:val="0"/>
              <w:marRight w:val="0"/>
              <w:marTop w:val="0"/>
              <w:marBottom w:val="0"/>
              <w:divBdr>
                <w:top w:val="none" w:sz="0" w:space="0" w:color="auto"/>
                <w:left w:val="none" w:sz="0" w:space="0" w:color="auto"/>
                <w:bottom w:val="none" w:sz="0" w:space="0" w:color="auto"/>
                <w:right w:val="none" w:sz="0" w:space="0" w:color="auto"/>
              </w:divBdr>
            </w:div>
            <w:div w:id="828448369">
              <w:marLeft w:val="0"/>
              <w:marRight w:val="0"/>
              <w:marTop w:val="0"/>
              <w:marBottom w:val="0"/>
              <w:divBdr>
                <w:top w:val="none" w:sz="0" w:space="0" w:color="auto"/>
                <w:left w:val="none" w:sz="0" w:space="0" w:color="auto"/>
                <w:bottom w:val="none" w:sz="0" w:space="0" w:color="auto"/>
                <w:right w:val="none" w:sz="0" w:space="0" w:color="auto"/>
              </w:divBdr>
            </w:div>
            <w:div w:id="1547838371">
              <w:marLeft w:val="0"/>
              <w:marRight w:val="0"/>
              <w:marTop w:val="0"/>
              <w:marBottom w:val="0"/>
              <w:divBdr>
                <w:top w:val="none" w:sz="0" w:space="0" w:color="auto"/>
                <w:left w:val="none" w:sz="0" w:space="0" w:color="auto"/>
                <w:bottom w:val="none" w:sz="0" w:space="0" w:color="auto"/>
                <w:right w:val="none" w:sz="0" w:space="0" w:color="auto"/>
              </w:divBdr>
            </w:div>
            <w:div w:id="737825210">
              <w:marLeft w:val="0"/>
              <w:marRight w:val="0"/>
              <w:marTop w:val="0"/>
              <w:marBottom w:val="0"/>
              <w:divBdr>
                <w:top w:val="none" w:sz="0" w:space="0" w:color="auto"/>
                <w:left w:val="none" w:sz="0" w:space="0" w:color="auto"/>
                <w:bottom w:val="none" w:sz="0" w:space="0" w:color="auto"/>
                <w:right w:val="none" w:sz="0" w:space="0" w:color="auto"/>
              </w:divBdr>
            </w:div>
            <w:div w:id="1882934729">
              <w:marLeft w:val="0"/>
              <w:marRight w:val="0"/>
              <w:marTop w:val="0"/>
              <w:marBottom w:val="0"/>
              <w:divBdr>
                <w:top w:val="none" w:sz="0" w:space="0" w:color="auto"/>
                <w:left w:val="none" w:sz="0" w:space="0" w:color="auto"/>
                <w:bottom w:val="none" w:sz="0" w:space="0" w:color="auto"/>
                <w:right w:val="none" w:sz="0" w:space="0" w:color="auto"/>
              </w:divBdr>
            </w:div>
            <w:div w:id="1143814879">
              <w:marLeft w:val="0"/>
              <w:marRight w:val="0"/>
              <w:marTop w:val="0"/>
              <w:marBottom w:val="0"/>
              <w:divBdr>
                <w:top w:val="none" w:sz="0" w:space="0" w:color="auto"/>
                <w:left w:val="none" w:sz="0" w:space="0" w:color="auto"/>
                <w:bottom w:val="none" w:sz="0" w:space="0" w:color="auto"/>
                <w:right w:val="none" w:sz="0" w:space="0" w:color="auto"/>
              </w:divBdr>
            </w:div>
            <w:div w:id="360936038">
              <w:marLeft w:val="0"/>
              <w:marRight w:val="0"/>
              <w:marTop w:val="0"/>
              <w:marBottom w:val="0"/>
              <w:divBdr>
                <w:top w:val="none" w:sz="0" w:space="0" w:color="auto"/>
                <w:left w:val="none" w:sz="0" w:space="0" w:color="auto"/>
                <w:bottom w:val="none" w:sz="0" w:space="0" w:color="auto"/>
                <w:right w:val="none" w:sz="0" w:space="0" w:color="auto"/>
              </w:divBdr>
            </w:div>
            <w:div w:id="1312834421">
              <w:marLeft w:val="0"/>
              <w:marRight w:val="0"/>
              <w:marTop w:val="0"/>
              <w:marBottom w:val="0"/>
              <w:divBdr>
                <w:top w:val="none" w:sz="0" w:space="0" w:color="auto"/>
                <w:left w:val="none" w:sz="0" w:space="0" w:color="auto"/>
                <w:bottom w:val="none" w:sz="0" w:space="0" w:color="auto"/>
                <w:right w:val="none" w:sz="0" w:space="0" w:color="auto"/>
              </w:divBdr>
            </w:div>
            <w:div w:id="2113893285">
              <w:marLeft w:val="0"/>
              <w:marRight w:val="0"/>
              <w:marTop w:val="0"/>
              <w:marBottom w:val="0"/>
              <w:divBdr>
                <w:top w:val="none" w:sz="0" w:space="0" w:color="auto"/>
                <w:left w:val="none" w:sz="0" w:space="0" w:color="auto"/>
                <w:bottom w:val="none" w:sz="0" w:space="0" w:color="auto"/>
                <w:right w:val="none" w:sz="0" w:space="0" w:color="auto"/>
              </w:divBdr>
            </w:div>
            <w:div w:id="838620972">
              <w:marLeft w:val="0"/>
              <w:marRight w:val="0"/>
              <w:marTop w:val="0"/>
              <w:marBottom w:val="0"/>
              <w:divBdr>
                <w:top w:val="none" w:sz="0" w:space="0" w:color="auto"/>
                <w:left w:val="none" w:sz="0" w:space="0" w:color="auto"/>
                <w:bottom w:val="none" w:sz="0" w:space="0" w:color="auto"/>
                <w:right w:val="none" w:sz="0" w:space="0" w:color="auto"/>
              </w:divBdr>
            </w:div>
            <w:div w:id="1340739826">
              <w:marLeft w:val="0"/>
              <w:marRight w:val="0"/>
              <w:marTop w:val="0"/>
              <w:marBottom w:val="0"/>
              <w:divBdr>
                <w:top w:val="none" w:sz="0" w:space="0" w:color="auto"/>
                <w:left w:val="none" w:sz="0" w:space="0" w:color="auto"/>
                <w:bottom w:val="none" w:sz="0" w:space="0" w:color="auto"/>
                <w:right w:val="none" w:sz="0" w:space="0" w:color="auto"/>
              </w:divBdr>
            </w:div>
            <w:div w:id="813449477">
              <w:marLeft w:val="0"/>
              <w:marRight w:val="0"/>
              <w:marTop w:val="0"/>
              <w:marBottom w:val="0"/>
              <w:divBdr>
                <w:top w:val="none" w:sz="0" w:space="0" w:color="auto"/>
                <w:left w:val="none" w:sz="0" w:space="0" w:color="auto"/>
                <w:bottom w:val="none" w:sz="0" w:space="0" w:color="auto"/>
                <w:right w:val="none" w:sz="0" w:space="0" w:color="auto"/>
              </w:divBdr>
            </w:div>
            <w:div w:id="85267646">
              <w:marLeft w:val="0"/>
              <w:marRight w:val="0"/>
              <w:marTop w:val="0"/>
              <w:marBottom w:val="0"/>
              <w:divBdr>
                <w:top w:val="none" w:sz="0" w:space="0" w:color="auto"/>
                <w:left w:val="none" w:sz="0" w:space="0" w:color="auto"/>
                <w:bottom w:val="none" w:sz="0" w:space="0" w:color="auto"/>
                <w:right w:val="none" w:sz="0" w:space="0" w:color="auto"/>
              </w:divBdr>
            </w:div>
            <w:div w:id="1353995502">
              <w:marLeft w:val="0"/>
              <w:marRight w:val="0"/>
              <w:marTop w:val="0"/>
              <w:marBottom w:val="0"/>
              <w:divBdr>
                <w:top w:val="none" w:sz="0" w:space="0" w:color="auto"/>
                <w:left w:val="none" w:sz="0" w:space="0" w:color="auto"/>
                <w:bottom w:val="none" w:sz="0" w:space="0" w:color="auto"/>
                <w:right w:val="none" w:sz="0" w:space="0" w:color="auto"/>
              </w:divBdr>
            </w:div>
            <w:div w:id="1561134324">
              <w:marLeft w:val="0"/>
              <w:marRight w:val="0"/>
              <w:marTop w:val="0"/>
              <w:marBottom w:val="0"/>
              <w:divBdr>
                <w:top w:val="none" w:sz="0" w:space="0" w:color="auto"/>
                <w:left w:val="none" w:sz="0" w:space="0" w:color="auto"/>
                <w:bottom w:val="none" w:sz="0" w:space="0" w:color="auto"/>
                <w:right w:val="none" w:sz="0" w:space="0" w:color="auto"/>
              </w:divBdr>
            </w:div>
            <w:div w:id="519858226">
              <w:marLeft w:val="0"/>
              <w:marRight w:val="0"/>
              <w:marTop w:val="0"/>
              <w:marBottom w:val="0"/>
              <w:divBdr>
                <w:top w:val="none" w:sz="0" w:space="0" w:color="auto"/>
                <w:left w:val="none" w:sz="0" w:space="0" w:color="auto"/>
                <w:bottom w:val="none" w:sz="0" w:space="0" w:color="auto"/>
                <w:right w:val="none" w:sz="0" w:space="0" w:color="auto"/>
              </w:divBdr>
            </w:div>
            <w:div w:id="1657610046">
              <w:marLeft w:val="0"/>
              <w:marRight w:val="0"/>
              <w:marTop w:val="0"/>
              <w:marBottom w:val="0"/>
              <w:divBdr>
                <w:top w:val="none" w:sz="0" w:space="0" w:color="auto"/>
                <w:left w:val="none" w:sz="0" w:space="0" w:color="auto"/>
                <w:bottom w:val="none" w:sz="0" w:space="0" w:color="auto"/>
                <w:right w:val="none" w:sz="0" w:space="0" w:color="auto"/>
              </w:divBdr>
            </w:div>
          </w:divsChild>
        </w:div>
        <w:div w:id="1646356795">
          <w:marLeft w:val="0"/>
          <w:marRight w:val="0"/>
          <w:marTop w:val="0"/>
          <w:marBottom w:val="0"/>
          <w:divBdr>
            <w:top w:val="none" w:sz="0" w:space="0" w:color="auto"/>
            <w:left w:val="none" w:sz="0" w:space="0" w:color="auto"/>
            <w:bottom w:val="none" w:sz="0" w:space="0" w:color="auto"/>
            <w:right w:val="none" w:sz="0" w:space="0" w:color="auto"/>
          </w:divBdr>
        </w:div>
        <w:div w:id="1167593327">
          <w:marLeft w:val="0"/>
          <w:marRight w:val="0"/>
          <w:marTop w:val="0"/>
          <w:marBottom w:val="0"/>
          <w:divBdr>
            <w:top w:val="none" w:sz="0" w:space="0" w:color="auto"/>
            <w:left w:val="none" w:sz="0" w:space="0" w:color="auto"/>
            <w:bottom w:val="none" w:sz="0" w:space="0" w:color="auto"/>
            <w:right w:val="none" w:sz="0" w:space="0" w:color="auto"/>
          </w:divBdr>
          <w:divsChild>
            <w:div w:id="1993099465">
              <w:marLeft w:val="0"/>
              <w:marRight w:val="0"/>
              <w:marTop w:val="0"/>
              <w:marBottom w:val="0"/>
              <w:divBdr>
                <w:top w:val="none" w:sz="0" w:space="0" w:color="auto"/>
                <w:left w:val="none" w:sz="0" w:space="0" w:color="auto"/>
                <w:bottom w:val="none" w:sz="0" w:space="0" w:color="auto"/>
                <w:right w:val="none" w:sz="0" w:space="0" w:color="auto"/>
              </w:divBdr>
            </w:div>
            <w:div w:id="1930773240">
              <w:marLeft w:val="0"/>
              <w:marRight w:val="0"/>
              <w:marTop w:val="0"/>
              <w:marBottom w:val="0"/>
              <w:divBdr>
                <w:top w:val="none" w:sz="0" w:space="0" w:color="auto"/>
                <w:left w:val="none" w:sz="0" w:space="0" w:color="auto"/>
                <w:bottom w:val="none" w:sz="0" w:space="0" w:color="auto"/>
                <w:right w:val="none" w:sz="0" w:space="0" w:color="auto"/>
              </w:divBdr>
            </w:div>
          </w:divsChild>
        </w:div>
        <w:div w:id="529413797">
          <w:marLeft w:val="0"/>
          <w:marRight w:val="0"/>
          <w:marTop w:val="0"/>
          <w:marBottom w:val="0"/>
          <w:divBdr>
            <w:top w:val="none" w:sz="0" w:space="0" w:color="auto"/>
            <w:left w:val="none" w:sz="0" w:space="0" w:color="auto"/>
            <w:bottom w:val="none" w:sz="0" w:space="0" w:color="auto"/>
            <w:right w:val="none" w:sz="0" w:space="0" w:color="auto"/>
          </w:divBdr>
        </w:div>
        <w:div w:id="1998997700">
          <w:marLeft w:val="0"/>
          <w:marRight w:val="0"/>
          <w:marTop w:val="0"/>
          <w:marBottom w:val="0"/>
          <w:divBdr>
            <w:top w:val="none" w:sz="0" w:space="0" w:color="auto"/>
            <w:left w:val="none" w:sz="0" w:space="0" w:color="auto"/>
            <w:bottom w:val="none" w:sz="0" w:space="0" w:color="auto"/>
            <w:right w:val="none" w:sz="0" w:space="0" w:color="auto"/>
          </w:divBdr>
        </w:div>
        <w:div w:id="2066297176">
          <w:marLeft w:val="0"/>
          <w:marRight w:val="0"/>
          <w:marTop w:val="0"/>
          <w:marBottom w:val="0"/>
          <w:divBdr>
            <w:top w:val="none" w:sz="0" w:space="0" w:color="auto"/>
            <w:left w:val="none" w:sz="0" w:space="0" w:color="auto"/>
            <w:bottom w:val="none" w:sz="0" w:space="0" w:color="auto"/>
            <w:right w:val="none" w:sz="0" w:space="0" w:color="auto"/>
          </w:divBdr>
        </w:div>
        <w:div w:id="631444092">
          <w:marLeft w:val="0"/>
          <w:marRight w:val="0"/>
          <w:marTop w:val="0"/>
          <w:marBottom w:val="0"/>
          <w:divBdr>
            <w:top w:val="none" w:sz="0" w:space="0" w:color="auto"/>
            <w:left w:val="none" w:sz="0" w:space="0" w:color="auto"/>
            <w:bottom w:val="none" w:sz="0" w:space="0" w:color="auto"/>
            <w:right w:val="none" w:sz="0" w:space="0" w:color="auto"/>
          </w:divBdr>
        </w:div>
        <w:div w:id="754979531">
          <w:marLeft w:val="0"/>
          <w:marRight w:val="0"/>
          <w:marTop w:val="0"/>
          <w:marBottom w:val="0"/>
          <w:divBdr>
            <w:top w:val="none" w:sz="0" w:space="0" w:color="auto"/>
            <w:left w:val="none" w:sz="0" w:space="0" w:color="auto"/>
            <w:bottom w:val="none" w:sz="0" w:space="0" w:color="auto"/>
            <w:right w:val="none" w:sz="0" w:space="0" w:color="auto"/>
          </w:divBdr>
        </w:div>
        <w:div w:id="1941452442">
          <w:marLeft w:val="0"/>
          <w:marRight w:val="0"/>
          <w:marTop w:val="0"/>
          <w:marBottom w:val="0"/>
          <w:divBdr>
            <w:top w:val="none" w:sz="0" w:space="0" w:color="auto"/>
            <w:left w:val="none" w:sz="0" w:space="0" w:color="auto"/>
            <w:bottom w:val="none" w:sz="0" w:space="0" w:color="auto"/>
            <w:right w:val="none" w:sz="0" w:space="0" w:color="auto"/>
          </w:divBdr>
        </w:div>
        <w:div w:id="948003457">
          <w:marLeft w:val="840"/>
          <w:marRight w:val="0"/>
          <w:marTop w:val="0"/>
          <w:marBottom w:val="0"/>
          <w:divBdr>
            <w:top w:val="none" w:sz="0" w:space="0" w:color="auto"/>
            <w:left w:val="none" w:sz="0" w:space="0" w:color="auto"/>
            <w:bottom w:val="none" w:sz="0" w:space="0" w:color="auto"/>
            <w:right w:val="none" w:sz="0" w:space="0" w:color="auto"/>
          </w:divBdr>
        </w:div>
        <w:div w:id="158618076">
          <w:marLeft w:val="0"/>
          <w:marRight w:val="0"/>
          <w:marTop w:val="0"/>
          <w:marBottom w:val="0"/>
          <w:divBdr>
            <w:top w:val="none" w:sz="0" w:space="0" w:color="auto"/>
            <w:left w:val="none" w:sz="0" w:space="0" w:color="auto"/>
            <w:bottom w:val="none" w:sz="0" w:space="0" w:color="auto"/>
            <w:right w:val="none" w:sz="0" w:space="0" w:color="auto"/>
          </w:divBdr>
        </w:div>
        <w:div w:id="384254312">
          <w:marLeft w:val="0"/>
          <w:marRight w:val="0"/>
          <w:marTop w:val="0"/>
          <w:marBottom w:val="0"/>
          <w:divBdr>
            <w:top w:val="none" w:sz="0" w:space="0" w:color="auto"/>
            <w:left w:val="none" w:sz="0" w:space="0" w:color="auto"/>
            <w:bottom w:val="none" w:sz="0" w:space="0" w:color="auto"/>
            <w:right w:val="none" w:sz="0" w:space="0" w:color="auto"/>
          </w:divBdr>
        </w:div>
        <w:div w:id="1486508767">
          <w:marLeft w:val="0"/>
          <w:marRight w:val="0"/>
          <w:marTop w:val="0"/>
          <w:marBottom w:val="0"/>
          <w:divBdr>
            <w:top w:val="none" w:sz="0" w:space="0" w:color="auto"/>
            <w:left w:val="none" w:sz="0" w:space="0" w:color="auto"/>
            <w:bottom w:val="none" w:sz="0" w:space="0" w:color="auto"/>
            <w:right w:val="none" w:sz="0" w:space="0" w:color="auto"/>
          </w:divBdr>
        </w:div>
        <w:div w:id="555894615">
          <w:marLeft w:val="0"/>
          <w:marRight w:val="0"/>
          <w:marTop w:val="0"/>
          <w:marBottom w:val="0"/>
          <w:divBdr>
            <w:top w:val="none" w:sz="0" w:space="0" w:color="auto"/>
            <w:left w:val="none" w:sz="0" w:space="0" w:color="auto"/>
            <w:bottom w:val="none" w:sz="0" w:space="0" w:color="auto"/>
            <w:right w:val="none" w:sz="0" w:space="0" w:color="auto"/>
          </w:divBdr>
        </w:div>
        <w:div w:id="1955019835">
          <w:marLeft w:val="0"/>
          <w:marRight w:val="0"/>
          <w:marTop w:val="0"/>
          <w:marBottom w:val="0"/>
          <w:divBdr>
            <w:top w:val="none" w:sz="0" w:space="0" w:color="auto"/>
            <w:left w:val="none" w:sz="0" w:space="0" w:color="auto"/>
            <w:bottom w:val="none" w:sz="0" w:space="0" w:color="auto"/>
            <w:right w:val="none" w:sz="0" w:space="0" w:color="auto"/>
          </w:divBdr>
        </w:div>
        <w:div w:id="933173409">
          <w:marLeft w:val="0"/>
          <w:marRight w:val="0"/>
          <w:marTop w:val="0"/>
          <w:marBottom w:val="0"/>
          <w:divBdr>
            <w:top w:val="none" w:sz="0" w:space="0" w:color="auto"/>
            <w:left w:val="none" w:sz="0" w:space="0" w:color="auto"/>
            <w:bottom w:val="none" w:sz="0" w:space="0" w:color="auto"/>
            <w:right w:val="none" w:sz="0" w:space="0" w:color="auto"/>
          </w:divBdr>
        </w:div>
        <w:div w:id="1990086285">
          <w:marLeft w:val="0"/>
          <w:marRight w:val="0"/>
          <w:marTop w:val="0"/>
          <w:marBottom w:val="0"/>
          <w:divBdr>
            <w:top w:val="none" w:sz="0" w:space="0" w:color="auto"/>
            <w:left w:val="none" w:sz="0" w:space="0" w:color="auto"/>
            <w:bottom w:val="none" w:sz="0" w:space="0" w:color="auto"/>
            <w:right w:val="none" w:sz="0" w:space="0" w:color="auto"/>
          </w:divBdr>
        </w:div>
        <w:div w:id="611790472">
          <w:marLeft w:val="0"/>
          <w:marRight w:val="0"/>
          <w:marTop w:val="0"/>
          <w:marBottom w:val="0"/>
          <w:divBdr>
            <w:top w:val="none" w:sz="0" w:space="0" w:color="auto"/>
            <w:left w:val="none" w:sz="0" w:space="0" w:color="auto"/>
            <w:bottom w:val="none" w:sz="0" w:space="0" w:color="auto"/>
            <w:right w:val="none" w:sz="0" w:space="0" w:color="auto"/>
          </w:divBdr>
        </w:div>
        <w:div w:id="1008558993">
          <w:marLeft w:val="0"/>
          <w:marRight w:val="0"/>
          <w:marTop w:val="0"/>
          <w:marBottom w:val="0"/>
          <w:divBdr>
            <w:top w:val="none" w:sz="0" w:space="0" w:color="auto"/>
            <w:left w:val="none" w:sz="0" w:space="0" w:color="auto"/>
            <w:bottom w:val="none" w:sz="0" w:space="0" w:color="auto"/>
            <w:right w:val="none" w:sz="0" w:space="0" w:color="auto"/>
          </w:divBdr>
        </w:div>
        <w:div w:id="656762533">
          <w:marLeft w:val="0"/>
          <w:marRight w:val="0"/>
          <w:marTop w:val="0"/>
          <w:marBottom w:val="0"/>
          <w:divBdr>
            <w:top w:val="none" w:sz="0" w:space="0" w:color="auto"/>
            <w:left w:val="none" w:sz="0" w:space="0" w:color="auto"/>
            <w:bottom w:val="none" w:sz="0" w:space="0" w:color="auto"/>
            <w:right w:val="none" w:sz="0" w:space="0" w:color="auto"/>
          </w:divBdr>
        </w:div>
        <w:div w:id="1611546249">
          <w:marLeft w:val="0"/>
          <w:marRight w:val="0"/>
          <w:marTop w:val="0"/>
          <w:marBottom w:val="0"/>
          <w:divBdr>
            <w:top w:val="none" w:sz="0" w:space="0" w:color="auto"/>
            <w:left w:val="none" w:sz="0" w:space="0" w:color="auto"/>
            <w:bottom w:val="none" w:sz="0" w:space="0" w:color="auto"/>
            <w:right w:val="none" w:sz="0" w:space="0" w:color="auto"/>
          </w:divBdr>
        </w:div>
        <w:div w:id="944658102">
          <w:marLeft w:val="0"/>
          <w:marRight w:val="0"/>
          <w:marTop w:val="0"/>
          <w:marBottom w:val="0"/>
          <w:divBdr>
            <w:top w:val="none" w:sz="0" w:space="0" w:color="auto"/>
            <w:left w:val="none" w:sz="0" w:space="0" w:color="auto"/>
            <w:bottom w:val="none" w:sz="0" w:space="0" w:color="auto"/>
            <w:right w:val="none" w:sz="0" w:space="0" w:color="auto"/>
          </w:divBdr>
        </w:div>
        <w:div w:id="153764949">
          <w:marLeft w:val="0"/>
          <w:marRight w:val="0"/>
          <w:marTop w:val="0"/>
          <w:marBottom w:val="0"/>
          <w:divBdr>
            <w:top w:val="none" w:sz="0" w:space="0" w:color="auto"/>
            <w:left w:val="none" w:sz="0" w:space="0" w:color="auto"/>
            <w:bottom w:val="none" w:sz="0" w:space="0" w:color="auto"/>
            <w:right w:val="none" w:sz="0" w:space="0" w:color="auto"/>
          </w:divBdr>
          <w:divsChild>
            <w:div w:id="254173859">
              <w:marLeft w:val="0"/>
              <w:marRight w:val="0"/>
              <w:marTop w:val="0"/>
              <w:marBottom w:val="0"/>
              <w:divBdr>
                <w:top w:val="none" w:sz="0" w:space="0" w:color="auto"/>
                <w:left w:val="none" w:sz="0" w:space="0" w:color="auto"/>
                <w:bottom w:val="none" w:sz="0" w:space="0" w:color="auto"/>
                <w:right w:val="none" w:sz="0" w:space="0" w:color="auto"/>
              </w:divBdr>
            </w:div>
            <w:div w:id="773087578">
              <w:marLeft w:val="0"/>
              <w:marRight w:val="0"/>
              <w:marTop w:val="0"/>
              <w:marBottom w:val="0"/>
              <w:divBdr>
                <w:top w:val="none" w:sz="0" w:space="0" w:color="auto"/>
                <w:left w:val="none" w:sz="0" w:space="0" w:color="auto"/>
                <w:bottom w:val="none" w:sz="0" w:space="0" w:color="auto"/>
                <w:right w:val="none" w:sz="0" w:space="0" w:color="auto"/>
              </w:divBdr>
            </w:div>
            <w:div w:id="1541824255">
              <w:marLeft w:val="0"/>
              <w:marRight w:val="0"/>
              <w:marTop w:val="0"/>
              <w:marBottom w:val="0"/>
              <w:divBdr>
                <w:top w:val="none" w:sz="0" w:space="0" w:color="auto"/>
                <w:left w:val="none" w:sz="0" w:space="0" w:color="auto"/>
                <w:bottom w:val="none" w:sz="0" w:space="0" w:color="auto"/>
                <w:right w:val="none" w:sz="0" w:space="0" w:color="auto"/>
              </w:divBdr>
            </w:div>
            <w:div w:id="2042322688">
              <w:marLeft w:val="0"/>
              <w:marRight w:val="0"/>
              <w:marTop w:val="0"/>
              <w:marBottom w:val="0"/>
              <w:divBdr>
                <w:top w:val="none" w:sz="0" w:space="0" w:color="auto"/>
                <w:left w:val="none" w:sz="0" w:space="0" w:color="auto"/>
                <w:bottom w:val="none" w:sz="0" w:space="0" w:color="auto"/>
                <w:right w:val="none" w:sz="0" w:space="0" w:color="auto"/>
              </w:divBdr>
            </w:div>
            <w:div w:id="428426918">
              <w:marLeft w:val="0"/>
              <w:marRight w:val="0"/>
              <w:marTop w:val="0"/>
              <w:marBottom w:val="0"/>
              <w:divBdr>
                <w:top w:val="none" w:sz="0" w:space="0" w:color="auto"/>
                <w:left w:val="none" w:sz="0" w:space="0" w:color="auto"/>
                <w:bottom w:val="none" w:sz="0" w:space="0" w:color="auto"/>
                <w:right w:val="none" w:sz="0" w:space="0" w:color="auto"/>
              </w:divBdr>
            </w:div>
            <w:div w:id="1893879888">
              <w:marLeft w:val="0"/>
              <w:marRight w:val="0"/>
              <w:marTop w:val="0"/>
              <w:marBottom w:val="0"/>
              <w:divBdr>
                <w:top w:val="none" w:sz="0" w:space="0" w:color="auto"/>
                <w:left w:val="none" w:sz="0" w:space="0" w:color="auto"/>
                <w:bottom w:val="none" w:sz="0" w:space="0" w:color="auto"/>
                <w:right w:val="none" w:sz="0" w:space="0" w:color="auto"/>
              </w:divBdr>
            </w:div>
            <w:div w:id="1064255597">
              <w:marLeft w:val="0"/>
              <w:marRight w:val="0"/>
              <w:marTop w:val="0"/>
              <w:marBottom w:val="0"/>
              <w:divBdr>
                <w:top w:val="none" w:sz="0" w:space="0" w:color="auto"/>
                <w:left w:val="none" w:sz="0" w:space="0" w:color="auto"/>
                <w:bottom w:val="none" w:sz="0" w:space="0" w:color="auto"/>
                <w:right w:val="none" w:sz="0" w:space="0" w:color="auto"/>
              </w:divBdr>
            </w:div>
            <w:div w:id="1124274203">
              <w:marLeft w:val="0"/>
              <w:marRight w:val="0"/>
              <w:marTop w:val="0"/>
              <w:marBottom w:val="0"/>
              <w:divBdr>
                <w:top w:val="none" w:sz="0" w:space="0" w:color="auto"/>
                <w:left w:val="none" w:sz="0" w:space="0" w:color="auto"/>
                <w:bottom w:val="none" w:sz="0" w:space="0" w:color="auto"/>
                <w:right w:val="none" w:sz="0" w:space="0" w:color="auto"/>
              </w:divBdr>
            </w:div>
            <w:div w:id="2010712503">
              <w:marLeft w:val="0"/>
              <w:marRight w:val="0"/>
              <w:marTop w:val="0"/>
              <w:marBottom w:val="0"/>
              <w:divBdr>
                <w:top w:val="none" w:sz="0" w:space="0" w:color="auto"/>
                <w:left w:val="none" w:sz="0" w:space="0" w:color="auto"/>
                <w:bottom w:val="none" w:sz="0" w:space="0" w:color="auto"/>
                <w:right w:val="none" w:sz="0" w:space="0" w:color="auto"/>
              </w:divBdr>
            </w:div>
            <w:div w:id="1173951127">
              <w:marLeft w:val="0"/>
              <w:marRight w:val="0"/>
              <w:marTop w:val="0"/>
              <w:marBottom w:val="0"/>
              <w:divBdr>
                <w:top w:val="none" w:sz="0" w:space="0" w:color="auto"/>
                <w:left w:val="none" w:sz="0" w:space="0" w:color="auto"/>
                <w:bottom w:val="none" w:sz="0" w:space="0" w:color="auto"/>
                <w:right w:val="none" w:sz="0" w:space="0" w:color="auto"/>
              </w:divBdr>
            </w:div>
            <w:div w:id="1214996970">
              <w:marLeft w:val="0"/>
              <w:marRight w:val="0"/>
              <w:marTop w:val="0"/>
              <w:marBottom w:val="0"/>
              <w:divBdr>
                <w:top w:val="none" w:sz="0" w:space="0" w:color="auto"/>
                <w:left w:val="none" w:sz="0" w:space="0" w:color="auto"/>
                <w:bottom w:val="none" w:sz="0" w:space="0" w:color="auto"/>
                <w:right w:val="none" w:sz="0" w:space="0" w:color="auto"/>
              </w:divBdr>
            </w:div>
            <w:div w:id="1800144206">
              <w:marLeft w:val="0"/>
              <w:marRight w:val="0"/>
              <w:marTop w:val="0"/>
              <w:marBottom w:val="0"/>
              <w:divBdr>
                <w:top w:val="none" w:sz="0" w:space="0" w:color="auto"/>
                <w:left w:val="none" w:sz="0" w:space="0" w:color="auto"/>
                <w:bottom w:val="none" w:sz="0" w:space="0" w:color="auto"/>
                <w:right w:val="none" w:sz="0" w:space="0" w:color="auto"/>
              </w:divBdr>
            </w:div>
          </w:divsChild>
        </w:div>
        <w:div w:id="2138185269">
          <w:marLeft w:val="0"/>
          <w:marRight w:val="0"/>
          <w:marTop w:val="0"/>
          <w:marBottom w:val="0"/>
          <w:divBdr>
            <w:top w:val="none" w:sz="0" w:space="0" w:color="auto"/>
            <w:left w:val="none" w:sz="0" w:space="0" w:color="auto"/>
            <w:bottom w:val="none" w:sz="0" w:space="0" w:color="auto"/>
            <w:right w:val="none" w:sz="0" w:space="0" w:color="auto"/>
          </w:divBdr>
        </w:div>
        <w:div w:id="1420716912">
          <w:marLeft w:val="0"/>
          <w:marRight w:val="0"/>
          <w:marTop w:val="0"/>
          <w:marBottom w:val="0"/>
          <w:divBdr>
            <w:top w:val="none" w:sz="0" w:space="0" w:color="auto"/>
            <w:left w:val="none" w:sz="0" w:space="0" w:color="auto"/>
            <w:bottom w:val="none" w:sz="0" w:space="0" w:color="auto"/>
            <w:right w:val="none" w:sz="0" w:space="0" w:color="auto"/>
          </w:divBdr>
          <w:divsChild>
            <w:div w:id="494147927">
              <w:marLeft w:val="0"/>
              <w:marRight w:val="0"/>
              <w:marTop w:val="0"/>
              <w:marBottom w:val="0"/>
              <w:divBdr>
                <w:top w:val="none" w:sz="0" w:space="0" w:color="auto"/>
                <w:left w:val="none" w:sz="0" w:space="0" w:color="auto"/>
                <w:bottom w:val="none" w:sz="0" w:space="0" w:color="auto"/>
                <w:right w:val="none" w:sz="0" w:space="0" w:color="auto"/>
              </w:divBdr>
            </w:div>
            <w:div w:id="494541185">
              <w:marLeft w:val="0"/>
              <w:marRight w:val="0"/>
              <w:marTop w:val="0"/>
              <w:marBottom w:val="0"/>
              <w:divBdr>
                <w:top w:val="none" w:sz="0" w:space="0" w:color="auto"/>
                <w:left w:val="none" w:sz="0" w:space="0" w:color="auto"/>
                <w:bottom w:val="none" w:sz="0" w:space="0" w:color="auto"/>
                <w:right w:val="none" w:sz="0" w:space="0" w:color="auto"/>
              </w:divBdr>
            </w:div>
            <w:div w:id="186994192">
              <w:marLeft w:val="0"/>
              <w:marRight w:val="0"/>
              <w:marTop w:val="0"/>
              <w:marBottom w:val="0"/>
              <w:divBdr>
                <w:top w:val="none" w:sz="0" w:space="0" w:color="auto"/>
                <w:left w:val="none" w:sz="0" w:space="0" w:color="auto"/>
                <w:bottom w:val="none" w:sz="0" w:space="0" w:color="auto"/>
                <w:right w:val="none" w:sz="0" w:space="0" w:color="auto"/>
              </w:divBdr>
            </w:div>
            <w:div w:id="1344671933">
              <w:marLeft w:val="0"/>
              <w:marRight w:val="0"/>
              <w:marTop w:val="0"/>
              <w:marBottom w:val="0"/>
              <w:divBdr>
                <w:top w:val="none" w:sz="0" w:space="0" w:color="auto"/>
                <w:left w:val="none" w:sz="0" w:space="0" w:color="auto"/>
                <w:bottom w:val="none" w:sz="0" w:space="0" w:color="auto"/>
                <w:right w:val="none" w:sz="0" w:space="0" w:color="auto"/>
              </w:divBdr>
            </w:div>
            <w:div w:id="1044644699">
              <w:marLeft w:val="0"/>
              <w:marRight w:val="0"/>
              <w:marTop w:val="0"/>
              <w:marBottom w:val="0"/>
              <w:divBdr>
                <w:top w:val="none" w:sz="0" w:space="0" w:color="auto"/>
                <w:left w:val="none" w:sz="0" w:space="0" w:color="auto"/>
                <w:bottom w:val="none" w:sz="0" w:space="0" w:color="auto"/>
                <w:right w:val="none" w:sz="0" w:space="0" w:color="auto"/>
              </w:divBdr>
            </w:div>
            <w:div w:id="1292637843">
              <w:marLeft w:val="0"/>
              <w:marRight w:val="0"/>
              <w:marTop w:val="0"/>
              <w:marBottom w:val="0"/>
              <w:divBdr>
                <w:top w:val="none" w:sz="0" w:space="0" w:color="auto"/>
                <w:left w:val="none" w:sz="0" w:space="0" w:color="auto"/>
                <w:bottom w:val="none" w:sz="0" w:space="0" w:color="auto"/>
                <w:right w:val="none" w:sz="0" w:space="0" w:color="auto"/>
              </w:divBdr>
            </w:div>
            <w:div w:id="467405312">
              <w:marLeft w:val="0"/>
              <w:marRight w:val="0"/>
              <w:marTop w:val="0"/>
              <w:marBottom w:val="0"/>
              <w:divBdr>
                <w:top w:val="none" w:sz="0" w:space="0" w:color="auto"/>
                <w:left w:val="none" w:sz="0" w:space="0" w:color="auto"/>
                <w:bottom w:val="none" w:sz="0" w:space="0" w:color="auto"/>
                <w:right w:val="none" w:sz="0" w:space="0" w:color="auto"/>
              </w:divBdr>
            </w:div>
            <w:div w:id="755591058">
              <w:marLeft w:val="0"/>
              <w:marRight w:val="0"/>
              <w:marTop w:val="0"/>
              <w:marBottom w:val="0"/>
              <w:divBdr>
                <w:top w:val="none" w:sz="0" w:space="0" w:color="auto"/>
                <w:left w:val="none" w:sz="0" w:space="0" w:color="auto"/>
                <w:bottom w:val="none" w:sz="0" w:space="0" w:color="auto"/>
                <w:right w:val="none" w:sz="0" w:space="0" w:color="auto"/>
              </w:divBdr>
            </w:div>
            <w:div w:id="72826464">
              <w:marLeft w:val="0"/>
              <w:marRight w:val="0"/>
              <w:marTop w:val="0"/>
              <w:marBottom w:val="0"/>
              <w:divBdr>
                <w:top w:val="none" w:sz="0" w:space="0" w:color="auto"/>
                <w:left w:val="none" w:sz="0" w:space="0" w:color="auto"/>
                <w:bottom w:val="none" w:sz="0" w:space="0" w:color="auto"/>
                <w:right w:val="none" w:sz="0" w:space="0" w:color="auto"/>
              </w:divBdr>
            </w:div>
          </w:divsChild>
        </w:div>
        <w:div w:id="160894">
          <w:marLeft w:val="0"/>
          <w:marRight w:val="0"/>
          <w:marTop w:val="0"/>
          <w:marBottom w:val="0"/>
          <w:divBdr>
            <w:top w:val="none" w:sz="0" w:space="0" w:color="auto"/>
            <w:left w:val="none" w:sz="0" w:space="0" w:color="auto"/>
            <w:bottom w:val="none" w:sz="0" w:space="0" w:color="auto"/>
            <w:right w:val="none" w:sz="0" w:space="0" w:color="auto"/>
          </w:divBdr>
          <w:divsChild>
            <w:div w:id="1715036929">
              <w:marLeft w:val="0"/>
              <w:marRight w:val="0"/>
              <w:marTop w:val="0"/>
              <w:marBottom w:val="0"/>
              <w:divBdr>
                <w:top w:val="none" w:sz="0" w:space="0" w:color="auto"/>
                <w:left w:val="none" w:sz="0" w:space="0" w:color="auto"/>
                <w:bottom w:val="none" w:sz="0" w:space="0" w:color="auto"/>
                <w:right w:val="none" w:sz="0" w:space="0" w:color="auto"/>
              </w:divBdr>
            </w:div>
            <w:div w:id="832531444">
              <w:marLeft w:val="0"/>
              <w:marRight w:val="0"/>
              <w:marTop w:val="0"/>
              <w:marBottom w:val="0"/>
              <w:divBdr>
                <w:top w:val="none" w:sz="0" w:space="0" w:color="auto"/>
                <w:left w:val="none" w:sz="0" w:space="0" w:color="auto"/>
                <w:bottom w:val="none" w:sz="0" w:space="0" w:color="auto"/>
                <w:right w:val="none" w:sz="0" w:space="0" w:color="auto"/>
              </w:divBdr>
            </w:div>
            <w:div w:id="712078119">
              <w:marLeft w:val="0"/>
              <w:marRight w:val="0"/>
              <w:marTop w:val="0"/>
              <w:marBottom w:val="0"/>
              <w:divBdr>
                <w:top w:val="none" w:sz="0" w:space="0" w:color="auto"/>
                <w:left w:val="none" w:sz="0" w:space="0" w:color="auto"/>
                <w:bottom w:val="none" w:sz="0" w:space="0" w:color="auto"/>
                <w:right w:val="none" w:sz="0" w:space="0" w:color="auto"/>
              </w:divBdr>
            </w:div>
            <w:div w:id="1357390297">
              <w:marLeft w:val="0"/>
              <w:marRight w:val="0"/>
              <w:marTop w:val="0"/>
              <w:marBottom w:val="0"/>
              <w:divBdr>
                <w:top w:val="none" w:sz="0" w:space="0" w:color="auto"/>
                <w:left w:val="none" w:sz="0" w:space="0" w:color="auto"/>
                <w:bottom w:val="none" w:sz="0" w:space="0" w:color="auto"/>
                <w:right w:val="none" w:sz="0" w:space="0" w:color="auto"/>
              </w:divBdr>
            </w:div>
            <w:div w:id="410539994">
              <w:marLeft w:val="0"/>
              <w:marRight w:val="0"/>
              <w:marTop w:val="0"/>
              <w:marBottom w:val="0"/>
              <w:divBdr>
                <w:top w:val="none" w:sz="0" w:space="0" w:color="auto"/>
                <w:left w:val="none" w:sz="0" w:space="0" w:color="auto"/>
                <w:bottom w:val="none" w:sz="0" w:space="0" w:color="auto"/>
                <w:right w:val="none" w:sz="0" w:space="0" w:color="auto"/>
              </w:divBdr>
            </w:div>
            <w:div w:id="1759129303">
              <w:marLeft w:val="0"/>
              <w:marRight w:val="0"/>
              <w:marTop w:val="0"/>
              <w:marBottom w:val="0"/>
              <w:divBdr>
                <w:top w:val="none" w:sz="0" w:space="0" w:color="auto"/>
                <w:left w:val="none" w:sz="0" w:space="0" w:color="auto"/>
                <w:bottom w:val="none" w:sz="0" w:space="0" w:color="auto"/>
                <w:right w:val="none" w:sz="0" w:space="0" w:color="auto"/>
              </w:divBdr>
            </w:div>
          </w:divsChild>
        </w:div>
        <w:div w:id="1117408903">
          <w:marLeft w:val="0"/>
          <w:marRight w:val="0"/>
          <w:marTop w:val="0"/>
          <w:marBottom w:val="0"/>
          <w:divBdr>
            <w:top w:val="none" w:sz="0" w:space="0" w:color="auto"/>
            <w:left w:val="none" w:sz="0" w:space="0" w:color="auto"/>
            <w:bottom w:val="none" w:sz="0" w:space="0" w:color="auto"/>
            <w:right w:val="none" w:sz="0" w:space="0" w:color="auto"/>
          </w:divBdr>
        </w:div>
        <w:div w:id="1475758978">
          <w:marLeft w:val="0"/>
          <w:marRight w:val="0"/>
          <w:marTop w:val="0"/>
          <w:marBottom w:val="0"/>
          <w:divBdr>
            <w:top w:val="none" w:sz="0" w:space="0" w:color="auto"/>
            <w:left w:val="none" w:sz="0" w:space="0" w:color="auto"/>
            <w:bottom w:val="none" w:sz="0" w:space="0" w:color="auto"/>
            <w:right w:val="none" w:sz="0" w:space="0" w:color="auto"/>
          </w:divBdr>
          <w:divsChild>
            <w:div w:id="1491018779">
              <w:marLeft w:val="0"/>
              <w:marRight w:val="0"/>
              <w:marTop w:val="0"/>
              <w:marBottom w:val="0"/>
              <w:divBdr>
                <w:top w:val="none" w:sz="0" w:space="0" w:color="auto"/>
                <w:left w:val="none" w:sz="0" w:space="0" w:color="auto"/>
                <w:bottom w:val="none" w:sz="0" w:space="0" w:color="auto"/>
                <w:right w:val="none" w:sz="0" w:space="0" w:color="auto"/>
              </w:divBdr>
            </w:div>
            <w:div w:id="632490275">
              <w:marLeft w:val="0"/>
              <w:marRight w:val="0"/>
              <w:marTop w:val="0"/>
              <w:marBottom w:val="0"/>
              <w:divBdr>
                <w:top w:val="none" w:sz="0" w:space="0" w:color="auto"/>
                <w:left w:val="none" w:sz="0" w:space="0" w:color="auto"/>
                <w:bottom w:val="none" w:sz="0" w:space="0" w:color="auto"/>
                <w:right w:val="none" w:sz="0" w:space="0" w:color="auto"/>
              </w:divBdr>
            </w:div>
            <w:div w:id="556204548">
              <w:marLeft w:val="0"/>
              <w:marRight w:val="0"/>
              <w:marTop w:val="0"/>
              <w:marBottom w:val="0"/>
              <w:divBdr>
                <w:top w:val="none" w:sz="0" w:space="0" w:color="auto"/>
                <w:left w:val="none" w:sz="0" w:space="0" w:color="auto"/>
                <w:bottom w:val="none" w:sz="0" w:space="0" w:color="auto"/>
                <w:right w:val="none" w:sz="0" w:space="0" w:color="auto"/>
              </w:divBdr>
            </w:div>
            <w:div w:id="1599096748">
              <w:marLeft w:val="0"/>
              <w:marRight w:val="0"/>
              <w:marTop w:val="0"/>
              <w:marBottom w:val="0"/>
              <w:divBdr>
                <w:top w:val="none" w:sz="0" w:space="0" w:color="auto"/>
                <w:left w:val="none" w:sz="0" w:space="0" w:color="auto"/>
                <w:bottom w:val="none" w:sz="0" w:space="0" w:color="auto"/>
                <w:right w:val="none" w:sz="0" w:space="0" w:color="auto"/>
              </w:divBdr>
            </w:div>
            <w:div w:id="830104142">
              <w:marLeft w:val="0"/>
              <w:marRight w:val="0"/>
              <w:marTop w:val="0"/>
              <w:marBottom w:val="0"/>
              <w:divBdr>
                <w:top w:val="none" w:sz="0" w:space="0" w:color="auto"/>
                <w:left w:val="none" w:sz="0" w:space="0" w:color="auto"/>
                <w:bottom w:val="none" w:sz="0" w:space="0" w:color="auto"/>
                <w:right w:val="none" w:sz="0" w:space="0" w:color="auto"/>
              </w:divBdr>
            </w:div>
            <w:div w:id="2011252639">
              <w:marLeft w:val="0"/>
              <w:marRight w:val="0"/>
              <w:marTop w:val="0"/>
              <w:marBottom w:val="0"/>
              <w:divBdr>
                <w:top w:val="none" w:sz="0" w:space="0" w:color="auto"/>
                <w:left w:val="none" w:sz="0" w:space="0" w:color="auto"/>
                <w:bottom w:val="none" w:sz="0" w:space="0" w:color="auto"/>
                <w:right w:val="none" w:sz="0" w:space="0" w:color="auto"/>
              </w:divBdr>
            </w:div>
            <w:div w:id="1226724898">
              <w:marLeft w:val="0"/>
              <w:marRight w:val="0"/>
              <w:marTop w:val="0"/>
              <w:marBottom w:val="0"/>
              <w:divBdr>
                <w:top w:val="none" w:sz="0" w:space="0" w:color="auto"/>
                <w:left w:val="none" w:sz="0" w:space="0" w:color="auto"/>
                <w:bottom w:val="none" w:sz="0" w:space="0" w:color="auto"/>
                <w:right w:val="none" w:sz="0" w:space="0" w:color="auto"/>
              </w:divBdr>
            </w:div>
            <w:div w:id="1696886927">
              <w:marLeft w:val="0"/>
              <w:marRight w:val="0"/>
              <w:marTop w:val="0"/>
              <w:marBottom w:val="0"/>
              <w:divBdr>
                <w:top w:val="none" w:sz="0" w:space="0" w:color="auto"/>
                <w:left w:val="none" w:sz="0" w:space="0" w:color="auto"/>
                <w:bottom w:val="none" w:sz="0" w:space="0" w:color="auto"/>
                <w:right w:val="none" w:sz="0" w:space="0" w:color="auto"/>
              </w:divBdr>
            </w:div>
          </w:divsChild>
        </w:div>
        <w:div w:id="1573663014">
          <w:marLeft w:val="0"/>
          <w:marRight w:val="0"/>
          <w:marTop w:val="0"/>
          <w:marBottom w:val="0"/>
          <w:divBdr>
            <w:top w:val="none" w:sz="0" w:space="0" w:color="auto"/>
            <w:left w:val="none" w:sz="0" w:space="0" w:color="auto"/>
            <w:bottom w:val="none" w:sz="0" w:space="0" w:color="auto"/>
            <w:right w:val="none" w:sz="0" w:space="0" w:color="auto"/>
          </w:divBdr>
        </w:div>
        <w:div w:id="152648547">
          <w:marLeft w:val="0"/>
          <w:marRight w:val="0"/>
          <w:marTop w:val="0"/>
          <w:marBottom w:val="0"/>
          <w:divBdr>
            <w:top w:val="none" w:sz="0" w:space="0" w:color="auto"/>
            <w:left w:val="none" w:sz="0" w:space="0" w:color="auto"/>
            <w:bottom w:val="none" w:sz="0" w:space="0" w:color="auto"/>
            <w:right w:val="none" w:sz="0" w:space="0" w:color="auto"/>
          </w:divBdr>
        </w:div>
        <w:div w:id="1360862063">
          <w:marLeft w:val="0"/>
          <w:marRight w:val="0"/>
          <w:marTop w:val="0"/>
          <w:marBottom w:val="0"/>
          <w:divBdr>
            <w:top w:val="none" w:sz="0" w:space="0" w:color="auto"/>
            <w:left w:val="none" w:sz="0" w:space="0" w:color="auto"/>
            <w:bottom w:val="none" w:sz="0" w:space="0" w:color="auto"/>
            <w:right w:val="none" w:sz="0" w:space="0" w:color="auto"/>
          </w:divBdr>
        </w:div>
        <w:div w:id="948896811">
          <w:marLeft w:val="0"/>
          <w:marRight w:val="0"/>
          <w:marTop w:val="0"/>
          <w:marBottom w:val="0"/>
          <w:divBdr>
            <w:top w:val="none" w:sz="0" w:space="0" w:color="auto"/>
            <w:left w:val="none" w:sz="0" w:space="0" w:color="auto"/>
            <w:bottom w:val="none" w:sz="0" w:space="0" w:color="auto"/>
            <w:right w:val="none" w:sz="0" w:space="0" w:color="auto"/>
          </w:divBdr>
        </w:div>
        <w:div w:id="1739861618">
          <w:marLeft w:val="0"/>
          <w:marRight w:val="0"/>
          <w:marTop w:val="0"/>
          <w:marBottom w:val="0"/>
          <w:divBdr>
            <w:top w:val="none" w:sz="0" w:space="0" w:color="auto"/>
            <w:left w:val="none" w:sz="0" w:space="0" w:color="auto"/>
            <w:bottom w:val="none" w:sz="0" w:space="0" w:color="auto"/>
            <w:right w:val="none" w:sz="0" w:space="0" w:color="auto"/>
          </w:divBdr>
        </w:div>
        <w:div w:id="1596864768">
          <w:marLeft w:val="0"/>
          <w:marRight w:val="0"/>
          <w:marTop w:val="0"/>
          <w:marBottom w:val="0"/>
          <w:divBdr>
            <w:top w:val="none" w:sz="0" w:space="0" w:color="auto"/>
            <w:left w:val="none" w:sz="0" w:space="0" w:color="auto"/>
            <w:bottom w:val="none" w:sz="0" w:space="0" w:color="auto"/>
            <w:right w:val="none" w:sz="0" w:space="0" w:color="auto"/>
          </w:divBdr>
        </w:div>
        <w:div w:id="1583249206">
          <w:marLeft w:val="0"/>
          <w:marRight w:val="0"/>
          <w:marTop w:val="0"/>
          <w:marBottom w:val="0"/>
          <w:divBdr>
            <w:top w:val="none" w:sz="0" w:space="0" w:color="auto"/>
            <w:left w:val="none" w:sz="0" w:space="0" w:color="auto"/>
            <w:bottom w:val="none" w:sz="0" w:space="0" w:color="auto"/>
            <w:right w:val="none" w:sz="0" w:space="0" w:color="auto"/>
          </w:divBdr>
          <w:divsChild>
            <w:div w:id="57829526">
              <w:marLeft w:val="0"/>
              <w:marRight w:val="0"/>
              <w:marTop w:val="0"/>
              <w:marBottom w:val="0"/>
              <w:divBdr>
                <w:top w:val="none" w:sz="0" w:space="0" w:color="auto"/>
                <w:left w:val="none" w:sz="0" w:space="0" w:color="auto"/>
                <w:bottom w:val="none" w:sz="0" w:space="0" w:color="auto"/>
                <w:right w:val="none" w:sz="0" w:space="0" w:color="auto"/>
              </w:divBdr>
            </w:div>
            <w:div w:id="1874346579">
              <w:marLeft w:val="0"/>
              <w:marRight w:val="0"/>
              <w:marTop w:val="0"/>
              <w:marBottom w:val="0"/>
              <w:divBdr>
                <w:top w:val="none" w:sz="0" w:space="0" w:color="auto"/>
                <w:left w:val="none" w:sz="0" w:space="0" w:color="auto"/>
                <w:bottom w:val="none" w:sz="0" w:space="0" w:color="auto"/>
                <w:right w:val="none" w:sz="0" w:space="0" w:color="auto"/>
              </w:divBdr>
            </w:div>
            <w:div w:id="320818016">
              <w:marLeft w:val="0"/>
              <w:marRight w:val="0"/>
              <w:marTop w:val="0"/>
              <w:marBottom w:val="0"/>
              <w:divBdr>
                <w:top w:val="none" w:sz="0" w:space="0" w:color="auto"/>
                <w:left w:val="none" w:sz="0" w:space="0" w:color="auto"/>
                <w:bottom w:val="none" w:sz="0" w:space="0" w:color="auto"/>
                <w:right w:val="none" w:sz="0" w:space="0" w:color="auto"/>
              </w:divBdr>
            </w:div>
            <w:div w:id="873539560">
              <w:marLeft w:val="0"/>
              <w:marRight w:val="0"/>
              <w:marTop w:val="0"/>
              <w:marBottom w:val="0"/>
              <w:divBdr>
                <w:top w:val="none" w:sz="0" w:space="0" w:color="auto"/>
                <w:left w:val="none" w:sz="0" w:space="0" w:color="auto"/>
                <w:bottom w:val="none" w:sz="0" w:space="0" w:color="auto"/>
                <w:right w:val="none" w:sz="0" w:space="0" w:color="auto"/>
              </w:divBdr>
            </w:div>
            <w:div w:id="256913845">
              <w:marLeft w:val="0"/>
              <w:marRight w:val="0"/>
              <w:marTop w:val="0"/>
              <w:marBottom w:val="0"/>
              <w:divBdr>
                <w:top w:val="none" w:sz="0" w:space="0" w:color="auto"/>
                <w:left w:val="none" w:sz="0" w:space="0" w:color="auto"/>
                <w:bottom w:val="none" w:sz="0" w:space="0" w:color="auto"/>
                <w:right w:val="none" w:sz="0" w:space="0" w:color="auto"/>
              </w:divBdr>
            </w:div>
            <w:div w:id="280503391">
              <w:marLeft w:val="0"/>
              <w:marRight w:val="0"/>
              <w:marTop w:val="0"/>
              <w:marBottom w:val="0"/>
              <w:divBdr>
                <w:top w:val="none" w:sz="0" w:space="0" w:color="auto"/>
                <w:left w:val="none" w:sz="0" w:space="0" w:color="auto"/>
                <w:bottom w:val="none" w:sz="0" w:space="0" w:color="auto"/>
                <w:right w:val="none" w:sz="0" w:space="0" w:color="auto"/>
              </w:divBdr>
            </w:div>
            <w:div w:id="1746950255">
              <w:marLeft w:val="0"/>
              <w:marRight w:val="0"/>
              <w:marTop w:val="0"/>
              <w:marBottom w:val="0"/>
              <w:divBdr>
                <w:top w:val="none" w:sz="0" w:space="0" w:color="auto"/>
                <w:left w:val="none" w:sz="0" w:space="0" w:color="auto"/>
                <w:bottom w:val="none" w:sz="0" w:space="0" w:color="auto"/>
                <w:right w:val="none" w:sz="0" w:space="0" w:color="auto"/>
              </w:divBdr>
            </w:div>
          </w:divsChild>
        </w:div>
        <w:div w:id="286667834">
          <w:marLeft w:val="0"/>
          <w:marRight w:val="0"/>
          <w:marTop w:val="0"/>
          <w:marBottom w:val="0"/>
          <w:divBdr>
            <w:top w:val="none" w:sz="0" w:space="0" w:color="auto"/>
            <w:left w:val="none" w:sz="0" w:space="0" w:color="auto"/>
            <w:bottom w:val="none" w:sz="0" w:space="0" w:color="auto"/>
            <w:right w:val="none" w:sz="0" w:space="0" w:color="auto"/>
          </w:divBdr>
        </w:div>
        <w:div w:id="787355613">
          <w:marLeft w:val="0"/>
          <w:marRight w:val="0"/>
          <w:marTop w:val="0"/>
          <w:marBottom w:val="0"/>
          <w:divBdr>
            <w:top w:val="none" w:sz="0" w:space="0" w:color="auto"/>
            <w:left w:val="none" w:sz="0" w:space="0" w:color="auto"/>
            <w:bottom w:val="none" w:sz="0" w:space="0" w:color="auto"/>
            <w:right w:val="none" w:sz="0" w:space="0" w:color="auto"/>
          </w:divBdr>
        </w:div>
        <w:div w:id="319696980">
          <w:marLeft w:val="0"/>
          <w:marRight w:val="0"/>
          <w:marTop w:val="0"/>
          <w:marBottom w:val="0"/>
          <w:divBdr>
            <w:top w:val="none" w:sz="0" w:space="0" w:color="auto"/>
            <w:left w:val="none" w:sz="0" w:space="0" w:color="auto"/>
            <w:bottom w:val="none" w:sz="0" w:space="0" w:color="auto"/>
            <w:right w:val="none" w:sz="0" w:space="0" w:color="auto"/>
          </w:divBdr>
        </w:div>
        <w:div w:id="482115346">
          <w:marLeft w:val="0"/>
          <w:marRight w:val="0"/>
          <w:marTop w:val="0"/>
          <w:marBottom w:val="0"/>
          <w:divBdr>
            <w:top w:val="none" w:sz="0" w:space="0" w:color="auto"/>
            <w:left w:val="none" w:sz="0" w:space="0" w:color="auto"/>
            <w:bottom w:val="none" w:sz="0" w:space="0" w:color="auto"/>
            <w:right w:val="none" w:sz="0" w:space="0" w:color="auto"/>
          </w:divBdr>
        </w:div>
        <w:div w:id="234821444">
          <w:marLeft w:val="0"/>
          <w:marRight w:val="0"/>
          <w:marTop w:val="0"/>
          <w:marBottom w:val="0"/>
          <w:divBdr>
            <w:top w:val="none" w:sz="0" w:space="0" w:color="auto"/>
            <w:left w:val="none" w:sz="0" w:space="0" w:color="auto"/>
            <w:bottom w:val="none" w:sz="0" w:space="0" w:color="auto"/>
            <w:right w:val="none" w:sz="0" w:space="0" w:color="auto"/>
          </w:divBdr>
        </w:div>
      </w:divsChild>
    </w:div>
    <w:div w:id="809249639">
      <w:bodyDiv w:val="1"/>
      <w:marLeft w:val="0"/>
      <w:marRight w:val="0"/>
      <w:marTop w:val="0"/>
      <w:marBottom w:val="0"/>
      <w:divBdr>
        <w:top w:val="none" w:sz="0" w:space="0" w:color="auto"/>
        <w:left w:val="none" w:sz="0" w:space="0" w:color="auto"/>
        <w:bottom w:val="none" w:sz="0" w:space="0" w:color="auto"/>
        <w:right w:val="none" w:sz="0" w:space="0" w:color="auto"/>
      </w:divBdr>
    </w:div>
    <w:div w:id="968707564">
      <w:bodyDiv w:val="1"/>
      <w:marLeft w:val="0"/>
      <w:marRight w:val="0"/>
      <w:marTop w:val="0"/>
      <w:marBottom w:val="0"/>
      <w:divBdr>
        <w:top w:val="none" w:sz="0" w:space="0" w:color="auto"/>
        <w:left w:val="none" w:sz="0" w:space="0" w:color="auto"/>
        <w:bottom w:val="none" w:sz="0" w:space="0" w:color="auto"/>
        <w:right w:val="none" w:sz="0" w:space="0" w:color="auto"/>
      </w:divBdr>
    </w:div>
    <w:div w:id="1132216295">
      <w:bodyDiv w:val="1"/>
      <w:marLeft w:val="0"/>
      <w:marRight w:val="0"/>
      <w:marTop w:val="0"/>
      <w:marBottom w:val="0"/>
      <w:divBdr>
        <w:top w:val="none" w:sz="0" w:space="0" w:color="auto"/>
        <w:left w:val="none" w:sz="0" w:space="0" w:color="auto"/>
        <w:bottom w:val="none" w:sz="0" w:space="0" w:color="auto"/>
        <w:right w:val="none" w:sz="0" w:space="0" w:color="auto"/>
      </w:divBdr>
    </w:div>
    <w:div w:id="1339193119">
      <w:bodyDiv w:val="1"/>
      <w:marLeft w:val="0"/>
      <w:marRight w:val="0"/>
      <w:marTop w:val="0"/>
      <w:marBottom w:val="0"/>
      <w:divBdr>
        <w:top w:val="none" w:sz="0" w:space="0" w:color="auto"/>
        <w:left w:val="none" w:sz="0" w:space="0" w:color="auto"/>
        <w:bottom w:val="none" w:sz="0" w:space="0" w:color="auto"/>
        <w:right w:val="none" w:sz="0" w:space="0" w:color="auto"/>
      </w:divBdr>
    </w:div>
    <w:div w:id="1345984077">
      <w:bodyDiv w:val="1"/>
      <w:marLeft w:val="0"/>
      <w:marRight w:val="0"/>
      <w:marTop w:val="0"/>
      <w:marBottom w:val="0"/>
      <w:divBdr>
        <w:top w:val="none" w:sz="0" w:space="0" w:color="auto"/>
        <w:left w:val="none" w:sz="0" w:space="0" w:color="auto"/>
        <w:bottom w:val="none" w:sz="0" w:space="0" w:color="auto"/>
        <w:right w:val="none" w:sz="0" w:space="0" w:color="auto"/>
      </w:divBdr>
    </w:div>
    <w:div w:id="171757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E051D-2E54-4697-82D4-580B6414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51</Pages>
  <Words>10965</Words>
  <Characters>60309</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 Pacheco Cardeña</dc:creator>
  <cp:lastModifiedBy>Laura V. Pacheco Cardeña</cp:lastModifiedBy>
  <cp:revision>17</cp:revision>
  <cp:lastPrinted>2024-10-28T18:13:00Z</cp:lastPrinted>
  <dcterms:created xsi:type="dcterms:W3CDTF">2024-10-28T05:14:00Z</dcterms:created>
  <dcterms:modified xsi:type="dcterms:W3CDTF">2024-10-31T00:57:00Z</dcterms:modified>
</cp:coreProperties>
</file>