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9D" w:rsidRDefault="005E0E9D">
      <w:pPr>
        <w:divId w:val="708841809"/>
        <w:rPr>
          <w:rFonts w:ascii="Barlow" w:eastAsia="Times New Roman" w:hAnsi="Barlow"/>
          <w:sz w:val="20"/>
          <w:szCs w:val="20"/>
        </w:rPr>
      </w:pPr>
    </w:p>
    <w:p w:rsidR="005E0E9D" w:rsidRDefault="00E35EF3">
      <w:pPr>
        <w:jc w:val="center"/>
        <w:divId w:val="1656257443"/>
        <w:rPr>
          <w:rFonts w:ascii="Times New Roman" w:eastAsia="Times New Roman" w:hAnsi="Times New Roman"/>
          <w:sz w:val="20"/>
          <w:szCs w:val="20"/>
        </w:rPr>
      </w:pPr>
      <w:r>
        <w:rPr>
          <w:rStyle w:val="Textoennegrita"/>
          <w:rFonts w:ascii="Calibri" w:eastAsia="Times New Roman" w:hAnsi="Calibri" w:cs="Calibri"/>
          <w:sz w:val="20"/>
          <w:szCs w:val="20"/>
        </w:rPr>
        <w:t>Ente Público: PODER EJECUTIVO</w:t>
      </w:r>
    </w:p>
    <w:p w:rsidR="005E0E9D" w:rsidRDefault="00E35EF3">
      <w:pPr>
        <w:jc w:val="center"/>
        <w:divId w:val="1656257443"/>
        <w:rPr>
          <w:rFonts w:eastAsia="Times New Roman"/>
          <w:sz w:val="20"/>
          <w:szCs w:val="20"/>
        </w:rPr>
      </w:pPr>
      <w:r>
        <w:rPr>
          <w:rStyle w:val="Textoennegrita"/>
          <w:rFonts w:ascii="Calibri" w:eastAsia="Times New Roman" w:hAnsi="Calibri" w:cs="Calibri"/>
          <w:sz w:val="20"/>
          <w:szCs w:val="20"/>
        </w:rPr>
        <w:t>Notas a los estados financieros</w:t>
      </w:r>
    </w:p>
    <w:p w:rsidR="005E0E9D" w:rsidRDefault="00E35EF3">
      <w:pPr>
        <w:jc w:val="center"/>
        <w:divId w:val="1656257443"/>
        <w:rPr>
          <w:rFonts w:eastAsia="Times New Roman"/>
          <w:sz w:val="20"/>
          <w:szCs w:val="20"/>
        </w:rPr>
      </w:pPr>
      <w:bookmarkStart w:id="0" w:name="_GoBack"/>
      <w:bookmarkEnd w:id="0"/>
      <w:r>
        <w:rPr>
          <w:rStyle w:val="Textoennegrita"/>
          <w:rFonts w:ascii="Calibri" w:eastAsia="Times New Roman" w:hAnsi="Calibri" w:cs="Calibri"/>
          <w:sz w:val="20"/>
          <w:szCs w:val="20"/>
        </w:rPr>
        <w:t>Al 31 de marzo de 2024.</w:t>
      </w:r>
    </w:p>
    <w:p w:rsidR="005E0E9D" w:rsidRDefault="00E35EF3">
      <w:pPr>
        <w:jc w:val="center"/>
        <w:divId w:val="1656257443"/>
        <w:rPr>
          <w:rFonts w:eastAsia="Times New Roman"/>
          <w:sz w:val="20"/>
          <w:szCs w:val="20"/>
        </w:rPr>
      </w:pPr>
      <w:r>
        <w:rPr>
          <w:rStyle w:val="Textoennegrita"/>
          <w:rFonts w:ascii="Calibri" w:eastAsia="Times New Roman" w:hAnsi="Calibri" w:cs="Calibri"/>
          <w:sz w:val="20"/>
          <w:szCs w:val="20"/>
        </w:rPr>
        <w:t>(Pesos)</w:t>
      </w:r>
    </w:p>
    <w:p w:rsidR="005E0E9D" w:rsidRDefault="00E35EF3">
      <w:pPr>
        <w:divId w:val="1757553226"/>
        <w:rPr>
          <w:rFonts w:ascii="Barlow" w:eastAsia="Times New Roman" w:hAnsi="Barlow"/>
          <w:sz w:val="20"/>
          <w:szCs w:val="20"/>
        </w:rPr>
      </w:pPr>
      <w:r>
        <w:rPr>
          <w:rStyle w:val="Textoennegrita"/>
          <w:rFonts w:ascii="Barlow" w:eastAsia="Times New Roman" w:hAnsi="Barlow"/>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31 de marzo de 2024.</w:t>
      </w:r>
    </w:p>
    <w:p w:rsidR="005E0E9D" w:rsidRDefault="00E35EF3">
      <w:pPr>
        <w:divId w:val="291374842"/>
        <w:rPr>
          <w:rFonts w:ascii="Barlow" w:eastAsia="Times New Roman" w:hAnsi="Barlow"/>
          <w:sz w:val="20"/>
          <w:szCs w:val="20"/>
        </w:rPr>
      </w:pPr>
      <w:r>
        <w:rPr>
          <w:rStyle w:val="Textoennegrita"/>
          <w:rFonts w:ascii="Barlow" w:eastAsia="Times New Roman" w:hAnsi="Barlow"/>
          <w:sz w:val="20"/>
          <w:szCs w:val="20"/>
        </w:rPr>
        <w:t>A) NOTAS DE GESTIÓN ADMINISTRATIVA</w:t>
      </w:r>
    </w:p>
    <w:p w:rsidR="005E0E9D" w:rsidRDefault="00E35EF3">
      <w:pPr>
        <w:divId w:val="1019309699"/>
        <w:rPr>
          <w:rFonts w:ascii="Barlow" w:eastAsia="Times New Roman" w:hAnsi="Barlow"/>
          <w:sz w:val="20"/>
          <w:szCs w:val="20"/>
        </w:rPr>
      </w:pPr>
      <w:r>
        <w:rPr>
          <w:rStyle w:val="Textoennegrita"/>
          <w:rFonts w:ascii="Barlow" w:eastAsia="Times New Roman" w:hAnsi="Barlow"/>
          <w:sz w:val="20"/>
          <w:szCs w:val="20"/>
        </w:rPr>
        <w:t>1.-Autorización e Historia</w:t>
      </w:r>
    </w:p>
    <w:p w:rsidR="005E0E9D" w:rsidRDefault="00E35EF3">
      <w:pPr>
        <w:divId w:val="1156343105"/>
        <w:rPr>
          <w:rFonts w:ascii="Barlow" w:eastAsia="Times New Roman" w:hAnsi="Barlow"/>
          <w:sz w:val="20"/>
          <w:szCs w:val="20"/>
        </w:rPr>
      </w:pPr>
      <w:r>
        <w:rPr>
          <w:rStyle w:val="Textoennegrita"/>
          <w:rFonts w:ascii="Barlow" w:eastAsia="Times New Roman" w:hAnsi="Barlow"/>
          <w:sz w:val="20"/>
          <w:szCs w:val="20"/>
        </w:rPr>
        <w:t xml:space="preserve">a) Fecha de creación del ente. </w:t>
      </w:r>
    </w:p>
    <w:p w:rsidR="005E0E9D" w:rsidRDefault="00E35EF3">
      <w:pPr>
        <w:ind w:firstLine="360"/>
        <w:divId w:val="107091526"/>
        <w:rPr>
          <w:rFonts w:ascii="Barlow" w:eastAsia="Times New Roman" w:hAnsi="Barlow"/>
          <w:sz w:val="20"/>
          <w:szCs w:val="20"/>
        </w:rPr>
      </w:pPr>
      <w:r>
        <w:rPr>
          <w:rFonts w:ascii="Barlow" w:eastAsia="Times New Roman" w:hAnsi="Barlow"/>
          <w:sz w:val="20"/>
          <w:szCs w:val="20"/>
        </w:rPr>
        <w:t>La fecha del Registro Federal de Contribuyentes de la Secretaría, corresponde al 12 de mayo de 1984, con base en la Ley Orgánica del Poder Ejecutivo del Estado de Yucatán de fecha 10 de mayo de 1984.</w:t>
      </w:r>
    </w:p>
    <w:p w:rsidR="005E0E9D" w:rsidRDefault="00E35EF3">
      <w:pPr>
        <w:divId w:val="210654503"/>
        <w:rPr>
          <w:rFonts w:ascii="Barlow" w:eastAsia="Times New Roman" w:hAnsi="Barlow"/>
          <w:sz w:val="20"/>
          <w:szCs w:val="20"/>
        </w:rPr>
      </w:pPr>
      <w:r>
        <w:rPr>
          <w:rStyle w:val="Textoennegrita"/>
          <w:rFonts w:ascii="Barlow" w:eastAsia="Times New Roman" w:hAnsi="Barlow"/>
          <w:sz w:val="20"/>
          <w:szCs w:val="20"/>
        </w:rPr>
        <w:t>b) Principales cambios en su estructura.</w:t>
      </w:r>
    </w:p>
    <w:p w:rsidR="005E0E9D" w:rsidRDefault="00E35EF3">
      <w:pPr>
        <w:ind w:firstLine="360"/>
        <w:divId w:val="1238514826"/>
        <w:rPr>
          <w:rFonts w:ascii="Barlow" w:eastAsia="Times New Roman" w:hAnsi="Barlow"/>
          <w:sz w:val="20"/>
          <w:szCs w:val="20"/>
        </w:rPr>
      </w:pPr>
      <w:r>
        <w:rPr>
          <w:rFonts w:ascii="Barlow" w:eastAsia="Times New Roman" w:hAnsi="Barlow"/>
          <w:sz w:val="20"/>
          <w:szCs w:val="20"/>
        </w:rPr>
        <w:t>Las modificaciones a la estructura de la administración Pública centralizada del Gobierno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 la última actualización se publicó el 22 de Abril de 2019.</w:t>
      </w:r>
    </w:p>
    <w:p w:rsidR="005E0E9D" w:rsidRPr="0005019D" w:rsidRDefault="00E35EF3">
      <w:pPr>
        <w:ind w:firstLine="360"/>
        <w:divId w:val="167986659"/>
        <w:rPr>
          <w:rFonts w:ascii="Barlow" w:eastAsia="Times New Roman" w:hAnsi="Barlow"/>
          <w:sz w:val="20"/>
          <w:szCs w:val="20"/>
        </w:rPr>
      </w:pPr>
      <w:r>
        <w:rPr>
          <w:rFonts w:ascii="Barlow" w:eastAsia="Times New Roman" w:hAnsi="Barlow"/>
          <w:sz w:val="20"/>
          <w:szCs w:val="20"/>
        </w:rPr>
        <w:t xml:space="preserve">En el decreto número 28 de fecha 1 de enero del 2013 se reforman, derogan y adicionan diversas disposiciones del Reglamento del Código de la Administración Pública de </w:t>
      </w:r>
      <w:r w:rsidRPr="0005019D">
        <w:rPr>
          <w:rFonts w:ascii="Barlow" w:eastAsia="Times New Roman" w:hAnsi="Barlow"/>
          <w:sz w:val="20"/>
          <w:szCs w:val="20"/>
        </w:rPr>
        <w:t xml:space="preserve">Yucatán. La última actualización se </w:t>
      </w:r>
      <w:r w:rsidR="008E4C54" w:rsidRPr="0005019D">
        <w:rPr>
          <w:rFonts w:ascii="Barlow" w:eastAsia="Times New Roman" w:hAnsi="Barlow"/>
          <w:sz w:val="20"/>
          <w:szCs w:val="20"/>
        </w:rPr>
        <w:t>publicó el 6 de septiembre de 2023</w:t>
      </w:r>
      <w:r w:rsidRPr="0005019D">
        <w:rPr>
          <w:rFonts w:ascii="Barlow" w:eastAsia="Times New Roman" w:hAnsi="Barlow"/>
          <w:sz w:val="20"/>
          <w:szCs w:val="20"/>
        </w:rPr>
        <w:t xml:space="preserve">. </w:t>
      </w:r>
    </w:p>
    <w:p w:rsidR="005E0E9D" w:rsidRPr="0005019D" w:rsidRDefault="00E35EF3">
      <w:pPr>
        <w:ind w:firstLine="360"/>
        <w:divId w:val="721296665"/>
        <w:rPr>
          <w:rFonts w:ascii="Barlow" w:eastAsia="Times New Roman" w:hAnsi="Barlow"/>
          <w:sz w:val="20"/>
          <w:szCs w:val="20"/>
        </w:rPr>
      </w:pPr>
      <w:r w:rsidRPr="0005019D">
        <w:rPr>
          <w:rFonts w:ascii="Barlow" w:eastAsia="Times New Roman" w:hAnsi="Barlow"/>
          <w:sz w:val="20"/>
          <w:szCs w:val="20"/>
        </w:rPr>
        <w:t xml:space="preserve">Se realizó la reestructuración de la Administración Pública con el mismo propósito de racionalizar el gasto público, optimizar el presupuesto e incrementar la eficiencia. Las modificaciones consistieron en robustecer áreas sustantivas y desaparecer organismos cuyas funciones podían ser realizadas por otros, adelgazando así la estructura gubernamental. </w:t>
      </w:r>
    </w:p>
    <w:p w:rsidR="005E0E9D" w:rsidRPr="0005019D" w:rsidRDefault="008C0F77">
      <w:pPr>
        <w:ind w:firstLine="360"/>
        <w:divId w:val="1435246397"/>
        <w:rPr>
          <w:rFonts w:ascii="Barlow" w:eastAsia="Times New Roman" w:hAnsi="Barlow"/>
          <w:sz w:val="20"/>
          <w:szCs w:val="20"/>
        </w:rPr>
      </w:pPr>
      <w:r w:rsidRPr="0005019D">
        <w:rPr>
          <w:rFonts w:ascii="Barlow" w:eastAsia="Times New Roman" w:hAnsi="Barlow"/>
          <w:sz w:val="20"/>
          <w:szCs w:val="20"/>
        </w:rPr>
        <w:t>En el ejercicio 2023 la Fiscalía General del Estado, pasó a ser un prganismo autónomo y dejó de ser una dependencia de</w:t>
      </w:r>
      <w:r w:rsidR="00E35EF3" w:rsidRPr="0005019D">
        <w:rPr>
          <w:rFonts w:ascii="Barlow" w:eastAsia="Times New Roman" w:hAnsi="Barlow"/>
          <w:sz w:val="20"/>
          <w:szCs w:val="20"/>
        </w:rPr>
        <w:t xml:space="preserve"> la administración Pública centralizada del Gobierno del Estado de </w:t>
      </w:r>
      <w:r w:rsidRPr="0005019D">
        <w:rPr>
          <w:rFonts w:ascii="Barlow" w:eastAsia="Times New Roman" w:hAnsi="Barlow"/>
          <w:sz w:val="20"/>
          <w:szCs w:val="20"/>
        </w:rPr>
        <w:t>Yucatán.</w:t>
      </w:r>
    </w:p>
    <w:p w:rsidR="005E0E9D" w:rsidRPr="0005019D" w:rsidRDefault="00E35EF3">
      <w:pPr>
        <w:divId w:val="156267726"/>
        <w:rPr>
          <w:rFonts w:ascii="Barlow" w:eastAsia="Times New Roman" w:hAnsi="Barlow"/>
          <w:sz w:val="20"/>
          <w:szCs w:val="20"/>
        </w:rPr>
      </w:pPr>
      <w:r w:rsidRPr="0005019D">
        <w:rPr>
          <w:rStyle w:val="Textoennegrita"/>
          <w:rFonts w:ascii="Barlow" w:eastAsia="Times New Roman" w:hAnsi="Barlow"/>
          <w:sz w:val="20"/>
          <w:szCs w:val="20"/>
        </w:rPr>
        <w:lastRenderedPageBreak/>
        <w:t>2.-Panorama Económico y Financiero</w:t>
      </w:r>
    </w:p>
    <w:p w:rsidR="005E0E9D" w:rsidRPr="0005019D" w:rsidRDefault="00E35EF3">
      <w:pPr>
        <w:divId w:val="1024213568"/>
        <w:rPr>
          <w:rStyle w:val="Textoennegrita"/>
          <w:rFonts w:ascii="Barlow" w:eastAsia="Times New Roman" w:hAnsi="Barlow"/>
          <w:sz w:val="20"/>
          <w:szCs w:val="20"/>
        </w:rPr>
      </w:pPr>
      <w:r w:rsidRPr="0005019D">
        <w:rPr>
          <w:rStyle w:val="Textoennegrita"/>
          <w:rFonts w:ascii="Barlow" w:eastAsia="Times New Roman" w:hAnsi="Barlow"/>
          <w:sz w:val="20"/>
          <w:szCs w:val="20"/>
        </w:rPr>
        <w:t>2.1 Panorama económico nacional</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 xml:space="preserve">Conforme a la información publicada en la página web oficial del Banco de México en su informe trimestral octubre – diciembre 2023 publicado el 28 de febrero 2024 en el cual advierte que las cifras son de carácter preliminar y están sujetas a revisiones indica en el tercer trimestre. </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En 2023, la economía mexicana exhibió un crecimiento robusto de 3.2%. La expansión en el año se dio en el contexto de una mayor disipación de algunos de los efectos ocasionados por la pandemia, de la resiliencia de la economía de Estados Unidos y de avances en diversos proyectos de infraestructura pública. Este aumento se presentó luego de incrementos respectivos de 5.7 y 3.9% en 2021 y 2022. A lo largo de 2023 se registraron variaciones trimestrales desestacionalizadas de 0.54, 0.81, 1.06 y 0.08% en cada uno de los trimestres, respectivamente. Así, al cierre del año, la economía nacional presentó una importante desaceleración.</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Desde una perspectiva sectorial, el menor dinamismo de la economía mexicana hacia el cierre del año fue resultado de un debilitamiento de los tres grandes sectores de actividad. En particular, las actividades secundarias disminuyeron 0.13% respecto del tercer trimestre, mientras que los servicios exhibieron un crecimiento de 0.26%. Ello, luego de que ambos agregados mostraran elevadas tasas de crecimiento en los dos trimestres previos. Por su parte, las actividades primarias retrocedieron 1.04%, aunque permanecieron en niveles elevados</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Durante el periodo octubre-diciembre de 2023, el mercado laboral continuó mostrando fortaleza. En particular, en el cuarto trimestre de 2023 las tasas de desocupación nacional y urbana continuaron ubicándose en niveles históricamente bajos. La primera se situó en 2.8% con cifras desestacionalizadas, mismo nivel promedio que el del tercer trimestre, al tiempo que la segunda se ubicó en 3.3%, tasa similar a la de 3.4% del trimestre previo. A su vez, las tasas de subocupación y de desocupación extendida se situaron en niveles similares a los del trimestre previo. En particular, la tasa de subocupación se situó en 8.0% y la tasa de desocupación extendida se ubicó en 10.5%.</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Lo anterior se dio en un contexto en el que la tasa de participación y la razón de ocupación a población en edad de trabajar retrocedieron ligeramente respecto del tercer trimestre. Con cifras desestacionalizadas, en el último trimestre de 2023 la tasa de participación se situó en promedio en 60.2% de la población de 15 años y más, ligeramente por debajo de la tasa de 60.4% registrada en el tercer trimestre. Por su parte, la razón de ocupación a población en edad de trabajar se ubicó en 58.4% en el periodo octubre-diciembre, 0.3 puntos porcentuales por debajo de la registrada en el trimestre previo. En el cuarto trimestre de 2023 y en enero de 2024, con cifras ajustadas por estacionalidad, el empleo formal afiliado al IMSS continuó creciendo, aunque a un ritmo menor que en la primera mitad de 2023.</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lastRenderedPageBreak/>
        <w:t>La tasa de informalidad laboral en el cuarto trimestre de 2023 mantuvo cierta tendencia a la baja. Su nivel de 54.6% en promedio con cifras desestacionalizadas fue ligeramente menor al de 54.9% del trimestre anterior. Por su parte, la tasa de ocupación en el sector informal se ubicó en 28.2% de la población ocupada, mismo nivel que el observado en el tercer trimestre.</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En cuanto a indicadores del mercado laboral por género, con cifras desestacionalizadas en el cuarto trimestre la tasa de desocupación de los hombres fue de 2.8% y la correspondiente a las mujeres fue de 2.7%. De este modo, ambas se mantuvieron en niveles particularmente bajos. La tasa de participación de las mujeres se ubicó en 46.1% y su razón de ocupación a población en edad de trabajar en 44.8%. Así, a pesar de que ambos indicadores disminuyeron en el margen, permanecieron en niveles relativamente elevados. En el caso de los hombres, la tasa de participación y la razón de ocupación a población en edad de trabajar han presentado pocos cambios en los últimos trimestres. En el trimestre octubre-diciembre de 2023, se situaron en 76.2 y 74.0%, respectivamente. Respecto de los distintos grupos de edad, en el cuarto trimestre de 2023 la población ocupada de menos de 25 años se ubicó 4.1% por arriba del nivel reportado en el primer trimestre de 2020. A su vez, la de 25 a 64 años fue superior en 8.3% y la del grupo de 65 años y más en 12.9%.</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Con base en la Encuesta Nacional de Ocupación y Empleo trimestral, se estima que en el último trimestre de 2023 el salario promedio para la economía en su conjunto presentó un alza anual de 12.3%. Dicha variación salarial fue superior a la de 11.5% calculada para el tercer trimestre. A su vez, en el cuarto trimestre de 2023 el salario diario medio asociado con trabajadores afiliados en el IMSS creció 10.6% en su comparación anual. Este aumento fue igual al reportado el trimestre anterior. Posteriormente, en enero de 2024 dicho salario medio exhibió un aumento anual de 10.4%. La variación porcentual entre diciembre de 2023 y enero de 2024 fue de 6.6%. Esta variación se dio en un contexto en el que el salario mínimo para 2024 se incrementó en 20%, misma revisión porcentual que en 2023. Como resultado de los ajustes nominales descritos y considerando el comportamiento de la inflación, al cierre de 2023 los salarios promedio del total de la economía y de los trabajadores asegurados en el IMSS se ubicaron en términos reales por arriba del nivel del cuarto trimestre de 2022.</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En el cuarto trimestre de 2023, las fuentes totales de recursos financieros de la economía registraron un flujo anual ligeramente mayor al del trimestre previo. En particular, este pasó de 7.5% del PIB a 7.8% entre los trimestres señalados. En su interior, las fuentes internas continuaron expandiéndose en magnitud significativa, alcanzando un flujo anual cercano al máximo histórico. En contraste, el flujo anual de fuentes externas siguió exhibiendo niveles negativos. Respecto de los usos de recursos, los flujos de financiamiento internos destinados tanto al sector público como al sector privado continuaron siendo altos, si bien mostraron cierta moderación respecto al trimestre previo.</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lastRenderedPageBreak/>
        <w:t>Entre el tercer y el cuarto trimestre de 2023, la inflación general anual descendió de 4.63 a 4.41%. Este resultado reflejó la disminución que siguió exhibiendo la inflación subyacente, la cual más que compensó el aumento registrado en la no subyacente. En particular, el incremento de la inflación no subyacente ocasionó que la inflación general anual repuntara de noviembre de 2023 a enero de 2024, alcanzando 4.88% en esta última fecha. Sin embargo, en la primera quincena de febrero de 2024, la inflación no subyacente presentó cierta reversión, lo que aunado a la reducción que mantuvo la inflación subyacente, coadyuvó para que la inflación general anual disminuyera a 4.45%.</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Entre los trimestres señalados, la inflación subyacente anual descendió de 6.16 a 5.30%, ubicándose en 4.63% en la primera quincena de febrero de 2024. Esta variable refleja mejor el comportamiento de las presiones inflacionarias en la economía, pues excluye a los bienes y servicios caracterizados por su elevada volatilidad de precios y a los que están sujetos a decisiones de carácter administrativo en la determinación de sus precios. Sin embargo, en su interior continuó observándose un comportamiento diferenciado. La inflación de las mercancías acumuló a enero de 2024 catorce meses a la baja, conforme se han ido disipando los efectos de los choques derivados de la pandemia y de la guerra en Ucrania que la afectaron y debido a los menores niveles que ha exhibido el tipo de cambio en relación con los observados a inicios de 2023. En contraste, la de los servicios mantuvo niveles elevados y continuó sin presentar una clara tendencia a la baja, afectada por presiones relacionadas con costos de operación y su traspaso a los precios al consumidor ante la recuperación de su demanda luego del confinamiento. Por su parte, la inflación no subyacente anual aumentó de 0.10 a 1.79% entre el tercer y el cuarto trimestre de 2023, situándose en 3.93% en la primera quincena de febrero de 2024.</w:t>
      </w:r>
    </w:p>
    <w:p w:rsidR="008C0F77" w:rsidRPr="0005019D" w:rsidRDefault="008C0F77" w:rsidP="008C0F77">
      <w:pPr>
        <w:autoSpaceDE w:val="0"/>
        <w:autoSpaceDN w:val="0"/>
        <w:adjustRightInd w:val="0"/>
        <w:spacing w:line="360" w:lineRule="auto"/>
        <w:jc w:val="both"/>
        <w:divId w:val="1024213568"/>
        <w:rPr>
          <w:rFonts w:ascii="Barlow" w:hAnsi="Barlow" w:cs="Arial"/>
          <w:sz w:val="20"/>
          <w:szCs w:val="20"/>
        </w:rPr>
      </w:pPr>
      <w:r w:rsidRPr="0005019D">
        <w:rPr>
          <w:rFonts w:ascii="Barlow" w:hAnsi="Barlow" w:cs="Arial"/>
          <w:sz w:val="20"/>
          <w:szCs w:val="20"/>
        </w:rPr>
        <w:t>Ante el aumento que ha exhibido la inflación no subyacente, la tendencia de las variaciones mensuales de precios ajustadas por estacionalidad y anualizadas del índice general (media móvil de tres observaciones) repuntó a finales del cuarto trimestre de 2023 y exhibió incrementos adicionales en enero de 2024, si bien descendió en su lectura más reciente. De manera relacionada, la canasta del Índice Nacional de Precios al Consumidor (INPC) con variaciones de precios ajustadas por estacionalidad y anualizadas mayores a 10% se incrementó en el trimestre de referencia respecto al trimestre previo, destacando el aumento observado en diciembre de 2023. Sin embargo, parte de este incremento se revirtió en lo que va de 2024. Adicionalmente, la proporción de la canasta con variaciones mensuales de precios menores o iguales a 3% siguió incrementándose en el trimestre de referencia y a principios de 2024, representando en su lectura más reciente cerca de dos quintos del total. El Indicador de Media Truncada para la inflación general continuó descendiendo en el cuarto trimestre de 2023, lo que sugiere que la inflación general ha estado influida por variaciones extremas de precios al alza de productos particulares y su incremento no responde a presiones generalizadas. En la primera quincena de febrero de 2024, este Indicador se situó en 4.19%</w:t>
      </w:r>
    </w:p>
    <w:p w:rsidR="008C0F77" w:rsidRPr="0005019D" w:rsidRDefault="008C0F77">
      <w:pPr>
        <w:divId w:val="1024213568"/>
        <w:rPr>
          <w:rFonts w:ascii="Barlow" w:eastAsia="Times New Roman" w:hAnsi="Barlow"/>
          <w:sz w:val="20"/>
          <w:szCs w:val="20"/>
        </w:rPr>
      </w:pPr>
    </w:p>
    <w:p w:rsidR="005E0E9D" w:rsidRPr="0005019D" w:rsidRDefault="00E35EF3">
      <w:pPr>
        <w:divId w:val="38672081"/>
        <w:rPr>
          <w:rFonts w:ascii="Barlow" w:eastAsia="Times New Roman" w:hAnsi="Barlow"/>
          <w:sz w:val="20"/>
          <w:szCs w:val="20"/>
        </w:rPr>
      </w:pPr>
      <w:r w:rsidRPr="0005019D">
        <w:rPr>
          <w:rStyle w:val="Textoennegrita"/>
          <w:rFonts w:ascii="Barlow" w:eastAsia="Times New Roman" w:hAnsi="Barlow"/>
          <w:sz w:val="20"/>
          <w:szCs w:val="20"/>
        </w:rPr>
        <w:lastRenderedPageBreak/>
        <w:t>2.2 Panorama económico local</w:t>
      </w:r>
    </w:p>
    <w:p w:rsidR="008C0F77" w:rsidRPr="0005019D" w:rsidRDefault="008C0F77" w:rsidP="008C0F77">
      <w:pPr>
        <w:autoSpaceDE w:val="0"/>
        <w:autoSpaceDN w:val="0"/>
        <w:adjustRightInd w:val="0"/>
        <w:spacing w:line="360" w:lineRule="auto"/>
        <w:jc w:val="both"/>
        <w:divId w:val="1653948860"/>
        <w:rPr>
          <w:rFonts w:ascii="Barlow" w:hAnsi="Barlow" w:cs="Arial"/>
          <w:sz w:val="20"/>
          <w:szCs w:val="20"/>
        </w:rPr>
      </w:pPr>
      <w:r w:rsidRPr="0005019D">
        <w:rPr>
          <w:rFonts w:ascii="Barlow" w:hAnsi="Barlow" w:cs="Arial"/>
          <w:sz w:val="20"/>
          <w:szCs w:val="20"/>
        </w:rPr>
        <w:t>Conforme al Boletín Año X Vol. 3 Indicadores Económicos del Estado de Yucatán publicado en la página oficial de la Universidad Autónoma del Estado de Yucatán (UADY) Facultad de Contaduría y Administración:</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La inflación mensual en Mérida fue de 0.66% en febrero de 2024, resultando una ligera disminución en comparación con el mes de enero de 2024. Los precios en Mérida han acumulado durante el año 2024 1.35%, mientras que a nivel nacional ha acumulado 0.99 puntos porcentuales.</w:t>
      </w:r>
      <w:r w:rsidRPr="0005019D">
        <w:t xml:space="preserve"> </w:t>
      </w:r>
      <w:r w:rsidRPr="0005019D">
        <w:rPr>
          <w:rStyle w:val="Textoennegrita"/>
          <w:rFonts w:ascii="Barlow" w:hAnsi="Barlow" w:cs="Arial"/>
          <w:b w:val="0"/>
          <w:bCs w:val="0"/>
          <w:sz w:val="20"/>
          <w:szCs w:val="20"/>
        </w:rPr>
        <w:t>La inflación anualizada de Mérida, al mes de febrero de 2024, fue de 5.89%, mayor a la variación anual de la región que fue de 4.91% y mayor a la inflación anualizada nacional de 4.40%.</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Durante el tercer trimestre del 2023 el PIB Estatal fue de 5.9% (Variación Porcentual Anual), sobresaliendo las actividades secundarias con una variación porcentual anual de 11.7%, seguidas de las actividades primarias con un 10.1%.</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El empleo formal en el Estado de Yucatán al mes de febrero del 2024 registra 437,479 asegurados en el IMSS; lo anterior indica un aumento de 0.20% en el número de trabajadores asegurados. Los trabajadores asegurados permanentes también registran un ligero aumento respecto al mes de enero de 2024 en un 0.27%.</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El salario mínimo real de febrero de 2024 es de $186.21 observándose una disminución en el poder adquisitivo de 18 centavos (-0.09%).</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Por sector de actividad y con series desestacionalizadas, durante el cuarto trimestre de 2023 a nivel estatal la productividad laboral con base en horas trabajadas en los establecimientos manufactureros tuvo una variación negativa de -4.7%, mientras que en las empresas de comercio al por mayor se observó una variación igualmente negativa con respecto al mismo trimestre del año anterior de -0.3%, sin embargo en las empresas de comercio al por menor tuvieron una variación positiva de 0.6 puntos porcentuales.</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Se destaca que la tasa de desocupación en Yucatán, al mes de enero 2024 fue del 1.6% por debajo de la desocupación nacional que fue de 2.9%, en este mismo periodo.</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Durante el cuarto trimestre del 2023, la tasa de participación laboral en el estado fue de 65.8%.</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La ocupación laboral en la industria manufacturera en el estado, durante el cuarto trimestre de 2023, fue de 174,351 empleados, sin embargo, la mayor ocupación laboral se concentra en Comercio y Otros servicios con 232,810 y 443,174, respectivamente.</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El costo unitario de la mano de obra trabajada en los establecimientos manufactureros de Yucatán tuvo una variación positiva de 10.6%, mientras que las empresas comerciales al mayoreo mostraron una variación positiva de 7.8%, y las empresas comerciales al por menor presentan una variación positiva de 8.2%. El Costo Unitario de la Mano de Obra Nacional por hora trabajada en los establecimientos manufactureros tuvo una variación de 5.0% en el cuarto trimestre de 2023 frente al mismo trimestre del año anterior. Con base en el personal ocupado total, el Costo Unitario de la Mano de Obra en las empresas comerciales dedicadas al mayoreo muestra una variación de 8.1% y en las empresas de comercio al menudeo una variación de 7.8%.</w:t>
      </w:r>
    </w:p>
    <w:p w:rsidR="008C0F77" w:rsidRPr="0005019D" w:rsidRDefault="008C0F77" w:rsidP="008C0F77">
      <w:pPr>
        <w:autoSpaceDE w:val="0"/>
        <w:autoSpaceDN w:val="0"/>
        <w:adjustRightInd w:val="0"/>
        <w:spacing w:line="360" w:lineRule="auto"/>
        <w:jc w:val="both"/>
        <w:divId w:val="1653948860"/>
        <w:rPr>
          <w:rStyle w:val="Textoennegrita"/>
          <w:rFonts w:ascii="Barlow" w:hAnsi="Barlow" w:cs="Arial"/>
          <w:b w:val="0"/>
          <w:bCs w:val="0"/>
          <w:sz w:val="20"/>
          <w:szCs w:val="20"/>
        </w:rPr>
      </w:pPr>
      <w:r w:rsidRPr="0005019D">
        <w:rPr>
          <w:rStyle w:val="Textoennegrita"/>
          <w:rFonts w:ascii="Barlow" w:hAnsi="Barlow" w:cs="Arial"/>
          <w:b w:val="0"/>
          <w:bCs w:val="0"/>
          <w:sz w:val="20"/>
          <w:szCs w:val="20"/>
        </w:rPr>
        <w:t>Las ventas al mayoreo en Yucatán en enero de 2024 indicaron una variación de -2.0%; las ventas al por menor registran una variación del 1.4% en igual período. Durante enero de 2024, el porcentaje general de ocupación hotelera en el Estado de Yucatán se ubicó en 54.4%, lo cual presentó una disminución en relación al mismo mes del año anterior. De igual manera, se observa un aumento en las cifras de llegada de turistas nacionales a la ciudad de Mérida en el mes de enero 2024 respecto a enero 2023; sin embargo, en cuanto a turistas internacionales, se presenta una disminución en el mes de enero 2024 respecto a enero 2023; respecto diciembre de 2023, se encuentra una disminución de turistas en ambos rubros.</w:t>
      </w:r>
    </w:p>
    <w:p w:rsidR="00135F45" w:rsidRPr="0005019D" w:rsidRDefault="00135F45" w:rsidP="00135F45">
      <w:pPr>
        <w:spacing w:line="360" w:lineRule="auto"/>
        <w:jc w:val="both"/>
        <w:divId w:val="1925263781"/>
        <w:rPr>
          <w:rStyle w:val="Textoennegrita"/>
          <w:rFonts w:ascii="Barlow" w:hAnsi="Barlow" w:cs="Arial"/>
          <w:b w:val="0"/>
          <w:sz w:val="20"/>
          <w:szCs w:val="20"/>
        </w:rPr>
      </w:pPr>
      <w:r w:rsidRPr="0005019D">
        <w:rPr>
          <w:rStyle w:val="Textoennegrita"/>
          <w:rFonts w:ascii="Barlow" w:hAnsi="Barlow" w:cs="Arial"/>
          <w:b w:val="0"/>
          <w:sz w:val="20"/>
          <w:szCs w:val="20"/>
        </w:rPr>
        <w:t>Con información del cuarto trimestre 2023 Yucatán se ha catalogado con un endeudamiento sostenible, como resultado de la evaluación realizada por el Sistema de Alertas, a través de los indicadores establecidos para tal fin, en los que se puede observar que la Deuda Pública y Obligaciones representa el 36.9% sobre Ingresos de Libre Disposición, así como el  Servicio de la Deuda y de Obligaciones sobre los Ingresos de Libre Disposición representa el 5.5% y las Obligaciones a Corto Plazo y Proveedores y Contratistas sobre Ingresos Totales es de -2.3%.”</w:t>
      </w:r>
    </w:p>
    <w:p w:rsidR="005E0E9D" w:rsidRPr="0005019D" w:rsidRDefault="00E35EF3">
      <w:pPr>
        <w:divId w:val="571159117"/>
        <w:rPr>
          <w:rFonts w:ascii="Barlow" w:eastAsia="Times New Roman" w:hAnsi="Barlow"/>
          <w:sz w:val="20"/>
          <w:szCs w:val="20"/>
        </w:rPr>
      </w:pPr>
      <w:r w:rsidRPr="0005019D">
        <w:rPr>
          <w:rStyle w:val="Textoennegrita"/>
          <w:rFonts w:ascii="Barlow" w:eastAsia="Times New Roman" w:hAnsi="Barlow"/>
          <w:sz w:val="20"/>
          <w:szCs w:val="20"/>
        </w:rPr>
        <w:t>3.- Organización y Objeto Social</w:t>
      </w:r>
    </w:p>
    <w:p w:rsidR="005E0E9D" w:rsidRPr="0005019D" w:rsidRDefault="00E35EF3">
      <w:pPr>
        <w:divId w:val="1086875643"/>
        <w:rPr>
          <w:rFonts w:ascii="Barlow" w:eastAsia="Times New Roman" w:hAnsi="Barlow"/>
          <w:sz w:val="20"/>
          <w:szCs w:val="20"/>
        </w:rPr>
      </w:pPr>
      <w:r w:rsidRPr="0005019D">
        <w:rPr>
          <w:rStyle w:val="Textoennegrita"/>
          <w:rFonts w:ascii="Barlow" w:eastAsia="Times New Roman" w:hAnsi="Barlow"/>
          <w:sz w:val="20"/>
          <w:szCs w:val="20"/>
        </w:rPr>
        <w:t>a) Objeto social.</w:t>
      </w:r>
    </w:p>
    <w:p w:rsidR="005E0E9D" w:rsidRPr="0005019D" w:rsidRDefault="00E35EF3">
      <w:pPr>
        <w:ind w:firstLine="600"/>
        <w:divId w:val="545873261"/>
        <w:rPr>
          <w:rFonts w:ascii="Barlow" w:eastAsia="Times New Roman" w:hAnsi="Barlow"/>
          <w:sz w:val="20"/>
          <w:szCs w:val="20"/>
        </w:rPr>
      </w:pPr>
      <w:r w:rsidRPr="0005019D">
        <w:rPr>
          <w:rFonts w:ascii="Barlow" w:eastAsia="Times New Roman" w:hAnsi="Barlow"/>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5E0E9D" w:rsidRPr="0005019D" w:rsidRDefault="00E35EF3">
      <w:pPr>
        <w:divId w:val="1017736745"/>
        <w:rPr>
          <w:rFonts w:ascii="Barlow" w:eastAsia="Times New Roman" w:hAnsi="Barlow"/>
          <w:sz w:val="20"/>
          <w:szCs w:val="20"/>
        </w:rPr>
      </w:pPr>
      <w:r w:rsidRPr="0005019D">
        <w:rPr>
          <w:rStyle w:val="Textoennegrita"/>
          <w:rFonts w:ascii="Barlow" w:eastAsia="Times New Roman" w:hAnsi="Barlow"/>
          <w:sz w:val="20"/>
          <w:szCs w:val="20"/>
        </w:rPr>
        <w:t>b) Principal actividad</w:t>
      </w:r>
    </w:p>
    <w:p w:rsidR="005E0E9D" w:rsidRPr="0005019D" w:rsidRDefault="00E35EF3">
      <w:pPr>
        <w:ind w:firstLine="600"/>
        <w:divId w:val="1094088483"/>
        <w:rPr>
          <w:rFonts w:ascii="Barlow" w:eastAsia="Times New Roman" w:hAnsi="Barlow"/>
          <w:sz w:val="20"/>
          <w:szCs w:val="20"/>
        </w:rPr>
      </w:pPr>
      <w:r w:rsidRPr="0005019D">
        <w:rPr>
          <w:rFonts w:ascii="Barlow" w:eastAsia="Times New Roman" w:hAnsi="Barlow"/>
          <w:sz w:val="20"/>
          <w:szCs w:val="20"/>
        </w:rPr>
        <w:t>La administración Pública centralizada del Estado, es la parte del Poder Ejecutivo cuya responsabilidad es la realización de actos administrativos, jurídicos y materiales, para la prestación de los servicios públicos, para satisfacer las necesidades colectivas.</w:t>
      </w:r>
    </w:p>
    <w:p w:rsidR="00135F45" w:rsidRPr="0005019D" w:rsidRDefault="00135F45">
      <w:pPr>
        <w:ind w:firstLine="600"/>
        <w:divId w:val="1094088483"/>
        <w:rPr>
          <w:rFonts w:ascii="Barlow" w:eastAsia="Times New Roman" w:hAnsi="Barlow"/>
          <w:sz w:val="20"/>
          <w:szCs w:val="20"/>
        </w:rPr>
      </w:pPr>
    </w:p>
    <w:p w:rsidR="005E0E9D" w:rsidRPr="0005019D" w:rsidRDefault="00E35EF3">
      <w:pPr>
        <w:divId w:val="713164151"/>
        <w:rPr>
          <w:rFonts w:ascii="Barlow" w:eastAsia="Times New Roman" w:hAnsi="Barlow"/>
          <w:sz w:val="20"/>
          <w:szCs w:val="20"/>
        </w:rPr>
      </w:pPr>
      <w:r w:rsidRPr="0005019D">
        <w:rPr>
          <w:rStyle w:val="Textoennegrita"/>
          <w:rFonts w:ascii="Barlow" w:eastAsia="Times New Roman" w:hAnsi="Barlow"/>
          <w:sz w:val="20"/>
          <w:szCs w:val="20"/>
        </w:rPr>
        <w:lastRenderedPageBreak/>
        <w:t>c) Ejercicio Fiscal 2024.</w:t>
      </w:r>
    </w:p>
    <w:p w:rsidR="005E0E9D" w:rsidRPr="0005019D" w:rsidRDefault="00E35EF3">
      <w:pPr>
        <w:ind w:firstLine="600"/>
        <w:divId w:val="654725590"/>
        <w:rPr>
          <w:rFonts w:ascii="Barlow" w:eastAsia="Times New Roman" w:hAnsi="Barlow"/>
          <w:sz w:val="20"/>
          <w:szCs w:val="20"/>
        </w:rPr>
      </w:pPr>
      <w:r w:rsidRPr="0005019D">
        <w:rPr>
          <w:rFonts w:ascii="Barlow" w:eastAsia="Times New Roman" w:hAnsi="Barlow"/>
          <w:sz w:val="20"/>
          <w:szCs w:val="20"/>
        </w:rPr>
        <w:t>Las cifras contenidas en los Estados Financieros y que se mencionan en estas notas se presentan al 31 de marzo del Ejercicio Fiscal 2024.</w:t>
      </w:r>
    </w:p>
    <w:p w:rsidR="005E0E9D" w:rsidRPr="0005019D" w:rsidRDefault="00E35EF3">
      <w:pPr>
        <w:divId w:val="552734132"/>
        <w:rPr>
          <w:rFonts w:ascii="Barlow" w:eastAsia="Times New Roman" w:hAnsi="Barlow"/>
          <w:sz w:val="20"/>
          <w:szCs w:val="20"/>
        </w:rPr>
      </w:pPr>
      <w:r w:rsidRPr="0005019D">
        <w:rPr>
          <w:rStyle w:val="Textoennegrita"/>
          <w:rFonts w:ascii="Barlow" w:eastAsia="Times New Roman" w:hAnsi="Barlow"/>
          <w:sz w:val="20"/>
          <w:szCs w:val="20"/>
        </w:rPr>
        <w:t>d) Régimen Jurídico</w:t>
      </w:r>
    </w:p>
    <w:p w:rsidR="005E0E9D" w:rsidRPr="0005019D" w:rsidRDefault="00E35EF3">
      <w:pPr>
        <w:divId w:val="995037347"/>
        <w:rPr>
          <w:rFonts w:ascii="Barlow" w:eastAsia="Times New Roman" w:hAnsi="Barlow"/>
          <w:sz w:val="20"/>
          <w:szCs w:val="20"/>
        </w:rPr>
      </w:pPr>
      <w:r w:rsidRPr="0005019D">
        <w:rPr>
          <w:rFonts w:ascii="Barlow" w:eastAsia="Times New Roman" w:hAnsi="Barlow"/>
          <w:sz w:val="20"/>
          <w:szCs w:val="20"/>
        </w:rPr>
        <w:t>El Poder Ejecutivo está regulado por lo siguiente:</w:t>
      </w:r>
    </w:p>
    <w:p w:rsidR="005E0E9D" w:rsidRPr="0005019D" w:rsidRDefault="00E35EF3">
      <w:pPr>
        <w:divId w:val="936210178"/>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Constitución de los Estados Unidos Mexicanos.</w:t>
      </w:r>
    </w:p>
    <w:p w:rsidR="005E0E9D" w:rsidRPr="0005019D" w:rsidRDefault="00E35EF3">
      <w:pPr>
        <w:divId w:val="1162045153"/>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Constituci</w:t>
      </w:r>
      <w:r w:rsidRPr="0005019D">
        <w:rPr>
          <w:rFonts w:ascii="Barlow" w:eastAsia="Times New Roman" w:hAnsi="Barlow" w:cs="Barlow"/>
          <w:sz w:val="20"/>
          <w:szCs w:val="20"/>
        </w:rPr>
        <w:t>ó</w:t>
      </w:r>
      <w:r w:rsidRPr="0005019D">
        <w:rPr>
          <w:rFonts w:ascii="Barlow" w:eastAsia="Times New Roman" w:hAnsi="Barlow"/>
          <w:sz w:val="20"/>
          <w:szCs w:val="20"/>
        </w:rPr>
        <w:t>n Pol</w:t>
      </w:r>
      <w:r w:rsidRPr="0005019D">
        <w:rPr>
          <w:rFonts w:ascii="Barlow" w:eastAsia="Times New Roman" w:hAnsi="Barlow" w:cs="Barlow"/>
          <w:sz w:val="20"/>
          <w:szCs w:val="20"/>
        </w:rPr>
        <w:t>í</w:t>
      </w:r>
      <w:r w:rsidRPr="0005019D">
        <w:rPr>
          <w:rFonts w:ascii="Barlow" w:eastAsia="Times New Roman" w:hAnsi="Barlow"/>
          <w:sz w:val="20"/>
          <w:szCs w:val="20"/>
        </w:rPr>
        <w:t>tica del Estado de Yucat</w:t>
      </w:r>
      <w:r w:rsidRPr="0005019D">
        <w:rPr>
          <w:rFonts w:ascii="Barlow" w:eastAsia="Times New Roman" w:hAnsi="Barlow" w:cs="Barlow"/>
          <w:sz w:val="20"/>
          <w:szCs w:val="20"/>
        </w:rPr>
        <w:t>á</w:t>
      </w:r>
      <w:r w:rsidRPr="0005019D">
        <w:rPr>
          <w:rFonts w:ascii="Barlow" w:eastAsia="Times New Roman" w:hAnsi="Barlow"/>
          <w:sz w:val="20"/>
          <w:szCs w:val="20"/>
        </w:rPr>
        <w:t>n.</w:t>
      </w:r>
    </w:p>
    <w:p w:rsidR="005E0E9D" w:rsidRPr="0005019D" w:rsidRDefault="00E35EF3">
      <w:pPr>
        <w:divId w:val="1614508902"/>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General de Contabilidad Gubernamental.</w:t>
      </w:r>
    </w:p>
    <w:p w:rsidR="005E0E9D" w:rsidRPr="0005019D" w:rsidRDefault="00E35EF3">
      <w:pPr>
        <w:divId w:val="1092778995"/>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El C</w:t>
      </w:r>
      <w:r w:rsidRPr="0005019D">
        <w:rPr>
          <w:rFonts w:ascii="Barlow" w:eastAsia="Times New Roman" w:hAnsi="Barlow" w:cs="Barlow"/>
          <w:sz w:val="20"/>
          <w:szCs w:val="20"/>
        </w:rPr>
        <w:t>ó</w:t>
      </w:r>
      <w:r w:rsidRPr="0005019D">
        <w:rPr>
          <w:rFonts w:ascii="Barlow" w:eastAsia="Times New Roman" w:hAnsi="Barlow"/>
          <w:sz w:val="20"/>
          <w:szCs w:val="20"/>
        </w:rPr>
        <w:t>digo de la Administraci</w:t>
      </w:r>
      <w:r w:rsidRPr="0005019D">
        <w:rPr>
          <w:rFonts w:ascii="Barlow" w:eastAsia="Times New Roman" w:hAnsi="Barlow" w:cs="Barlow"/>
          <w:sz w:val="20"/>
          <w:szCs w:val="20"/>
        </w:rPr>
        <w:t>ó</w:t>
      </w:r>
      <w:r w:rsidRPr="0005019D">
        <w:rPr>
          <w:rFonts w:ascii="Barlow" w:eastAsia="Times New Roman" w:hAnsi="Barlow"/>
          <w:sz w:val="20"/>
          <w:szCs w:val="20"/>
        </w:rPr>
        <w:t>n P</w:t>
      </w:r>
      <w:r w:rsidRPr="0005019D">
        <w:rPr>
          <w:rFonts w:ascii="Barlow" w:eastAsia="Times New Roman" w:hAnsi="Barlow" w:cs="Barlow"/>
          <w:sz w:val="20"/>
          <w:szCs w:val="20"/>
        </w:rPr>
        <w:t>ú</w:t>
      </w:r>
      <w:r w:rsidRPr="0005019D">
        <w:rPr>
          <w:rFonts w:ascii="Barlow" w:eastAsia="Times New Roman" w:hAnsi="Barlow"/>
          <w:sz w:val="20"/>
          <w:szCs w:val="20"/>
        </w:rPr>
        <w:t>blica del Estado de Yucat</w:t>
      </w:r>
      <w:r w:rsidRPr="0005019D">
        <w:rPr>
          <w:rFonts w:ascii="Barlow" w:eastAsia="Times New Roman" w:hAnsi="Barlow" w:cs="Barlow"/>
          <w:sz w:val="20"/>
          <w:szCs w:val="20"/>
        </w:rPr>
        <w:t>á</w:t>
      </w:r>
      <w:r w:rsidRPr="0005019D">
        <w:rPr>
          <w:rFonts w:ascii="Barlow" w:eastAsia="Times New Roman" w:hAnsi="Barlow"/>
          <w:sz w:val="20"/>
          <w:szCs w:val="20"/>
        </w:rPr>
        <w:t>n.</w:t>
      </w:r>
    </w:p>
    <w:p w:rsidR="005E0E9D" w:rsidRPr="0005019D" w:rsidRDefault="00E35EF3">
      <w:pPr>
        <w:divId w:val="968701154"/>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El Reglamento de la Administraci</w:t>
      </w:r>
      <w:r w:rsidRPr="0005019D">
        <w:rPr>
          <w:rFonts w:ascii="Barlow" w:eastAsia="Times New Roman" w:hAnsi="Barlow" w:cs="Barlow"/>
          <w:sz w:val="20"/>
          <w:szCs w:val="20"/>
        </w:rPr>
        <w:t>ó</w:t>
      </w:r>
      <w:r w:rsidRPr="0005019D">
        <w:rPr>
          <w:rFonts w:ascii="Barlow" w:eastAsia="Times New Roman" w:hAnsi="Barlow"/>
          <w:sz w:val="20"/>
          <w:szCs w:val="20"/>
        </w:rPr>
        <w:t>n P</w:t>
      </w:r>
      <w:r w:rsidRPr="0005019D">
        <w:rPr>
          <w:rFonts w:ascii="Barlow" w:eastAsia="Times New Roman" w:hAnsi="Barlow" w:cs="Barlow"/>
          <w:sz w:val="20"/>
          <w:szCs w:val="20"/>
        </w:rPr>
        <w:t>ú</w:t>
      </w:r>
      <w:r w:rsidRPr="0005019D">
        <w:rPr>
          <w:rFonts w:ascii="Barlow" w:eastAsia="Times New Roman" w:hAnsi="Barlow"/>
          <w:sz w:val="20"/>
          <w:szCs w:val="20"/>
        </w:rPr>
        <w:t>blica del Estado de Yucatán.</w:t>
      </w:r>
    </w:p>
    <w:p w:rsidR="005E0E9D" w:rsidRPr="0005019D" w:rsidRDefault="00E35EF3">
      <w:pPr>
        <w:divId w:val="1187869424"/>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del Presupuesto y Contabilidad Gubernamental del Estado de Yucat</w:t>
      </w:r>
      <w:r w:rsidRPr="0005019D">
        <w:rPr>
          <w:rFonts w:ascii="Barlow" w:eastAsia="Times New Roman" w:hAnsi="Barlow" w:cs="Barlow"/>
          <w:sz w:val="20"/>
          <w:szCs w:val="20"/>
        </w:rPr>
        <w:t>á</w:t>
      </w:r>
      <w:r w:rsidRPr="0005019D">
        <w:rPr>
          <w:rFonts w:ascii="Barlow" w:eastAsia="Times New Roman" w:hAnsi="Barlow"/>
          <w:sz w:val="20"/>
          <w:szCs w:val="20"/>
        </w:rPr>
        <w:t>n y su reglamento.</w:t>
      </w:r>
    </w:p>
    <w:p w:rsidR="005E0E9D" w:rsidRPr="0005019D" w:rsidRDefault="00E35EF3">
      <w:pPr>
        <w:divId w:val="39787266"/>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de Responsabilidades de los Servidores P</w:t>
      </w:r>
      <w:r w:rsidRPr="0005019D">
        <w:rPr>
          <w:rFonts w:ascii="Barlow" w:eastAsia="Times New Roman" w:hAnsi="Barlow" w:cs="Barlow"/>
          <w:sz w:val="20"/>
          <w:szCs w:val="20"/>
        </w:rPr>
        <w:t>ú</w:t>
      </w:r>
      <w:r w:rsidRPr="0005019D">
        <w:rPr>
          <w:rFonts w:ascii="Barlow" w:eastAsia="Times New Roman" w:hAnsi="Barlow"/>
          <w:sz w:val="20"/>
          <w:szCs w:val="20"/>
        </w:rPr>
        <w:t>blicos del Estado de Yucat</w:t>
      </w:r>
      <w:r w:rsidRPr="0005019D">
        <w:rPr>
          <w:rFonts w:ascii="Barlow" w:eastAsia="Times New Roman" w:hAnsi="Barlow" w:cs="Barlow"/>
          <w:sz w:val="20"/>
          <w:szCs w:val="20"/>
        </w:rPr>
        <w:t>á</w:t>
      </w:r>
      <w:r w:rsidRPr="0005019D">
        <w:rPr>
          <w:rFonts w:ascii="Barlow" w:eastAsia="Times New Roman" w:hAnsi="Barlow"/>
          <w:sz w:val="20"/>
          <w:szCs w:val="20"/>
        </w:rPr>
        <w:t>n.</w:t>
      </w:r>
    </w:p>
    <w:p w:rsidR="005E0E9D" w:rsidRPr="0005019D" w:rsidRDefault="00E35EF3">
      <w:pPr>
        <w:divId w:val="758258668"/>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Federal de Responsabilidades de los Servidores P</w:t>
      </w:r>
      <w:r w:rsidRPr="0005019D">
        <w:rPr>
          <w:rFonts w:ascii="Barlow" w:eastAsia="Times New Roman" w:hAnsi="Barlow" w:cs="Barlow"/>
          <w:sz w:val="20"/>
          <w:szCs w:val="20"/>
        </w:rPr>
        <w:t>ú</w:t>
      </w:r>
      <w:r w:rsidRPr="0005019D">
        <w:rPr>
          <w:rFonts w:ascii="Barlow" w:eastAsia="Times New Roman" w:hAnsi="Barlow"/>
          <w:sz w:val="20"/>
          <w:szCs w:val="20"/>
        </w:rPr>
        <w:t>blicos</w:t>
      </w:r>
    </w:p>
    <w:p w:rsidR="005E0E9D" w:rsidRPr="0005019D" w:rsidRDefault="00E35EF3">
      <w:pPr>
        <w:divId w:val="1087077016"/>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de Adquisiciones, Arrendamientos y Prestación de Servicios relacionados con Bienes Muebles.</w:t>
      </w:r>
    </w:p>
    <w:p w:rsidR="005E0E9D" w:rsidRPr="0005019D" w:rsidRDefault="00E35EF3">
      <w:pPr>
        <w:divId w:val="1400786782"/>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La Ley de Fiscalizaci</w:t>
      </w:r>
      <w:r w:rsidRPr="0005019D">
        <w:rPr>
          <w:rFonts w:ascii="Barlow" w:eastAsia="Times New Roman" w:hAnsi="Barlow" w:cs="Barlow"/>
          <w:sz w:val="20"/>
          <w:szCs w:val="20"/>
        </w:rPr>
        <w:t>ó</w:t>
      </w:r>
      <w:r w:rsidRPr="0005019D">
        <w:rPr>
          <w:rFonts w:ascii="Barlow" w:eastAsia="Times New Roman" w:hAnsi="Barlow"/>
          <w:sz w:val="20"/>
          <w:szCs w:val="20"/>
        </w:rPr>
        <w:t>n de la Cuenta P</w:t>
      </w:r>
      <w:r w:rsidRPr="0005019D">
        <w:rPr>
          <w:rFonts w:ascii="Barlow" w:eastAsia="Times New Roman" w:hAnsi="Barlow" w:cs="Barlow"/>
          <w:sz w:val="20"/>
          <w:szCs w:val="20"/>
        </w:rPr>
        <w:t>ú</w:t>
      </w:r>
      <w:r w:rsidRPr="0005019D">
        <w:rPr>
          <w:rFonts w:ascii="Barlow" w:eastAsia="Times New Roman" w:hAnsi="Barlow"/>
          <w:sz w:val="20"/>
          <w:szCs w:val="20"/>
        </w:rPr>
        <w:t>blica del Estado de Yucat</w:t>
      </w:r>
      <w:r w:rsidRPr="0005019D">
        <w:rPr>
          <w:rFonts w:ascii="Barlow" w:eastAsia="Times New Roman" w:hAnsi="Barlow" w:cs="Barlow"/>
          <w:sz w:val="20"/>
          <w:szCs w:val="20"/>
        </w:rPr>
        <w:t>á</w:t>
      </w:r>
      <w:r w:rsidRPr="0005019D">
        <w:rPr>
          <w:rFonts w:ascii="Barlow" w:eastAsia="Times New Roman" w:hAnsi="Barlow"/>
          <w:sz w:val="20"/>
          <w:szCs w:val="20"/>
        </w:rPr>
        <w:t>n y su reglamento.</w:t>
      </w:r>
    </w:p>
    <w:p w:rsidR="005E0E9D" w:rsidRPr="0005019D" w:rsidRDefault="00E35EF3">
      <w:pPr>
        <w:divId w:val="2017921105"/>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Ley de Disciplina Financiera de las Entidades Federativas y Municipios</w:t>
      </w:r>
    </w:p>
    <w:p w:rsidR="005E0E9D" w:rsidRPr="0005019D" w:rsidRDefault="005E0E9D">
      <w:pPr>
        <w:divId w:val="417792996"/>
        <w:rPr>
          <w:rFonts w:ascii="Barlow" w:eastAsia="Times New Roman" w:hAnsi="Barlow"/>
          <w:sz w:val="20"/>
          <w:szCs w:val="20"/>
        </w:rPr>
      </w:pPr>
    </w:p>
    <w:p w:rsidR="005E0E9D" w:rsidRPr="0005019D" w:rsidRDefault="00E35EF3">
      <w:pPr>
        <w:divId w:val="976028049"/>
        <w:rPr>
          <w:rFonts w:ascii="Barlow" w:eastAsia="Times New Roman" w:hAnsi="Barlow"/>
          <w:sz w:val="20"/>
          <w:szCs w:val="20"/>
        </w:rPr>
      </w:pPr>
      <w:r w:rsidRPr="0005019D">
        <w:rPr>
          <w:rStyle w:val="Textoennegrita"/>
          <w:rFonts w:ascii="Barlow" w:eastAsia="Times New Roman" w:hAnsi="Barlow"/>
          <w:sz w:val="20"/>
          <w:szCs w:val="20"/>
        </w:rPr>
        <w:t xml:space="preserve">e) Consideraciones fiscales del ente: </w:t>
      </w:r>
    </w:p>
    <w:p w:rsidR="005E0E9D" w:rsidRPr="0005019D" w:rsidRDefault="005E0E9D">
      <w:pPr>
        <w:divId w:val="598685543"/>
        <w:rPr>
          <w:rFonts w:ascii="Barlow" w:eastAsia="Times New Roman" w:hAnsi="Barlow"/>
          <w:sz w:val="20"/>
          <w:szCs w:val="20"/>
        </w:rPr>
      </w:pPr>
    </w:p>
    <w:p w:rsidR="005E0E9D" w:rsidRPr="0005019D" w:rsidRDefault="00E35EF3">
      <w:pPr>
        <w:ind w:firstLine="600"/>
        <w:divId w:val="1886091851"/>
        <w:rPr>
          <w:rFonts w:ascii="Barlow" w:eastAsia="Times New Roman" w:hAnsi="Barlow"/>
          <w:sz w:val="20"/>
          <w:szCs w:val="20"/>
        </w:rPr>
      </w:pPr>
      <w:r w:rsidRPr="0005019D">
        <w:rPr>
          <w:rFonts w:ascii="Barlow" w:eastAsia="Times New Roman" w:hAnsi="Barlow"/>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5E0E9D" w:rsidRPr="0005019D" w:rsidRDefault="00E35EF3">
      <w:pPr>
        <w:ind w:firstLine="600"/>
        <w:divId w:val="927075173"/>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Declaraci</w:t>
      </w:r>
      <w:r w:rsidRPr="0005019D">
        <w:rPr>
          <w:rFonts w:ascii="Barlow" w:eastAsia="Times New Roman" w:hAnsi="Barlow" w:cs="Barlow"/>
          <w:sz w:val="20"/>
          <w:szCs w:val="20"/>
        </w:rPr>
        <w:t>ó</w:t>
      </w:r>
      <w:r w:rsidRPr="0005019D">
        <w:rPr>
          <w:rFonts w:ascii="Barlow" w:eastAsia="Times New Roman" w:hAnsi="Barlow"/>
          <w:sz w:val="20"/>
          <w:szCs w:val="20"/>
        </w:rPr>
        <w:t>n y pago provisional mensual de retenciones de Impuestos Sobre la Renta (ISR) por sueldos y salarios.</w:t>
      </w:r>
    </w:p>
    <w:p w:rsidR="005E0E9D" w:rsidRPr="0005019D" w:rsidRDefault="00E35EF3">
      <w:pPr>
        <w:ind w:firstLine="600"/>
        <w:divId w:val="1005716135"/>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Declaraci</w:t>
      </w:r>
      <w:r w:rsidRPr="0005019D">
        <w:rPr>
          <w:rFonts w:ascii="Barlow" w:eastAsia="Times New Roman" w:hAnsi="Barlow" w:cs="Barlow"/>
          <w:sz w:val="20"/>
          <w:szCs w:val="20"/>
        </w:rPr>
        <w:t>ó</w:t>
      </w:r>
      <w:r w:rsidRPr="0005019D">
        <w:rPr>
          <w:rFonts w:ascii="Barlow" w:eastAsia="Times New Roman" w:hAnsi="Barlow"/>
          <w:sz w:val="20"/>
          <w:szCs w:val="20"/>
        </w:rPr>
        <w:t>n y pago provisional mensual de Impuestos Sobre la Renta (ISR) por retenciones realizadas por Servicios Profesionales.</w:t>
      </w:r>
    </w:p>
    <w:p w:rsidR="005E0E9D" w:rsidRPr="0005019D" w:rsidRDefault="00E35EF3">
      <w:pPr>
        <w:ind w:firstLine="600"/>
        <w:divId w:val="1197936897"/>
        <w:rPr>
          <w:rFonts w:ascii="Barlow" w:eastAsia="Times New Roman" w:hAnsi="Barlow"/>
          <w:sz w:val="20"/>
          <w:szCs w:val="20"/>
        </w:rPr>
      </w:pPr>
      <w:r w:rsidRPr="0005019D">
        <w:rPr>
          <w:rFonts w:ascii="Times New Roman" w:eastAsia="Times New Roman" w:hAnsi="Times New Roman" w:cs="Times New Roman"/>
          <w:sz w:val="20"/>
          <w:szCs w:val="20"/>
        </w:rPr>
        <w:lastRenderedPageBreak/>
        <w:t>●</w:t>
      </w:r>
      <w:r w:rsidRPr="0005019D">
        <w:rPr>
          <w:rFonts w:ascii="Barlow" w:eastAsia="Times New Roman" w:hAnsi="Barlow"/>
          <w:sz w:val="20"/>
          <w:szCs w:val="20"/>
        </w:rPr>
        <w:t xml:space="preserve"> Declaraci</w:t>
      </w:r>
      <w:r w:rsidRPr="0005019D">
        <w:rPr>
          <w:rFonts w:ascii="Barlow" w:eastAsia="Times New Roman" w:hAnsi="Barlow" w:cs="Barlow"/>
          <w:sz w:val="20"/>
          <w:szCs w:val="20"/>
        </w:rPr>
        <w:t>ó</w:t>
      </w:r>
      <w:r w:rsidRPr="0005019D">
        <w:rPr>
          <w:rFonts w:ascii="Barlow" w:eastAsia="Times New Roman" w:hAnsi="Barlow"/>
          <w:sz w:val="20"/>
          <w:szCs w:val="20"/>
        </w:rPr>
        <w:t>n y pago provisional mensual de Impuesto Sobre la Renta (ISR) por retenciones realizadas por pagos de Rentas de Bienes Inmuebles.</w:t>
      </w:r>
    </w:p>
    <w:p w:rsidR="005E0E9D" w:rsidRPr="0005019D" w:rsidRDefault="00E35EF3">
      <w:pPr>
        <w:ind w:firstLine="600"/>
        <w:divId w:val="1666397271"/>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Presentar la declaraci</w:t>
      </w:r>
      <w:r w:rsidRPr="0005019D">
        <w:rPr>
          <w:rFonts w:ascii="Barlow" w:eastAsia="Times New Roman" w:hAnsi="Barlow" w:cs="Barlow"/>
          <w:sz w:val="20"/>
          <w:szCs w:val="20"/>
        </w:rPr>
        <w:t>ó</w:t>
      </w:r>
      <w:r w:rsidRPr="0005019D">
        <w:rPr>
          <w:rFonts w:ascii="Barlow" w:eastAsia="Times New Roman" w:hAnsi="Barlow"/>
          <w:sz w:val="20"/>
          <w:szCs w:val="20"/>
        </w:rPr>
        <w:t>n informativa mensual de operaciones con terceros.</w:t>
      </w:r>
    </w:p>
    <w:p w:rsidR="005E0E9D" w:rsidRPr="0005019D" w:rsidRDefault="005E0E9D">
      <w:pPr>
        <w:divId w:val="2104647714"/>
        <w:rPr>
          <w:rFonts w:ascii="Barlow" w:eastAsia="Times New Roman" w:hAnsi="Barlow"/>
          <w:sz w:val="20"/>
          <w:szCs w:val="20"/>
        </w:rPr>
      </w:pPr>
    </w:p>
    <w:p w:rsidR="005E0E9D" w:rsidRPr="0005019D" w:rsidRDefault="00E35EF3">
      <w:pPr>
        <w:ind w:firstLine="600"/>
        <w:divId w:val="351296884"/>
        <w:rPr>
          <w:rFonts w:ascii="Barlow" w:eastAsia="Times New Roman" w:hAnsi="Barlow"/>
          <w:sz w:val="20"/>
          <w:szCs w:val="20"/>
        </w:rPr>
      </w:pPr>
      <w:r w:rsidRPr="0005019D">
        <w:rPr>
          <w:rStyle w:val="Textoennegrita"/>
          <w:rFonts w:ascii="Barlow" w:eastAsia="Times New Roman" w:hAnsi="Barlow"/>
          <w:sz w:val="20"/>
          <w:szCs w:val="20"/>
        </w:rPr>
        <w:t>f) Estructura Organizacional Básica.</w:t>
      </w:r>
    </w:p>
    <w:p w:rsidR="005E0E9D" w:rsidRPr="0005019D" w:rsidRDefault="00E35EF3">
      <w:pPr>
        <w:ind w:firstLine="840"/>
        <w:divId w:val="1481383270"/>
        <w:rPr>
          <w:rFonts w:ascii="Barlow" w:eastAsia="Times New Roman" w:hAnsi="Barlow"/>
          <w:sz w:val="20"/>
          <w:szCs w:val="20"/>
        </w:rPr>
      </w:pPr>
      <w:r w:rsidRPr="0005019D">
        <w:rPr>
          <w:rFonts w:ascii="Barlow" w:eastAsia="Times New Roman" w:hAnsi="Barlow"/>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5E0E9D" w:rsidRPr="0005019D" w:rsidRDefault="005E0E9D">
      <w:pPr>
        <w:divId w:val="1915164994"/>
        <w:rPr>
          <w:rFonts w:ascii="Barlow" w:eastAsia="Times New Roman" w:hAnsi="Barlow"/>
          <w:sz w:val="20"/>
          <w:szCs w:val="20"/>
        </w:rPr>
      </w:pPr>
    </w:p>
    <w:p w:rsidR="005E0E9D" w:rsidRPr="0005019D" w:rsidRDefault="00E35EF3">
      <w:pPr>
        <w:ind w:firstLine="600"/>
        <w:divId w:val="288171470"/>
        <w:rPr>
          <w:rFonts w:ascii="Barlow" w:eastAsia="Times New Roman" w:hAnsi="Barlow"/>
          <w:sz w:val="20"/>
          <w:szCs w:val="20"/>
        </w:rPr>
      </w:pPr>
      <w:r w:rsidRPr="0005019D">
        <w:rPr>
          <w:rStyle w:val="Textoennegrita"/>
          <w:rFonts w:ascii="Barlow" w:eastAsia="Times New Roman" w:hAnsi="Barlow"/>
          <w:sz w:val="20"/>
          <w:szCs w:val="20"/>
        </w:rPr>
        <w:t>g) Fideicomisos, mandatos y análogos de los cuales es fideicomitente o fiduciario.</w:t>
      </w:r>
    </w:p>
    <w:p w:rsidR="005E0E9D" w:rsidRPr="0005019D" w:rsidRDefault="00E35EF3">
      <w:pPr>
        <w:divId w:val="1584993445"/>
        <w:rPr>
          <w:rFonts w:ascii="Barlow" w:eastAsia="Times New Roman" w:hAnsi="Barlow"/>
          <w:sz w:val="20"/>
          <w:szCs w:val="20"/>
        </w:rPr>
      </w:pPr>
      <w:r w:rsidRPr="0005019D">
        <w:rPr>
          <w:rFonts w:ascii="Barlow" w:eastAsia="Times New Roman" w:hAnsi="Barlow"/>
          <w:sz w:val="20"/>
          <w:szCs w:val="20"/>
        </w:rPr>
        <w:t>Los fideicomisos del Gobierno del Estado que se manejaron al 31 de marzo de 2024 son los siguientes: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
        <w:gridCol w:w="12451"/>
      </w:tblGrid>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APORTACION PARA LA SEGURIDAD PUBLICA ( FASP)</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PARA LA ATENCIÓN DE EMERGENCIAS Y DESASTRES DEL ESTADO (FAED)</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FOMENTO AGROPECUARIO DEL ESTADO DE YUCATAN (FOFAY)</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iv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APOYO A LA PRODUCTIVIDAD AGROPECUARIA DEL ESTADO DE YUCATAN (FOPROYUC)</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CREDITO AGROPECUARIO Y PESQUERO DEL ESTADO DE YUCATAN (FOCAPY)</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vi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MICROCREDITOS DEL ESTADO DE YUCATAN (FOMICY)</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vii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YUCATECO PARA LA DIGNIFICACION Y DESARROLLO INTEGRAL DE LOS TRABAJADORES DE LA CONSTRUCCION (FYDITRAC)</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viii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METROPOLITANO DE YUCATAN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ix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INTEGRAL PARA EL DESARROLLO ECONOMICO DE YUCATAN (FIDEY)</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F/0007 PROTEGO CASA DE BOLSA DIV FIDUCIARIA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F/0019 PROTEGO CASA DE BOLSA SA DE CV FID</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lastRenderedPageBreak/>
              <w:t>xii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F/0002 PROTEGO CASA DE BOLSA DIV FIDUCIARIA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PARA LA CONSOLIDACIÓN Y FOMENTO DEL EMPLEO PERMANENTE EN EL ESTADO DE YUCATAN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xiv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PROGRAMA DE BECAS NACIONALES PARA LA EDUCACIÓN SUPERIOR DE MANUTENCIÓN PARA EL ESTADO DE YUCATÁN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VIVIENDA MAGISTERIO (NUM 2112177)</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xvi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PARA EMPRENDEDORES DE YUCATÁN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xvii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DE PROMOCIÓN Y FOMENTO A LAS EMPRESAS EN EL ESTADO DE YUCATÁN (FOPROFEY)</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xviii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SISTEMA INTEGRAL DE TRANSPORTE DE LA ZONA METROPOLITANA DE MÉRIDA YUCATÁN (SIT-MÉRIDA)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xix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ESTATAL DE MOVILIDAD</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FONDO ESTATAL DE AYUDA, ASISTENCIA Y REPARACION INTEGRAL</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DE ALTO RENDIMIENTO DEPORTIVO YUCATÁN.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PARA LA PROMOCIÓN TURÍSTICA DEL ESTADO DE YUCATÁN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F/0199 EVERCORE CASA DE BOLSA SA DE CV DIV. FIDUCIARIA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xxiv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NO. F/4109088</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F/4109146</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xxvi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No. F/4130480</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xxvii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F/2460492</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xxviii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FONDO DE BECAS FRANCISCO REPETTO MILAN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xxix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FONDO DE PARTICIPACION CIUDADANA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JUSTICIA PENAL DE YUCATAN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lastRenderedPageBreak/>
              <w:t>xxxi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TRASLATIVO DE DOMINIO Y DESARROLLO DE LA INVESTIGACION, EXTENSION Y FOMENTO A LA ACTIVIDAD AGROPECUARIA DE LA FACULTAD DE MEDICINA VETERINARIA Y ZOOTECNIA DE LA UNIVERSIDAD AUTONOMA DE YUCATAN.</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SISTEMA INTEGRADO DE TRANSPORTE DE LA ZONA METROPOLITANA DE MÉRIDA YUCATÁN ETAPA 2</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xxxiii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F/0173</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xxxiv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F/0198 EVERCORE CASA DE BOLSA SA DE CV, DIV. FIDUCIARIA</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xxxv</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PARA EL DESARROLLO REGIONAL DEL SUR SURESTE 2050. FIDESUR</w:t>
            </w:r>
          </w:p>
        </w:tc>
      </w:tr>
      <w:tr w:rsidR="00135F45" w:rsidRPr="0005019D" w:rsidTr="00135F45">
        <w:trPr>
          <w:divId w:val="918713111"/>
          <w:tblCellSpacing w:w="15" w:type="dxa"/>
        </w:trPr>
        <w:tc>
          <w:tcPr>
            <w:tcW w:w="0" w:type="auto"/>
            <w:shd w:val="clear" w:color="auto" w:fill="auto"/>
            <w:vAlign w:val="center"/>
            <w:hideMark/>
          </w:tcPr>
          <w:p w:rsidR="00135F45" w:rsidRPr="0005019D" w:rsidRDefault="00135F45" w:rsidP="00135F45">
            <w:pPr>
              <w:jc w:val="right"/>
              <w:rPr>
                <w:rFonts w:ascii="Barlow" w:eastAsia="Times New Roman" w:hAnsi="Barlow"/>
                <w:sz w:val="20"/>
                <w:szCs w:val="20"/>
              </w:rPr>
            </w:pPr>
            <w:r w:rsidRPr="0005019D">
              <w:rPr>
                <w:rFonts w:ascii="Barlow" w:eastAsia="Times New Roman" w:hAnsi="Barlow"/>
                <w:sz w:val="20"/>
                <w:szCs w:val="20"/>
              </w:rPr>
              <w:t>xxxvi</w:t>
            </w:r>
          </w:p>
        </w:tc>
        <w:tc>
          <w:tcPr>
            <w:tcW w:w="0" w:type="auto"/>
            <w:shd w:val="clear" w:color="auto" w:fill="auto"/>
            <w:vAlign w:val="center"/>
            <w:hideMark/>
          </w:tcPr>
          <w:p w:rsidR="00135F45" w:rsidRPr="0005019D" w:rsidRDefault="00135F45" w:rsidP="00135F45">
            <w:pPr>
              <w:rPr>
                <w:rFonts w:ascii="Barlow" w:eastAsia="Times New Roman" w:hAnsi="Barlow"/>
                <w:sz w:val="20"/>
                <w:szCs w:val="20"/>
              </w:rPr>
            </w:pPr>
            <w:r w:rsidRPr="0005019D">
              <w:rPr>
                <w:rFonts w:ascii="Barlow" w:eastAsia="Times New Roman" w:hAnsi="Barlow"/>
                <w:sz w:val="20"/>
                <w:szCs w:val="20"/>
              </w:rPr>
              <w:t>FIDEICOMISO DE INVERSION Y ADIMINISTRACION No. F/4137634</w:t>
            </w:r>
          </w:p>
        </w:tc>
      </w:tr>
    </w:tbl>
    <w:p w:rsidR="005E0E9D" w:rsidRPr="0005019D" w:rsidRDefault="00E35EF3">
      <w:pPr>
        <w:divId w:val="668827641"/>
        <w:rPr>
          <w:rFonts w:ascii="Barlow" w:eastAsia="Times New Roman" w:hAnsi="Barlow"/>
          <w:sz w:val="20"/>
          <w:szCs w:val="20"/>
        </w:rPr>
      </w:pPr>
      <w:r w:rsidRPr="0005019D">
        <w:rPr>
          <w:rStyle w:val="Textoennegrita"/>
          <w:rFonts w:ascii="Barlow" w:eastAsia="Times New Roman" w:hAnsi="Barlow"/>
          <w:sz w:val="20"/>
          <w:szCs w:val="20"/>
        </w:rPr>
        <w:t>4.- Bases para la Preparación de Estados Financieros.</w:t>
      </w:r>
    </w:p>
    <w:p w:rsidR="005E0E9D" w:rsidRPr="0005019D" w:rsidRDefault="00E35EF3" w:rsidP="00F969B2">
      <w:pPr>
        <w:spacing w:line="360" w:lineRule="auto"/>
        <w:divId w:val="866723413"/>
        <w:rPr>
          <w:rFonts w:ascii="Barlow" w:eastAsia="Times New Roman" w:hAnsi="Barlow"/>
          <w:sz w:val="20"/>
          <w:szCs w:val="20"/>
        </w:rPr>
      </w:pPr>
      <w:r w:rsidRPr="0005019D">
        <w:rPr>
          <w:rFonts w:ascii="Barlow" w:eastAsia="Times New Roman" w:hAnsi="Barlow"/>
          <w:sz w:val="20"/>
          <w:szCs w:val="20"/>
        </w:rPr>
        <w:t xml:space="preserve">a)         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 </w:t>
      </w:r>
    </w:p>
    <w:p w:rsidR="005E0E9D" w:rsidRPr="0005019D" w:rsidRDefault="00E35EF3">
      <w:pPr>
        <w:divId w:val="537857902"/>
        <w:rPr>
          <w:rFonts w:ascii="Barlow" w:eastAsia="Times New Roman" w:hAnsi="Barlow"/>
          <w:sz w:val="20"/>
          <w:szCs w:val="20"/>
        </w:rPr>
      </w:pPr>
      <w:r w:rsidRPr="0005019D">
        <w:rPr>
          <w:rFonts w:ascii="Barlow" w:eastAsia="Times New Roman" w:hAnsi="Barlow"/>
          <w:sz w:val="20"/>
          <w:szCs w:val="20"/>
        </w:rPr>
        <w:t>b)         La base de medición utilizada en el registro de las operaciones para la elaboración de los Estados Financieros es a Costo histórico.</w:t>
      </w:r>
    </w:p>
    <w:p w:rsidR="005E0E9D" w:rsidRPr="0005019D" w:rsidRDefault="00E35EF3">
      <w:pPr>
        <w:divId w:val="146829457"/>
        <w:rPr>
          <w:rFonts w:ascii="Barlow" w:eastAsia="Times New Roman" w:hAnsi="Barlow"/>
          <w:sz w:val="20"/>
          <w:szCs w:val="20"/>
        </w:rPr>
      </w:pPr>
      <w:r w:rsidRPr="0005019D">
        <w:rPr>
          <w:rFonts w:ascii="Barlow" w:eastAsia="Times New Roman" w:hAnsi="Barlow"/>
          <w:sz w:val="20"/>
          <w:szCs w:val="20"/>
        </w:rPr>
        <w:t>c)         Postulados básicos de la Contabilidad gubernamental aprobados por la CONAC y Publicados en el Diario Oficial del Estado para su difusión.</w:t>
      </w:r>
    </w:p>
    <w:p w:rsidR="005E0E9D" w:rsidRPr="0005019D" w:rsidRDefault="00E35EF3">
      <w:pPr>
        <w:divId w:val="221719225"/>
        <w:rPr>
          <w:rFonts w:ascii="Barlow" w:eastAsia="Times New Roman" w:hAnsi="Barlow"/>
          <w:sz w:val="20"/>
          <w:szCs w:val="20"/>
        </w:rPr>
      </w:pPr>
      <w:r w:rsidRPr="0005019D">
        <w:rPr>
          <w:rFonts w:ascii="Barlow" w:eastAsia="Times New Roman" w:hAnsi="Barlow"/>
          <w:sz w:val="20"/>
          <w:szCs w:val="20"/>
        </w:rPr>
        <w:t>a)         Sustancia Económica</w:t>
      </w:r>
    </w:p>
    <w:p w:rsidR="005E0E9D" w:rsidRPr="0005019D" w:rsidRDefault="00E35EF3">
      <w:pPr>
        <w:divId w:val="2131238078"/>
        <w:rPr>
          <w:rFonts w:ascii="Barlow" w:eastAsia="Times New Roman" w:hAnsi="Barlow"/>
          <w:sz w:val="20"/>
          <w:szCs w:val="20"/>
        </w:rPr>
      </w:pPr>
      <w:r w:rsidRPr="0005019D">
        <w:rPr>
          <w:rFonts w:ascii="Barlow" w:eastAsia="Times New Roman" w:hAnsi="Barlow"/>
          <w:sz w:val="20"/>
          <w:szCs w:val="20"/>
        </w:rPr>
        <w:t>b)         Entes Públicos</w:t>
      </w:r>
    </w:p>
    <w:p w:rsidR="005E0E9D" w:rsidRPr="0005019D" w:rsidRDefault="00E35EF3">
      <w:pPr>
        <w:divId w:val="776411783"/>
        <w:rPr>
          <w:rFonts w:ascii="Barlow" w:eastAsia="Times New Roman" w:hAnsi="Barlow"/>
          <w:sz w:val="20"/>
          <w:szCs w:val="20"/>
        </w:rPr>
      </w:pPr>
      <w:r w:rsidRPr="0005019D">
        <w:rPr>
          <w:rFonts w:ascii="Barlow" w:eastAsia="Times New Roman" w:hAnsi="Barlow"/>
          <w:sz w:val="20"/>
          <w:szCs w:val="20"/>
        </w:rPr>
        <w:t>c)         Existencia Permanente</w:t>
      </w:r>
    </w:p>
    <w:p w:rsidR="005E0E9D" w:rsidRPr="0005019D" w:rsidRDefault="00E35EF3">
      <w:pPr>
        <w:divId w:val="760444921"/>
        <w:rPr>
          <w:rFonts w:ascii="Barlow" w:eastAsia="Times New Roman" w:hAnsi="Barlow"/>
          <w:sz w:val="20"/>
          <w:szCs w:val="20"/>
        </w:rPr>
      </w:pPr>
      <w:r w:rsidRPr="0005019D">
        <w:rPr>
          <w:rFonts w:ascii="Barlow" w:eastAsia="Times New Roman" w:hAnsi="Barlow"/>
          <w:sz w:val="20"/>
          <w:szCs w:val="20"/>
        </w:rPr>
        <w:t>d)         Revelación Suficiente</w:t>
      </w:r>
    </w:p>
    <w:p w:rsidR="005E0E9D" w:rsidRPr="0005019D" w:rsidRDefault="00E35EF3">
      <w:pPr>
        <w:divId w:val="948045777"/>
        <w:rPr>
          <w:rFonts w:ascii="Barlow" w:eastAsia="Times New Roman" w:hAnsi="Barlow"/>
          <w:sz w:val="20"/>
          <w:szCs w:val="20"/>
        </w:rPr>
      </w:pPr>
      <w:r w:rsidRPr="0005019D">
        <w:rPr>
          <w:rFonts w:ascii="Barlow" w:eastAsia="Times New Roman" w:hAnsi="Barlow"/>
          <w:sz w:val="20"/>
          <w:szCs w:val="20"/>
        </w:rPr>
        <w:t>e)         Importancia Relativa</w:t>
      </w:r>
    </w:p>
    <w:p w:rsidR="005E0E9D" w:rsidRPr="0005019D" w:rsidRDefault="00E35EF3">
      <w:pPr>
        <w:divId w:val="1580210057"/>
        <w:rPr>
          <w:rFonts w:ascii="Barlow" w:eastAsia="Times New Roman" w:hAnsi="Barlow"/>
          <w:sz w:val="20"/>
          <w:szCs w:val="20"/>
        </w:rPr>
      </w:pPr>
      <w:r w:rsidRPr="0005019D">
        <w:rPr>
          <w:rFonts w:ascii="Barlow" w:eastAsia="Times New Roman" w:hAnsi="Barlow"/>
          <w:sz w:val="20"/>
          <w:szCs w:val="20"/>
        </w:rPr>
        <w:t>f)         Registro e Integración Presupuestaria</w:t>
      </w:r>
    </w:p>
    <w:p w:rsidR="005E0E9D" w:rsidRPr="0005019D" w:rsidRDefault="00E35EF3">
      <w:pPr>
        <w:divId w:val="1687555174"/>
        <w:rPr>
          <w:rFonts w:ascii="Barlow" w:eastAsia="Times New Roman" w:hAnsi="Barlow"/>
          <w:sz w:val="20"/>
          <w:szCs w:val="20"/>
        </w:rPr>
      </w:pPr>
      <w:r w:rsidRPr="0005019D">
        <w:rPr>
          <w:rFonts w:ascii="Barlow" w:eastAsia="Times New Roman" w:hAnsi="Barlow"/>
          <w:sz w:val="20"/>
          <w:szCs w:val="20"/>
        </w:rPr>
        <w:t>g)         Consolidación de la Información Financiera</w:t>
      </w:r>
    </w:p>
    <w:p w:rsidR="005E0E9D" w:rsidRPr="0005019D" w:rsidRDefault="00E35EF3">
      <w:pPr>
        <w:divId w:val="495994420"/>
        <w:rPr>
          <w:rFonts w:ascii="Barlow" w:eastAsia="Times New Roman" w:hAnsi="Barlow"/>
          <w:sz w:val="20"/>
          <w:szCs w:val="20"/>
        </w:rPr>
      </w:pPr>
      <w:r w:rsidRPr="0005019D">
        <w:rPr>
          <w:rFonts w:ascii="Barlow" w:eastAsia="Times New Roman" w:hAnsi="Barlow"/>
          <w:sz w:val="20"/>
          <w:szCs w:val="20"/>
        </w:rPr>
        <w:t>h)         Devengo Contable</w:t>
      </w:r>
    </w:p>
    <w:p w:rsidR="005E0E9D" w:rsidRPr="0005019D" w:rsidRDefault="00E35EF3">
      <w:pPr>
        <w:divId w:val="1306466643"/>
        <w:rPr>
          <w:rFonts w:ascii="Barlow" w:eastAsia="Times New Roman" w:hAnsi="Barlow"/>
          <w:sz w:val="20"/>
          <w:szCs w:val="20"/>
        </w:rPr>
      </w:pPr>
      <w:r w:rsidRPr="0005019D">
        <w:rPr>
          <w:rFonts w:ascii="Barlow" w:eastAsia="Times New Roman" w:hAnsi="Barlow"/>
          <w:sz w:val="20"/>
          <w:szCs w:val="20"/>
        </w:rPr>
        <w:t>i)         Valuación</w:t>
      </w:r>
    </w:p>
    <w:p w:rsidR="005E0E9D" w:rsidRPr="0005019D" w:rsidRDefault="00E35EF3">
      <w:pPr>
        <w:divId w:val="59601254"/>
        <w:rPr>
          <w:rFonts w:ascii="Barlow" w:eastAsia="Times New Roman" w:hAnsi="Barlow"/>
          <w:sz w:val="20"/>
          <w:szCs w:val="20"/>
        </w:rPr>
      </w:pPr>
      <w:r w:rsidRPr="0005019D">
        <w:rPr>
          <w:rFonts w:ascii="Barlow" w:eastAsia="Times New Roman" w:hAnsi="Barlow"/>
          <w:sz w:val="20"/>
          <w:szCs w:val="20"/>
        </w:rPr>
        <w:lastRenderedPageBreak/>
        <w:t>j)         Dualidad Económica</w:t>
      </w:r>
    </w:p>
    <w:p w:rsidR="005E0E9D" w:rsidRPr="0005019D" w:rsidRDefault="00E35EF3">
      <w:pPr>
        <w:divId w:val="270168271"/>
        <w:rPr>
          <w:rFonts w:ascii="Barlow" w:eastAsia="Times New Roman" w:hAnsi="Barlow"/>
          <w:sz w:val="20"/>
          <w:szCs w:val="20"/>
        </w:rPr>
      </w:pPr>
      <w:r w:rsidRPr="0005019D">
        <w:rPr>
          <w:rFonts w:ascii="Barlow" w:eastAsia="Times New Roman" w:hAnsi="Barlow"/>
          <w:sz w:val="20"/>
          <w:szCs w:val="20"/>
        </w:rPr>
        <w:t>k)         Consistencia</w:t>
      </w:r>
    </w:p>
    <w:p w:rsidR="005E0E9D" w:rsidRPr="0005019D" w:rsidRDefault="00E35EF3">
      <w:pPr>
        <w:divId w:val="1675721604"/>
        <w:rPr>
          <w:rFonts w:ascii="Barlow" w:eastAsia="Times New Roman" w:hAnsi="Barlow"/>
          <w:sz w:val="20"/>
          <w:szCs w:val="20"/>
        </w:rPr>
      </w:pPr>
      <w:r w:rsidRPr="0005019D">
        <w:rPr>
          <w:rFonts w:ascii="Barlow" w:eastAsia="Times New Roman" w:hAnsi="Barlow"/>
          <w:sz w:val="20"/>
          <w:szCs w:val="20"/>
        </w:rPr>
        <w:t>d)         En forma supletoria a las Normas de la Ley General de Contabilidad Gubernamental y a las emitidas por la CONAC aplicaron las siguientes:</w:t>
      </w:r>
    </w:p>
    <w:p w:rsidR="005E0E9D" w:rsidRPr="0005019D" w:rsidRDefault="00E35EF3">
      <w:pPr>
        <w:divId w:val="864945110"/>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cs="Barlow"/>
          <w:sz w:val="20"/>
          <w:szCs w:val="20"/>
        </w:rPr>
        <w:t>        </w:t>
      </w:r>
      <w:r w:rsidRPr="0005019D">
        <w:rPr>
          <w:rFonts w:ascii="Barlow" w:eastAsia="Times New Roman" w:hAnsi="Barlow"/>
          <w:sz w:val="20"/>
          <w:szCs w:val="20"/>
        </w:rPr>
        <w:t xml:space="preserve"> Normatividad emitida por las unidades administrativas o instancias competentes en materia de Contabilidad Gubernamental.</w:t>
      </w:r>
    </w:p>
    <w:p w:rsidR="005E0E9D" w:rsidRPr="0005019D" w:rsidRDefault="00E35EF3">
      <w:pPr>
        <w:divId w:val="1128283774"/>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cs="Barlow"/>
          <w:sz w:val="20"/>
          <w:szCs w:val="20"/>
        </w:rPr>
        <w:t>        </w:t>
      </w:r>
      <w:r w:rsidRPr="0005019D">
        <w:rPr>
          <w:rFonts w:ascii="Barlow" w:eastAsia="Times New Roman" w:hAnsi="Barlow"/>
          <w:sz w:val="20"/>
          <w:szCs w:val="20"/>
        </w:rPr>
        <w:t xml:space="preserve"> Las Normas Internacionales de Contabilidad para el sector público (NICSP) emitidas por la junta de Normas Internacionales de Contabilidad del Sector Público.</w:t>
      </w:r>
    </w:p>
    <w:p w:rsidR="005E0E9D" w:rsidRPr="0005019D" w:rsidRDefault="00E35EF3">
      <w:pPr>
        <w:divId w:val="2039088936"/>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cs="Barlow"/>
          <w:sz w:val="20"/>
          <w:szCs w:val="20"/>
        </w:rPr>
        <w:t>        </w:t>
      </w:r>
      <w:r w:rsidRPr="0005019D">
        <w:rPr>
          <w:rFonts w:ascii="Barlow" w:eastAsia="Times New Roman" w:hAnsi="Barlow"/>
          <w:sz w:val="20"/>
          <w:szCs w:val="20"/>
        </w:rPr>
        <w:t xml:space="preserve"> Las normas de informaci</w:t>
      </w:r>
      <w:r w:rsidRPr="0005019D">
        <w:rPr>
          <w:rFonts w:ascii="Barlow" w:eastAsia="Times New Roman" w:hAnsi="Barlow" w:cs="Barlow"/>
          <w:sz w:val="20"/>
          <w:szCs w:val="20"/>
        </w:rPr>
        <w:t>ó</w:t>
      </w:r>
      <w:r w:rsidRPr="0005019D">
        <w:rPr>
          <w:rFonts w:ascii="Barlow" w:eastAsia="Times New Roman" w:hAnsi="Barlow"/>
          <w:sz w:val="20"/>
          <w:szCs w:val="20"/>
        </w:rPr>
        <w:t>n financiera del Consejo Mexicano para la investigaci</w:t>
      </w:r>
      <w:r w:rsidRPr="0005019D">
        <w:rPr>
          <w:rFonts w:ascii="Barlow" w:eastAsia="Times New Roman" w:hAnsi="Barlow" w:cs="Barlow"/>
          <w:sz w:val="20"/>
          <w:szCs w:val="20"/>
        </w:rPr>
        <w:t>ó</w:t>
      </w:r>
      <w:r w:rsidRPr="0005019D">
        <w:rPr>
          <w:rFonts w:ascii="Barlow" w:eastAsia="Times New Roman" w:hAnsi="Barlow"/>
          <w:sz w:val="20"/>
          <w:szCs w:val="20"/>
        </w:rPr>
        <w:t>n y Desarrollo de normas de Información Financiera A.C. (CINIF).</w:t>
      </w:r>
    </w:p>
    <w:p w:rsidR="005E0E9D" w:rsidRPr="0005019D" w:rsidRDefault="005E0E9D">
      <w:pPr>
        <w:divId w:val="224804157"/>
        <w:rPr>
          <w:rFonts w:ascii="Barlow" w:eastAsia="Times New Roman" w:hAnsi="Barlow"/>
          <w:sz w:val="20"/>
          <w:szCs w:val="20"/>
        </w:rPr>
      </w:pPr>
    </w:p>
    <w:p w:rsidR="005E0E9D" w:rsidRPr="0005019D" w:rsidRDefault="00E35EF3">
      <w:pPr>
        <w:divId w:val="1715735336"/>
        <w:rPr>
          <w:rFonts w:ascii="Barlow" w:eastAsia="Times New Roman" w:hAnsi="Barlow"/>
          <w:sz w:val="20"/>
          <w:szCs w:val="20"/>
        </w:rPr>
      </w:pPr>
      <w:r w:rsidRPr="0005019D">
        <w:rPr>
          <w:rStyle w:val="Textoennegrita"/>
          <w:rFonts w:ascii="Barlow" w:eastAsia="Times New Roman" w:hAnsi="Barlow"/>
          <w:sz w:val="20"/>
          <w:szCs w:val="20"/>
        </w:rPr>
        <w:t>5.- Políticas de Contabilidad Significativas.</w:t>
      </w:r>
    </w:p>
    <w:p w:rsidR="005E0E9D" w:rsidRPr="0005019D" w:rsidRDefault="00E35EF3" w:rsidP="00F969B2">
      <w:pPr>
        <w:spacing w:line="360" w:lineRule="auto"/>
        <w:divId w:val="210270649"/>
        <w:rPr>
          <w:rFonts w:ascii="Barlow" w:eastAsia="Times New Roman" w:hAnsi="Barlow"/>
          <w:sz w:val="20"/>
          <w:szCs w:val="20"/>
        </w:rPr>
      </w:pPr>
      <w:r w:rsidRPr="0005019D">
        <w:rPr>
          <w:rFonts w:ascii="Barlow" w:eastAsia="Times New Roman" w:hAnsi="Barlow"/>
          <w:sz w:val="20"/>
          <w:szCs w:val="20"/>
        </w:rPr>
        <w:t xml:space="preserve">a) 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5E0E9D" w:rsidRPr="0005019D" w:rsidRDefault="00E35EF3">
      <w:pPr>
        <w:divId w:val="1429623285"/>
        <w:rPr>
          <w:rFonts w:ascii="Barlow" w:eastAsia="Times New Roman" w:hAnsi="Barlow"/>
          <w:sz w:val="20"/>
          <w:szCs w:val="20"/>
        </w:rPr>
      </w:pPr>
      <w:r w:rsidRPr="0005019D">
        <w:rPr>
          <w:rFonts w:ascii="Barlow" w:eastAsia="Times New Roman" w:hAnsi="Barlow"/>
          <w:sz w:val="20"/>
          <w:szCs w:val="20"/>
        </w:rPr>
        <w:t>b) El Poder Ejecutivo del Gobierno del Estado, no realizó operaciones en el extranjero.</w:t>
      </w:r>
    </w:p>
    <w:p w:rsidR="005E0E9D" w:rsidRPr="0005019D" w:rsidRDefault="00E35EF3">
      <w:pPr>
        <w:divId w:val="1389299489"/>
        <w:rPr>
          <w:rFonts w:ascii="Barlow" w:eastAsia="Times New Roman" w:hAnsi="Barlow"/>
          <w:sz w:val="20"/>
          <w:szCs w:val="20"/>
        </w:rPr>
      </w:pPr>
      <w:r w:rsidRPr="0005019D">
        <w:rPr>
          <w:rFonts w:ascii="Barlow" w:eastAsia="Times New Roman" w:hAnsi="Barlow"/>
          <w:sz w:val="20"/>
          <w:szCs w:val="20"/>
        </w:rPr>
        <w:t>c) La inversión en acciones en empresas de participación Estatal se encuentra registrada a valor histórico.</w:t>
      </w:r>
    </w:p>
    <w:p w:rsidR="005E0E9D" w:rsidRPr="0005019D" w:rsidRDefault="00E35EF3" w:rsidP="00F969B2">
      <w:pPr>
        <w:spacing w:line="360" w:lineRule="auto"/>
        <w:divId w:val="2119720238"/>
        <w:rPr>
          <w:rFonts w:ascii="Barlow" w:eastAsia="Times New Roman" w:hAnsi="Barlow"/>
          <w:sz w:val="20"/>
          <w:szCs w:val="20"/>
        </w:rPr>
      </w:pPr>
      <w:r w:rsidRPr="0005019D">
        <w:rPr>
          <w:rFonts w:ascii="Barlow" w:eastAsia="Times New Roman" w:hAnsi="Barlow"/>
          <w:sz w:val="20"/>
          <w:szCs w:val="20"/>
        </w:rPr>
        <w:t>d) Las Dependencias del Sector Centralizado que forman el Poder Ejecutivo del Gobierno del Estado, no cuentan con inventarios de mercancías para venta, por lo que no se cuenta con registro en almacenes.</w:t>
      </w:r>
    </w:p>
    <w:p w:rsidR="005E0E9D" w:rsidRPr="0005019D" w:rsidRDefault="00E35EF3" w:rsidP="00F969B2">
      <w:pPr>
        <w:spacing w:line="360" w:lineRule="auto"/>
        <w:divId w:val="1161852108"/>
        <w:rPr>
          <w:rFonts w:ascii="Barlow" w:eastAsia="Times New Roman" w:hAnsi="Barlow"/>
          <w:sz w:val="20"/>
          <w:szCs w:val="20"/>
        </w:rPr>
      </w:pPr>
      <w:r w:rsidRPr="0005019D">
        <w:rPr>
          <w:rFonts w:ascii="Barlow" w:eastAsia="Times New Roman" w:hAnsi="Barlow"/>
          <w:sz w:val="20"/>
          <w:szCs w:val="20"/>
        </w:rPr>
        <w:t>e) El cálculo de la reserva actuarial, la realiza el Instituto de Seguridad de los Trabajadores al Servicio del Estado, órgano descentralizado del Sector Central.</w:t>
      </w:r>
    </w:p>
    <w:p w:rsidR="005E0E9D" w:rsidRPr="0005019D" w:rsidRDefault="00E35EF3">
      <w:pPr>
        <w:divId w:val="1880124113"/>
        <w:rPr>
          <w:rFonts w:ascii="Barlow" w:eastAsia="Times New Roman" w:hAnsi="Barlow"/>
          <w:sz w:val="20"/>
          <w:szCs w:val="20"/>
        </w:rPr>
      </w:pPr>
      <w:r w:rsidRPr="0005019D">
        <w:rPr>
          <w:rFonts w:ascii="Barlow" w:eastAsia="Times New Roman" w:hAnsi="Barlow"/>
          <w:sz w:val="20"/>
          <w:szCs w:val="20"/>
        </w:rPr>
        <w:t>f) Los Estados financieros no presentan registros de creación o aumento de reservas.</w:t>
      </w:r>
    </w:p>
    <w:p w:rsidR="005E0E9D" w:rsidRPr="0005019D" w:rsidRDefault="00E35EF3">
      <w:pPr>
        <w:divId w:val="1962762645"/>
        <w:rPr>
          <w:rFonts w:ascii="Barlow" w:eastAsia="Times New Roman" w:hAnsi="Barlow"/>
          <w:sz w:val="20"/>
          <w:szCs w:val="20"/>
        </w:rPr>
      </w:pPr>
      <w:r w:rsidRPr="0005019D">
        <w:rPr>
          <w:rFonts w:ascii="Barlow" w:eastAsia="Times New Roman" w:hAnsi="Barlow"/>
          <w:sz w:val="20"/>
          <w:szCs w:val="20"/>
        </w:rPr>
        <w:t>g) No se realizaron camb</w:t>
      </w:r>
      <w:r w:rsidR="00F969B2" w:rsidRPr="0005019D">
        <w:rPr>
          <w:rFonts w:ascii="Barlow" w:eastAsia="Times New Roman" w:hAnsi="Barlow"/>
          <w:sz w:val="20"/>
          <w:szCs w:val="20"/>
        </w:rPr>
        <w:t>ios contables durante el primer</w:t>
      </w:r>
      <w:r w:rsidRPr="0005019D">
        <w:rPr>
          <w:rFonts w:ascii="Barlow" w:eastAsia="Times New Roman" w:hAnsi="Barlow"/>
          <w:sz w:val="20"/>
          <w:szCs w:val="20"/>
        </w:rPr>
        <w:t xml:space="preserve"> trimestre del ejercicio actual.</w:t>
      </w:r>
    </w:p>
    <w:p w:rsidR="005E0E9D" w:rsidRPr="0005019D" w:rsidRDefault="00E35EF3">
      <w:pPr>
        <w:divId w:val="907807841"/>
        <w:rPr>
          <w:rFonts w:ascii="Barlow" w:eastAsia="Times New Roman" w:hAnsi="Barlow"/>
          <w:sz w:val="20"/>
          <w:szCs w:val="20"/>
        </w:rPr>
      </w:pPr>
      <w:r w:rsidRPr="0005019D">
        <w:rPr>
          <w:rFonts w:ascii="Barlow" w:eastAsia="Times New Roman" w:hAnsi="Barlow"/>
          <w:sz w:val="20"/>
          <w:szCs w:val="20"/>
        </w:rPr>
        <w:t>h) Respecto a las correcciones de errores, reclasificaciones, depuración y cancelación de saldos, estos se ven reflejados en la cuenta de Hacienda Pública.</w:t>
      </w:r>
    </w:p>
    <w:p w:rsidR="005E0E9D" w:rsidRPr="0005019D" w:rsidRDefault="005E0E9D">
      <w:pPr>
        <w:divId w:val="1599556849"/>
        <w:rPr>
          <w:rFonts w:ascii="Barlow" w:eastAsia="Times New Roman" w:hAnsi="Barlow"/>
          <w:sz w:val="20"/>
          <w:szCs w:val="20"/>
        </w:rPr>
      </w:pPr>
    </w:p>
    <w:p w:rsidR="005E0E9D" w:rsidRPr="0005019D" w:rsidRDefault="00E35EF3">
      <w:pPr>
        <w:divId w:val="1390955864"/>
        <w:rPr>
          <w:rFonts w:ascii="Barlow" w:eastAsia="Times New Roman" w:hAnsi="Barlow"/>
          <w:sz w:val="20"/>
          <w:szCs w:val="20"/>
        </w:rPr>
      </w:pPr>
      <w:r w:rsidRPr="0005019D">
        <w:rPr>
          <w:rStyle w:val="Textoennegrita"/>
          <w:rFonts w:ascii="Barlow" w:eastAsia="Times New Roman" w:hAnsi="Barlow"/>
          <w:sz w:val="20"/>
          <w:szCs w:val="20"/>
        </w:rPr>
        <w:t xml:space="preserve">6.- Posición en Moneda Extranjera y Protección por Riesgo Cambiario. </w:t>
      </w:r>
    </w:p>
    <w:p w:rsidR="005E0E9D" w:rsidRPr="0005019D" w:rsidRDefault="00E35EF3">
      <w:pPr>
        <w:divId w:val="1189178681"/>
        <w:rPr>
          <w:rFonts w:ascii="Barlow" w:eastAsia="Times New Roman" w:hAnsi="Barlow"/>
          <w:sz w:val="20"/>
          <w:szCs w:val="20"/>
        </w:rPr>
      </w:pPr>
      <w:r w:rsidRPr="0005019D">
        <w:rPr>
          <w:rFonts w:ascii="Barlow" w:eastAsia="Times New Roman" w:hAnsi="Barlow"/>
          <w:sz w:val="20"/>
          <w:szCs w:val="20"/>
        </w:rPr>
        <w:t>a) La administración Pública centralizada del Estado al 31 de marzo de 2024, tiene la siguiente cuenta bancaria en Dólares americanos.</w:t>
      </w:r>
    </w:p>
    <w:p w:rsidR="005E0E9D" w:rsidRPr="0005019D" w:rsidRDefault="00E35EF3">
      <w:pPr>
        <w:divId w:val="1011179714"/>
        <w:rPr>
          <w:rFonts w:ascii="Barlow" w:eastAsia="Times New Roman" w:hAnsi="Barlow"/>
          <w:sz w:val="20"/>
          <w:szCs w:val="20"/>
        </w:rPr>
      </w:pPr>
      <w:r w:rsidRPr="0005019D">
        <w:rPr>
          <w:rFonts w:ascii="Barlow" w:eastAsia="Times New Roman" w:hAnsi="Barlow"/>
          <w:sz w:val="20"/>
          <w:szCs w:val="20"/>
        </w:rPr>
        <w:t xml:space="preserve">Banorte Cta. 00602285906 </w:t>
      </w:r>
      <w:r w:rsidR="001860F9" w:rsidRPr="0005019D">
        <w:rPr>
          <w:rFonts w:ascii="Barlow" w:eastAsia="Times New Roman" w:hAnsi="Barlow"/>
          <w:sz w:val="20"/>
          <w:szCs w:val="20"/>
        </w:rPr>
        <w:t>con un saldo contable de $ 0.01</w:t>
      </w:r>
      <w:r w:rsidRPr="0005019D">
        <w:rPr>
          <w:rFonts w:ascii="Barlow" w:eastAsia="Times New Roman" w:hAnsi="Barlow"/>
          <w:sz w:val="20"/>
          <w:szCs w:val="20"/>
        </w:rPr>
        <w:t xml:space="preserve"> Dólares.</w:t>
      </w:r>
    </w:p>
    <w:p w:rsidR="005E0E9D" w:rsidRPr="0005019D" w:rsidRDefault="00E35EF3">
      <w:pPr>
        <w:divId w:val="235746695"/>
        <w:rPr>
          <w:rFonts w:ascii="Barlow" w:eastAsia="Times New Roman" w:hAnsi="Barlow"/>
          <w:sz w:val="20"/>
          <w:szCs w:val="20"/>
        </w:rPr>
      </w:pPr>
      <w:r w:rsidRPr="0005019D">
        <w:rPr>
          <w:rFonts w:ascii="Barlow" w:eastAsia="Times New Roman" w:hAnsi="Barlow"/>
          <w:sz w:val="20"/>
          <w:szCs w:val="20"/>
        </w:rPr>
        <w:t>b) Al 31 de marzo de 2024, el Poder Ejecutivo del Gobierno del Estado no tiene pasivos en moneda extranjera.</w:t>
      </w:r>
    </w:p>
    <w:p w:rsidR="005E0E9D" w:rsidRPr="0005019D" w:rsidRDefault="00E35EF3" w:rsidP="001860F9">
      <w:pPr>
        <w:spacing w:line="360" w:lineRule="auto"/>
        <w:divId w:val="487670096"/>
        <w:rPr>
          <w:rFonts w:ascii="Barlow" w:eastAsia="Times New Roman" w:hAnsi="Barlow"/>
          <w:sz w:val="20"/>
          <w:szCs w:val="20"/>
        </w:rPr>
      </w:pPr>
      <w:r w:rsidRPr="0005019D">
        <w:rPr>
          <w:rFonts w:ascii="Barlow" w:eastAsia="Times New Roman" w:hAnsi="Barlow"/>
          <w:sz w:val="20"/>
          <w:szCs w:val="20"/>
        </w:rPr>
        <w:t>c) Derivado de que el Poder Ejecutivo únicamente tiene una cuenta en moneda extranjera, la cual no ha tenido movimiento la posición en moneda extranjera es estable.</w:t>
      </w:r>
    </w:p>
    <w:p w:rsidR="005E0E9D" w:rsidRPr="0005019D" w:rsidRDefault="00E35EF3">
      <w:pPr>
        <w:divId w:val="1001934650"/>
        <w:rPr>
          <w:rFonts w:ascii="Barlow" w:eastAsia="Times New Roman" w:hAnsi="Barlow"/>
          <w:sz w:val="20"/>
          <w:szCs w:val="20"/>
        </w:rPr>
      </w:pPr>
      <w:r w:rsidRPr="0005019D">
        <w:rPr>
          <w:rFonts w:ascii="Barlow" w:eastAsia="Times New Roman" w:hAnsi="Barlow"/>
          <w:sz w:val="20"/>
          <w:szCs w:val="20"/>
        </w:rPr>
        <w:t>d) El Tipo de cambio al 31 de marzo de</w:t>
      </w:r>
      <w:r w:rsidR="001860F9" w:rsidRPr="0005019D">
        <w:rPr>
          <w:rFonts w:ascii="Barlow" w:eastAsia="Times New Roman" w:hAnsi="Barlow"/>
          <w:sz w:val="20"/>
          <w:szCs w:val="20"/>
        </w:rPr>
        <w:t xml:space="preserve"> 2024 a la compra es de $16.678</w:t>
      </w:r>
      <w:r w:rsidRPr="0005019D">
        <w:rPr>
          <w:rFonts w:ascii="Barlow" w:eastAsia="Times New Roman" w:hAnsi="Barlow"/>
          <w:sz w:val="20"/>
          <w:szCs w:val="20"/>
        </w:rPr>
        <w:t xml:space="preserve"> según el diario oficial.</w:t>
      </w:r>
    </w:p>
    <w:p w:rsidR="005E0E9D" w:rsidRPr="0005019D" w:rsidRDefault="00E35EF3">
      <w:pPr>
        <w:divId w:val="2013800550"/>
        <w:rPr>
          <w:rFonts w:ascii="Barlow" w:eastAsia="Times New Roman" w:hAnsi="Barlow"/>
          <w:sz w:val="20"/>
          <w:szCs w:val="20"/>
        </w:rPr>
      </w:pPr>
      <w:r w:rsidRPr="0005019D">
        <w:rPr>
          <w:rFonts w:ascii="Barlow" w:eastAsia="Times New Roman" w:hAnsi="Barlow"/>
          <w:sz w:val="20"/>
          <w:szCs w:val="20"/>
        </w:rPr>
        <w:t xml:space="preserve">e) El monto en dólares que se tiene </w:t>
      </w:r>
      <w:r w:rsidR="001860F9" w:rsidRPr="0005019D">
        <w:rPr>
          <w:rFonts w:ascii="Barlow" w:eastAsia="Times New Roman" w:hAnsi="Barlow"/>
          <w:sz w:val="20"/>
          <w:szCs w:val="20"/>
        </w:rPr>
        <w:t xml:space="preserve">en la cuenta equivale a $ 0.16678 </w:t>
      </w:r>
      <w:r w:rsidRPr="0005019D">
        <w:rPr>
          <w:rFonts w:ascii="Barlow" w:eastAsia="Times New Roman" w:hAnsi="Barlow"/>
          <w:sz w:val="20"/>
          <w:szCs w:val="20"/>
        </w:rPr>
        <w:t xml:space="preserve">en pesos </w:t>
      </w:r>
    </w:p>
    <w:p w:rsidR="005E0E9D" w:rsidRPr="0005019D" w:rsidRDefault="00E35EF3">
      <w:pPr>
        <w:divId w:val="1929541036"/>
        <w:rPr>
          <w:rFonts w:ascii="Barlow" w:eastAsia="Times New Roman" w:hAnsi="Barlow"/>
          <w:sz w:val="20"/>
          <w:szCs w:val="20"/>
        </w:rPr>
      </w:pPr>
      <w:r w:rsidRPr="0005019D">
        <w:rPr>
          <w:rFonts w:ascii="Barlow" w:eastAsia="Times New Roman" w:hAnsi="Barlow"/>
          <w:sz w:val="20"/>
          <w:szCs w:val="20"/>
        </w:rPr>
        <w:t>Por el monto en dólares el Poder Ejecutivo no establece métodos de protección de riesgo por variaciones en el tipo de cambio.</w:t>
      </w:r>
    </w:p>
    <w:p w:rsidR="005E0E9D" w:rsidRPr="0005019D" w:rsidRDefault="00E35EF3">
      <w:pPr>
        <w:divId w:val="1768311618"/>
        <w:rPr>
          <w:rFonts w:ascii="Barlow" w:eastAsia="Times New Roman" w:hAnsi="Barlow"/>
          <w:sz w:val="20"/>
          <w:szCs w:val="20"/>
        </w:rPr>
      </w:pPr>
      <w:r w:rsidRPr="0005019D">
        <w:rPr>
          <w:rStyle w:val="Textoennegrita"/>
          <w:rFonts w:ascii="Barlow" w:eastAsia="Times New Roman" w:hAnsi="Barlow"/>
          <w:sz w:val="20"/>
          <w:szCs w:val="20"/>
        </w:rPr>
        <w:t>7.- Reporte Analítico del Activo.</w:t>
      </w:r>
    </w:p>
    <w:p w:rsidR="005E0E9D" w:rsidRPr="0005019D" w:rsidRDefault="00E35EF3">
      <w:pPr>
        <w:divId w:val="1239897319"/>
        <w:rPr>
          <w:rFonts w:ascii="Barlow" w:eastAsia="Times New Roman" w:hAnsi="Barlow"/>
          <w:sz w:val="20"/>
          <w:szCs w:val="20"/>
        </w:rPr>
      </w:pPr>
      <w:r w:rsidRPr="0005019D">
        <w:rPr>
          <w:rFonts w:ascii="Barlow" w:eastAsia="Times New Roman" w:hAnsi="Barlow"/>
          <w:sz w:val="20"/>
          <w:szCs w:val="20"/>
        </w:rPr>
        <w:t>Vida útil o porcentajes de depreciación, deterioro o amortización utilizados en los diferentes activos.</w:t>
      </w:r>
    </w:p>
    <w:p w:rsidR="005E0E9D" w:rsidRPr="0005019D" w:rsidRDefault="00E35EF3" w:rsidP="00F969B2">
      <w:pPr>
        <w:spacing w:line="360" w:lineRule="auto"/>
        <w:divId w:val="1299729197"/>
        <w:rPr>
          <w:rFonts w:ascii="Barlow" w:eastAsia="Times New Roman" w:hAnsi="Barlow"/>
          <w:sz w:val="20"/>
          <w:szCs w:val="20"/>
        </w:rPr>
      </w:pPr>
      <w:r w:rsidRPr="0005019D">
        <w:rPr>
          <w:rFonts w:ascii="Barlow" w:eastAsia="Times New Roman" w:hAnsi="Barlow"/>
          <w:sz w:val="20"/>
          <w:szCs w:val="20"/>
        </w:rPr>
        <w:t>a) Los activos fijos del Poder Ejecutivo tienen una vida útil diversa, de conformidad con el las Reglas Específicas del Registro y Valoración del Patrimonio emitidas por el Consejo Nacional de Armonización Contable.</w:t>
      </w:r>
    </w:p>
    <w:p w:rsidR="005E0E9D" w:rsidRPr="0005019D" w:rsidRDefault="00E35EF3">
      <w:pPr>
        <w:divId w:val="380591369"/>
        <w:rPr>
          <w:rFonts w:ascii="Barlow" w:eastAsia="Times New Roman" w:hAnsi="Barlow"/>
          <w:sz w:val="20"/>
          <w:szCs w:val="20"/>
        </w:rPr>
      </w:pPr>
      <w:r w:rsidRPr="0005019D">
        <w:rPr>
          <w:rFonts w:ascii="Barlow" w:eastAsia="Times New Roman" w:hAnsi="Barlow"/>
          <w:sz w:val="20"/>
          <w:szCs w:val="20"/>
        </w:rPr>
        <w:t>b) El Poder Ejecutivo no ha realizado cambios en el porcentaje de la depreciación.</w:t>
      </w:r>
    </w:p>
    <w:p w:rsidR="005E0E9D" w:rsidRPr="0005019D" w:rsidRDefault="00E35EF3">
      <w:pPr>
        <w:divId w:val="1380935143"/>
        <w:rPr>
          <w:rFonts w:ascii="Barlow" w:eastAsia="Times New Roman" w:hAnsi="Barlow"/>
          <w:sz w:val="20"/>
          <w:szCs w:val="20"/>
        </w:rPr>
      </w:pPr>
      <w:r w:rsidRPr="0005019D">
        <w:rPr>
          <w:rStyle w:val="Textoennegrita"/>
          <w:rFonts w:ascii="Barlow" w:eastAsia="Times New Roman" w:hAnsi="Barlow"/>
          <w:sz w:val="20"/>
          <w:szCs w:val="20"/>
        </w:rPr>
        <w:t>8.- Fideicomisos, Mandatos y Análogos</w:t>
      </w:r>
    </w:p>
    <w:p w:rsidR="005E0E9D" w:rsidRPr="0005019D" w:rsidRDefault="00E35EF3">
      <w:pPr>
        <w:divId w:val="2054383704"/>
        <w:rPr>
          <w:rFonts w:ascii="Barlow" w:eastAsia="Times New Roman" w:hAnsi="Barlow"/>
          <w:sz w:val="20"/>
          <w:szCs w:val="20"/>
        </w:rPr>
      </w:pPr>
      <w:r w:rsidRPr="0005019D">
        <w:rPr>
          <w:rFonts w:ascii="Barlow" w:eastAsia="Times New Roman" w:hAnsi="Barlow"/>
          <w:sz w:val="20"/>
          <w:szCs w:val="20"/>
        </w:rPr>
        <w:t>Al 31 de marzo de 2024, el saldo en disponibilidades de los fideicomi</w:t>
      </w:r>
      <w:r w:rsidR="00CD0D32" w:rsidRPr="0005019D">
        <w:rPr>
          <w:rFonts w:ascii="Barlow" w:eastAsia="Times New Roman" w:hAnsi="Barlow"/>
          <w:sz w:val="20"/>
          <w:szCs w:val="20"/>
        </w:rPr>
        <w:t>sos asciende a $2’004,511,146.90</w:t>
      </w:r>
      <w:r w:rsidRPr="0005019D">
        <w:rPr>
          <w:rFonts w:ascii="Barlow" w:eastAsia="Times New Roman" w:hAnsi="Barlow"/>
          <w:sz w:val="20"/>
          <w:szCs w:val="20"/>
        </w:rPr>
        <w:t xml:space="preserve">; se enlistan a continuación los fideicomisos cuyo saldo conforma el </w:t>
      </w:r>
      <w:r w:rsidR="00D44B5C" w:rsidRPr="0005019D">
        <w:rPr>
          <w:rFonts w:ascii="Barlow" w:eastAsia="Times New Roman" w:hAnsi="Barlow"/>
          <w:sz w:val="20"/>
          <w:szCs w:val="20"/>
        </w:rPr>
        <w:t>99.9</w:t>
      </w:r>
      <w:r w:rsidRPr="0005019D">
        <w:rPr>
          <w:rFonts w:ascii="Barlow" w:eastAsia="Times New Roman" w:hAnsi="Barlow"/>
          <w:sz w:val="20"/>
          <w:szCs w:val="20"/>
        </w:rPr>
        <w:t>% del monto saldo de la cuenta.</w:t>
      </w:r>
    </w:p>
    <w:p w:rsidR="00CD0D32" w:rsidRPr="0005019D" w:rsidRDefault="00CD0D32">
      <w:pPr>
        <w:divId w:val="2054383704"/>
        <w:rPr>
          <w:rFonts w:ascii="Barlow" w:eastAsia="Times New Roman" w:hAnsi="Barlow"/>
          <w:sz w:val="20"/>
          <w:szCs w:val="20"/>
        </w:rPr>
      </w:pPr>
    </w:p>
    <w:tbl>
      <w:tblPr>
        <w:tblW w:w="12860" w:type="dxa"/>
        <w:tblCellMar>
          <w:left w:w="70" w:type="dxa"/>
          <w:right w:w="70" w:type="dxa"/>
        </w:tblCellMar>
        <w:tblLook w:val="04A0" w:firstRow="1" w:lastRow="0" w:firstColumn="1" w:lastColumn="0" w:noHBand="0" w:noVBand="1"/>
      </w:tblPr>
      <w:tblGrid>
        <w:gridCol w:w="3640"/>
        <w:gridCol w:w="7300"/>
        <w:gridCol w:w="1920"/>
      </w:tblGrid>
      <w:tr w:rsidR="00CD0D32" w:rsidRPr="0005019D" w:rsidTr="00CD0D32">
        <w:trPr>
          <w:divId w:val="2054383704"/>
          <w:trHeight w:val="255"/>
        </w:trPr>
        <w:tc>
          <w:tcPr>
            <w:tcW w:w="3640" w:type="dxa"/>
            <w:tcBorders>
              <w:top w:val="nil"/>
              <w:left w:val="nil"/>
              <w:bottom w:val="nil"/>
              <w:right w:val="nil"/>
            </w:tcBorders>
            <w:shd w:val="clear" w:color="auto" w:fill="auto"/>
            <w:noWrap/>
            <w:vAlign w:val="bottom"/>
            <w:hideMark/>
          </w:tcPr>
          <w:p w:rsidR="00CD0D32" w:rsidRPr="0005019D" w:rsidRDefault="00CD0D32" w:rsidP="00CD0D32">
            <w:pPr>
              <w:spacing w:after="0" w:line="240" w:lineRule="auto"/>
              <w:jc w:val="center"/>
              <w:rPr>
                <w:rFonts w:ascii="Barlow" w:eastAsia="Times New Roman" w:hAnsi="Barlow" w:cs="Arial"/>
                <w:b/>
                <w:bCs/>
                <w:color w:val="000000"/>
                <w:sz w:val="16"/>
                <w:szCs w:val="16"/>
              </w:rPr>
            </w:pPr>
            <w:r w:rsidRPr="0005019D">
              <w:rPr>
                <w:rFonts w:ascii="Barlow" w:eastAsia="Times New Roman" w:hAnsi="Barlow" w:cs="Arial"/>
                <w:b/>
                <w:bCs/>
                <w:color w:val="000000"/>
                <w:sz w:val="16"/>
                <w:szCs w:val="16"/>
              </w:rPr>
              <w:t>Ramo Administrativo que lo reporta</w:t>
            </w:r>
          </w:p>
        </w:tc>
        <w:tc>
          <w:tcPr>
            <w:tcW w:w="7300" w:type="dxa"/>
            <w:tcBorders>
              <w:top w:val="nil"/>
              <w:left w:val="nil"/>
              <w:bottom w:val="nil"/>
              <w:right w:val="nil"/>
            </w:tcBorders>
            <w:shd w:val="clear" w:color="auto" w:fill="auto"/>
            <w:vAlign w:val="bottom"/>
            <w:hideMark/>
          </w:tcPr>
          <w:p w:rsidR="00CD0D32" w:rsidRPr="0005019D" w:rsidRDefault="00CD0D32" w:rsidP="00CD0D32">
            <w:pPr>
              <w:spacing w:after="0" w:line="240" w:lineRule="auto"/>
              <w:jc w:val="center"/>
              <w:rPr>
                <w:rFonts w:ascii="Barlow" w:eastAsia="Times New Roman" w:hAnsi="Barlow" w:cs="Arial"/>
                <w:b/>
                <w:bCs/>
                <w:color w:val="000000"/>
                <w:sz w:val="16"/>
                <w:szCs w:val="16"/>
              </w:rPr>
            </w:pPr>
            <w:r w:rsidRPr="0005019D">
              <w:rPr>
                <w:rFonts w:ascii="Barlow" w:eastAsia="Times New Roman" w:hAnsi="Barlow" w:cs="Arial"/>
                <w:b/>
                <w:bCs/>
                <w:color w:val="000000"/>
                <w:sz w:val="16"/>
                <w:szCs w:val="16"/>
              </w:rPr>
              <w:t>Nombre</w:t>
            </w:r>
          </w:p>
        </w:tc>
        <w:tc>
          <w:tcPr>
            <w:tcW w:w="1920" w:type="dxa"/>
            <w:tcBorders>
              <w:top w:val="nil"/>
              <w:left w:val="nil"/>
              <w:bottom w:val="nil"/>
              <w:right w:val="nil"/>
            </w:tcBorders>
            <w:shd w:val="clear" w:color="auto" w:fill="auto"/>
            <w:noWrap/>
            <w:vAlign w:val="bottom"/>
            <w:hideMark/>
          </w:tcPr>
          <w:p w:rsidR="00CD0D32" w:rsidRPr="0005019D" w:rsidRDefault="00CD0D32" w:rsidP="00CD0D32">
            <w:pPr>
              <w:spacing w:after="0" w:line="240" w:lineRule="auto"/>
              <w:jc w:val="center"/>
              <w:rPr>
                <w:rFonts w:ascii="Barlow" w:eastAsia="Times New Roman" w:hAnsi="Barlow" w:cs="Arial"/>
                <w:b/>
                <w:bCs/>
                <w:color w:val="000000"/>
                <w:sz w:val="16"/>
                <w:szCs w:val="16"/>
              </w:rPr>
            </w:pPr>
            <w:r w:rsidRPr="0005019D">
              <w:rPr>
                <w:rFonts w:ascii="Barlow" w:eastAsia="Times New Roman" w:hAnsi="Barlow" w:cs="Arial"/>
                <w:b/>
                <w:bCs/>
                <w:color w:val="000000"/>
                <w:sz w:val="16"/>
                <w:szCs w:val="16"/>
              </w:rPr>
              <w:t>Importe</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GENERAL DE GOBIERNO</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FONDO PARA LA ATENCIÓN DE EMERGENCIAS Y DESASTRES DEL ESTADO (FAED)</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$15,455,050.22</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GENERAL DE GOBIERNO</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FONDO ESTATAL DE AYUDA, ASISTENCIA Y REPARACION INTEGRAL</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$3,259,520.82</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OBRAS PUBLICAS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YUCATECO PARA LA DIGNIFICACION Y DESARROLLO INTEGRAL DE LOS TRABAJADORES DE LA CONSTRUCCION (FYDITRAC)</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$34,084,171.27</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EDUCACIÓN</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VIVIENDA MAGISTERIO (NUM 2112177)</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$13,743,394.88</w:t>
            </w:r>
          </w:p>
        </w:tc>
      </w:tr>
      <w:tr w:rsidR="00CD0D32" w:rsidRPr="0005019D" w:rsidTr="00CD0D32">
        <w:trPr>
          <w:divId w:val="2054383704"/>
          <w:trHeight w:val="5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lastRenderedPageBreak/>
              <w:t>SECRETARIA DE EDUCACIÓN</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PROGRAMA DE BECAS NACIONALES PARA LA EDUCACIÓN SUPERIOR DE MANUTENCIÓN PARA EL ESTADO DE YUCATÁN</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$15,734,430.02</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DESARROLLO RURAL</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FONDO DE FOMENTO AGROPECUARIO DEL ESTADO DE YUCATAN (FOFAY)</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$725,917.20</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FOMENTO ECONOMICO</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FONDO INTEGRAL PARA EL DESARROLLO ECONOMICO DE YUCATAN (FIDEY)</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$76,948,425.56</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FOMENTO TURISTICO</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PARA LA PROMOCIÓN TURÍSTICA DEL ESTADO DE YUCATÁN</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$75,709,377.23</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DESARROLLO SUSTENTABLE</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FONDO METROPOLITANO DE YUCATAN</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$4,291,440.70</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DESARROLLO SUSTENTABLE</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SISTEMA INTEGRAL DE TRANSPORTE DE LA ZONA METROPOLITANA DE MERIDA YUCATAN (SITMERIDA)</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$126,190,266.82</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DESARROLLO SUSTENTABLE</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F/2460492</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$179,295,014.88</w:t>
            </w:r>
          </w:p>
        </w:tc>
      </w:tr>
      <w:tr w:rsidR="00CD0D32" w:rsidRPr="0005019D" w:rsidTr="00CD0D32">
        <w:trPr>
          <w:divId w:val="2054383704"/>
          <w:trHeight w:val="570"/>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DESARROLLO SUSTENTABLE</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SISTEMA INTEGRAL DE TRANSPORTE DE LA ZONA METROPOLITANA DE MERIDA YUCATAN ETAPA 2</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$399,381,142.20</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F/0002 PROTEGO CASA DE BOLSA DIV FIDUCIARIA</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$3,062,587.02</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F/0007 PROTEGO CASA DE BOLSA DIV FIDUCIARIA</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$33,149,243.14</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F/0019 PROTEGO CASA DE BOLSA SA DE CV FID</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$66,815,564.94</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F/0173</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$6,849,138.99</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F/0199 EVERCORE CASA DE BOLSA SA DE CV DIV. FIDUCIARIA</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$1,192,873.89</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NO. F/4109088</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$200,765,162.61</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F/4109146</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$126,908,609.28</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PARA EL DESARROLLO REGIONAL DEL SUR SURESTE 2050. FIDESUR</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$700,000.00</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No. F/4130480</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$620,249,606.59</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SECRETARIA DE ADMINISTRACIÓN Y FINANZAS</w:t>
            </w: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Barlow" w:eastAsia="Times New Roman" w:hAnsi="Barlow" w:cs="Arial"/>
                <w:color w:val="000000"/>
                <w:sz w:val="16"/>
                <w:szCs w:val="16"/>
              </w:rPr>
            </w:pPr>
            <w:r w:rsidRPr="0005019D">
              <w:rPr>
                <w:rFonts w:ascii="Barlow" w:eastAsia="Times New Roman" w:hAnsi="Barlow" w:cs="Arial"/>
                <w:color w:val="000000"/>
                <w:sz w:val="16"/>
                <w:szCs w:val="16"/>
              </w:rPr>
              <w:t>FIDEICOMISO DE INVERSION Y ADMINISTRACION No. F/4137634 BBVA</w:t>
            </w:r>
          </w:p>
        </w:tc>
        <w:tc>
          <w:tcPr>
            <w:tcW w:w="1920" w:type="dxa"/>
            <w:tcBorders>
              <w:top w:val="nil"/>
              <w:left w:val="nil"/>
              <w:bottom w:val="nil"/>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$2.00</w:t>
            </w:r>
          </w:p>
        </w:tc>
      </w:tr>
      <w:tr w:rsidR="00CD0D32" w:rsidRPr="0005019D" w:rsidTr="00CD0D32">
        <w:trPr>
          <w:divId w:val="2054383704"/>
          <w:trHeight w:val="255"/>
        </w:trPr>
        <w:tc>
          <w:tcPr>
            <w:tcW w:w="3640" w:type="dxa"/>
            <w:tcBorders>
              <w:top w:val="nil"/>
              <w:left w:val="nil"/>
              <w:bottom w:val="nil"/>
              <w:right w:val="nil"/>
            </w:tcBorders>
            <w:shd w:val="clear" w:color="auto" w:fill="auto"/>
            <w:hideMark/>
          </w:tcPr>
          <w:p w:rsidR="00CD0D32" w:rsidRPr="0005019D" w:rsidRDefault="00CD0D32" w:rsidP="00CD0D32">
            <w:pPr>
              <w:spacing w:after="0" w:line="240" w:lineRule="auto"/>
              <w:jc w:val="right"/>
              <w:rPr>
                <w:rFonts w:ascii="Barlow" w:eastAsia="Times New Roman" w:hAnsi="Barlow" w:cs="Arial"/>
                <w:color w:val="000000"/>
                <w:sz w:val="16"/>
                <w:szCs w:val="16"/>
              </w:rPr>
            </w:pPr>
          </w:p>
        </w:tc>
        <w:tc>
          <w:tcPr>
            <w:tcW w:w="7300" w:type="dxa"/>
            <w:tcBorders>
              <w:top w:val="nil"/>
              <w:left w:val="nil"/>
              <w:bottom w:val="nil"/>
              <w:right w:val="nil"/>
            </w:tcBorders>
            <w:shd w:val="clear" w:color="auto" w:fill="auto"/>
            <w:hideMark/>
          </w:tcPr>
          <w:p w:rsidR="00CD0D32" w:rsidRPr="0005019D" w:rsidRDefault="00CD0D32" w:rsidP="00CD0D32">
            <w:pPr>
              <w:spacing w:after="0" w:line="240" w:lineRule="auto"/>
              <w:rPr>
                <w:rFonts w:ascii="Times New Roman" w:eastAsia="Times New Roman" w:hAnsi="Times New Roman" w:cs="Times New Roman"/>
                <w:sz w:val="20"/>
                <w:szCs w:val="20"/>
              </w:rPr>
            </w:pPr>
          </w:p>
        </w:tc>
        <w:tc>
          <w:tcPr>
            <w:tcW w:w="1920" w:type="dxa"/>
            <w:tcBorders>
              <w:top w:val="single" w:sz="4" w:space="0" w:color="auto"/>
              <w:left w:val="nil"/>
              <w:bottom w:val="double" w:sz="6" w:space="0" w:color="auto"/>
              <w:right w:val="nil"/>
            </w:tcBorders>
            <w:shd w:val="clear" w:color="auto" w:fill="auto"/>
            <w:noWrap/>
            <w:hideMark/>
          </w:tcPr>
          <w:p w:rsidR="00CD0D32" w:rsidRPr="0005019D" w:rsidRDefault="00CD0D32" w:rsidP="00CD0D32">
            <w:pPr>
              <w:spacing w:after="0" w:line="240" w:lineRule="auto"/>
              <w:jc w:val="right"/>
              <w:rPr>
                <w:rFonts w:ascii="Barlow" w:eastAsia="Times New Roman" w:hAnsi="Barlow" w:cs="Arial"/>
                <w:color w:val="000000"/>
                <w:sz w:val="16"/>
                <w:szCs w:val="16"/>
              </w:rPr>
            </w:pPr>
            <w:r w:rsidRPr="0005019D">
              <w:rPr>
                <w:rFonts w:ascii="Barlow" w:eastAsia="Times New Roman" w:hAnsi="Barlow" w:cs="Arial"/>
                <w:color w:val="000000"/>
                <w:sz w:val="16"/>
                <w:szCs w:val="16"/>
              </w:rPr>
              <w:t>$2,004,510,940.26</w:t>
            </w:r>
          </w:p>
        </w:tc>
      </w:tr>
    </w:tbl>
    <w:p w:rsidR="005E0E9D" w:rsidRPr="0005019D" w:rsidRDefault="005E0E9D">
      <w:pPr>
        <w:divId w:val="580336499"/>
        <w:rPr>
          <w:rFonts w:ascii="Barlow" w:eastAsia="Times New Roman" w:hAnsi="Barlow"/>
          <w:sz w:val="20"/>
          <w:szCs w:val="20"/>
        </w:rPr>
      </w:pPr>
    </w:p>
    <w:p w:rsidR="005E0E9D" w:rsidRPr="0005019D" w:rsidRDefault="00E35EF3">
      <w:pPr>
        <w:divId w:val="583294709"/>
        <w:rPr>
          <w:rFonts w:ascii="Barlow" w:eastAsia="Times New Roman" w:hAnsi="Barlow"/>
          <w:sz w:val="20"/>
          <w:szCs w:val="20"/>
        </w:rPr>
      </w:pPr>
      <w:r w:rsidRPr="0005019D">
        <w:rPr>
          <w:rStyle w:val="Textoennegrita"/>
          <w:rFonts w:ascii="Barlow" w:eastAsia="Times New Roman" w:hAnsi="Barlow"/>
          <w:sz w:val="20"/>
          <w:szCs w:val="20"/>
        </w:rPr>
        <w:t>9.- Reporte de la Recaudación.</w:t>
      </w:r>
    </w:p>
    <w:p w:rsidR="005E0E9D" w:rsidRPr="0005019D" w:rsidRDefault="00E35EF3">
      <w:pPr>
        <w:divId w:val="275794023"/>
        <w:rPr>
          <w:rFonts w:ascii="Barlow" w:eastAsia="Times New Roman" w:hAnsi="Barlow"/>
          <w:sz w:val="20"/>
          <w:szCs w:val="20"/>
        </w:rPr>
      </w:pPr>
      <w:r w:rsidRPr="0005019D">
        <w:rPr>
          <w:rFonts w:ascii="Barlow" w:eastAsia="Times New Roman" w:hAnsi="Barlow"/>
          <w:sz w:val="20"/>
          <w:szCs w:val="20"/>
        </w:rPr>
        <w:t>a) Comportamiento de la recaudación correspondiente al ente público por cualquier tipo de ingreso.</w:t>
      </w:r>
    </w:p>
    <w:p w:rsidR="005E0E9D" w:rsidRPr="0005019D" w:rsidRDefault="00E35EF3">
      <w:pPr>
        <w:divId w:val="779379769"/>
        <w:rPr>
          <w:rFonts w:ascii="Barlow" w:eastAsia="Times New Roman" w:hAnsi="Barlow"/>
          <w:sz w:val="20"/>
          <w:szCs w:val="20"/>
        </w:rPr>
      </w:pPr>
      <w:r w:rsidRPr="0005019D">
        <w:rPr>
          <w:rFonts w:ascii="Barlow" w:eastAsia="Times New Roman" w:hAnsi="Barlow"/>
          <w:sz w:val="20"/>
          <w:szCs w:val="20"/>
        </w:rPr>
        <w:t>El Congreso del Estado aprobó mediante la Ley de Ingresos 2023</w:t>
      </w:r>
      <w:r w:rsidR="008B272F" w:rsidRPr="0005019D">
        <w:rPr>
          <w:rFonts w:ascii="Barlow" w:eastAsia="Times New Roman" w:hAnsi="Barlow"/>
          <w:sz w:val="20"/>
          <w:szCs w:val="20"/>
        </w:rPr>
        <w:t xml:space="preserve"> un monto aproximado de 60’873 mdp, de los cuales 55’948</w:t>
      </w:r>
      <w:r w:rsidRPr="0005019D">
        <w:rPr>
          <w:rFonts w:ascii="Barlow" w:eastAsia="Times New Roman" w:hAnsi="Barlow"/>
          <w:sz w:val="20"/>
          <w:szCs w:val="20"/>
        </w:rPr>
        <w:t xml:space="preserve"> mdp corresp</w:t>
      </w:r>
      <w:r w:rsidR="008B272F" w:rsidRPr="0005019D">
        <w:rPr>
          <w:rFonts w:ascii="Barlow" w:eastAsia="Times New Roman" w:hAnsi="Barlow"/>
          <w:sz w:val="20"/>
          <w:szCs w:val="20"/>
        </w:rPr>
        <w:t xml:space="preserve">onden al Poder Ejecutivo; 1’829 </w:t>
      </w:r>
      <w:r w:rsidRPr="0005019D">
        <w:rPr>
          <w:rFonts w:ascii="Barlow" w:eastAsia="Times New Roman" w:hAnsi="Barlow"/>
          <w:sz w:val="20"/>
          <w:szCs w:val="20"/>
        </w:rPr>
        <w:t>mdp a Cuotas y aportaci</w:t>
      </w:r>
      <w:r w:rsidR="008B272F" w:rsidRPr="0005019D">
        <w:rPr>
          <w:rFonts w:ascii="Barlow" w:eastAsia="Times New Roman" w:hAnsi="Barlow"/>
          <w:sz w:val="20"/>
          <w:szCs w:val="20"/>
        </w:rPr>
        <w:t>ones de Seguridad Social y 3’095</w:t>
      </w:r>
      <w:r w:rsidRPr="0005019D">
        <w:rPr>
          <w:rFonts w:ascii="Barlow" w:eastAsia="Times New Roman" w:hAnsi="Barlow"/>
          <w:sz w:val="20"/>
          <w:szCs w:val="20"/>
        </w:rPr>
        <w:t xml:space="preserve"> mdp por concepto de ingresos por ventas de bienes y servicios del sector paraestatal.</w:t>
      </w:r>
    </w:p>
    <w:p w:rsidR="005E0E9D" w:rsidRPr="0005019D" w:rsidRDefault="005E0E9D">
      <w:pPr>
        <w:divId w:val="123744632"/>
        <w:rPr>
          <w:rFonts w:ascii="Barlow" w:eastAsia="Times New Roman" w:hAnsi="Barlow"/>
          <w:sz w:val="20"/>
          <w:szCs w:val="20"/>
        </w:rPr>
      </w:pPr>
    </w:p>
    <w:p w:rsidR="005E0E9D" w:rsidRPr="0005019D" w:rsidRDefault="00E35EF3">
      <w:pPr>
        <w:divId w:val="1893153123"/>
        <w:rPr>
          <w:rFonts w:ascii="Barlow" w:eastAsia="Times New Roman" w:hAnsi="Barlow"/>
          <w:sz w:val="20"/>
          <w:szCs w:val="20"/>
        </w:rPr>
      </w:pPr>
      <w:r w:rsidRPr="0005019D">
        <w:rPr>
          <w:rFonts w:ascii="Barlow" w:eastAsia="Times New Roman" w:hAnsi="Barlow"/>
          <w:sz w:val="20"/>
          <w:szCs w:val="20"/>
        </w:rPr>
        <w:t>c) Proyección de la recaudación de ingresos a mediano pla</w:t>
      </w:r>
      <w:r w:rsidR="008B272F" w:rsidRPr="0005019D">
        <w:rPr>
          <w:rFonts w:ascii="Barlow" w:eastAsia="Times New Roman" w:hAnsi="Barlow"/>
          <w:sz w:val="20"/>
          <w:szCs w:val="20"/>
        </w:rPr>
        <w:t>zo según la Ley de Ingresos 2024</w:t>
      </w:r>
      <w:r w:rsidRPr="0005019D">
        <w:rPr>
          <w:rFonts w:ascii="Barlow" w:eastAsia="Times New Roman" w:hAnsi="Barlow"/>
          <w:sz w:val="20"/>
          <w:szCs w:val="20"/>
        </w:rPr>
        <w:t>.</w:t>
      </w:r>
    </w:p>
    <w:p w:rsidR="005E0E9D" w:rsidRPr="0005019D" w:rsidRDefault="005E0E9D">
      <w:pPr>
        <w:divId w:val="564266969"/>
        <w:rPr>
          <w:rFonts w:ascii="Barlow" w:eastAsia="Times New Roman" w:hAnsi="Barlo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
        <w:gridCol w:w="6143"/>
        <w:gridCol w:w="1648"/>
        <w:gridCol w:w="1739"/>
        <w:gridCol w:w="2681"/>
      </w:tblGrid>
      <w:tr w:rsidR="005E0E9D" w:rsidRPr="0005019D">
        <w:trPr>
          <w:divId w:val="1392541441"/>
          <w:tblCellSpacing w:w="15" w:type="dxa"/>
        </w:trPr>
        <w:tc>
          <w:tcPr>
            <w:tcW w:w="0" w:type="auto"/>
            <w:vAlign w:val="center"/>
            <w:hideMark/>
          </w:tcPr>
          <w:p w:rsidR="005E0E9D" w:rsidRPr="0005019D" w:rsidRDefault="00E35EF3">
            <w:pPr>
              <w:jc w:val="center"/>
              <w:rPr>
                <w:rFonts w:ascii="Barlow" w:eastAsia="Times New Roman" w:hAnsi="Barlow"/>
                <w:sz w:val="18"/>
                <w:szCs w:val="18"/>
              </w:rPr>
            </w:pPr>
            <w:r w:rsidRPr="0005019D">
              <w:rPr>
                <w:rStyle w:val="Textoennegrita"/>
                <w:rFonts w:ascii="Barlow" w:eastAsia="Times New Roman" w:hAnsi="Barlow"/>
                <w:color w:val="000000"/>
                <w:sz w:val="18"/>
                <w:szCs w:val="18"/>
              </w:rPr>
              <w:lastRenderedPageBreak/>
              <w:t>CUENTA</w:t>
            </w:r>
          </w:p>
        </w:tc>
        <w:tc>
          <w:tcPr>
            <w:tcW w:w="0" w:type="auto"/>
            <w:vAlign w:val="center"/>
            <w:hideMark/>
          </w:tcPr>
          <w:p w:rsidR="005E0E9D" w:rsidRPr="0005019D" w:rsidRDefault="00E35EF3">
            <w:pPr>
              <w:jc w:val="center"/>
              <w:rPr>
                <w:rFonts w:ascii="Barlow" w:eastAsia="Times New Roman" w:hAnsi="Barlow"/>
                <w:sz w:val="18"/>
                <w:szCs w:val="18"/>
              </w:rPr>
            </w:pPr>
            <w:r w:rsidRPr="0005019D">
              <w:rPr>
                <w:rStyle w:val="Textoennegrita"/>
                <w:rFonts w:ascii="Barlow" w:eastAsia="Times New Roman" w:hAnsi="Barlow"/>
                <w:color w:val="000000"/>
                <w:sz w:val="18"/>
                <w:szCs w:val="18"/>
              </w:rPr>
              <w:t>CONCEPTO</w:t>
            </w:r>
          </w:p>
        </w:tc>
        <w:tc>
          <w:tcPr>
            <w:tcW w:w="0" w:type="auto"/>
            <w:vAlign w:val="center"/>
            <w:hideMark/>
          </w:tcPr>
          <w:p w:rsidR="005E0E9D" w:rsidRPr="0005019D" w:rsidRDefault="00E35EF3">
            <w:pPr>
              <w:jc w:val="center"/>
              <w:rPr>
                <w:rFonts w:ascii="Barlow" w:eastAsia="Times New Roman" w:hAnsi="Barlow"/>
                <w:sz w:val="18"/>
                <w:szCs w:val="18"/>
              </w:rPr>
            </w:pPr>
            <w:r w:rsidRPr="0005019D">
              <w:rPr>
                <w:rStyle w:val="Textoennegrita"/>
                <w:rFonts w:ascii="Barlow" w:eastAsia="Times New Roman" w:hAnsi="Barlow"/>
                <w:color w:val="000000"/>
                <w:sz w:val="18"/>
                <w:szCs w:val="18"/>
              </w:rPr>
              <w:t>Ley de Ingresos 2024</w:t>
            </w:r>
          </w:p>
        </w:tc>
        <w:tc>
          <w:tcPr>
            <w:tcW w:w="0" w:type="auto"/>
            <w:vAlign w:val="center"/>
            <w:hideMark/>
          </w:tcPr>
          <w:p w:rsidR="005E0E9D" w:rsidRPr="0005019D" w:rsidRDefault="00E35EF3">
            <w:pPr>
              <w:jc w:val="center"/>
              <w:rPr>
                <w:rFonts w:ascii="Times New Roman" w:eastAsia="Times New Roman" w:hAnsi="Times New Roman"/>
                <w:sz w:val="24"/>
                <w:szCs w:val="24"/>
              </w:rPr>
            </w:pPr>
            <w:r w:rsidRPr="0005019D">
              <w:rPr>
                <w:rStyle w:val="Textoennegrita"/>
                <w:rFonts w:eastAsia="Times New Roman"/>
                <w:color w:val="000000"/>
              </w:rPr>
              <w:t>Recaudación 2024</w:t>
            </w:r>
          </w:p>
        </w:tc>
        <w:tc>
          <w:tcPr>
            <w:tcW w:w="0" w:type="auto"/>
            <w:vAlign w:val="center"/>
            <w:hideMark/>
          </w:tcPr>
          <w:p w:rsidR="005E0E9D" w:rsidRPr="0005019D" w:rsidRDefault="00E35EF3">
            <w:pPr>
              <w:jc w:val="center"/>
              <w:rPr>
                <w:rFonts w:ascii="Barlow" w:eastAsia="Times New Roman" w:hAnsi="Barlow"/>
                <w:sz w:val="18"/>
                <w:szCs w:val="18"/>
              </w:rPr>
            </w:pPr>
            <w:r w:rsidRPr="0005019D">
              <w:rPr>
                <w:rStyle w:val="Textoennegrita"/>
                <w:rFonts w:ascii="Barlow" w:eastAsia="Times New Roman" w:hAnsi="Barlow"/>
                <w:color w:val="000000"/>
                <w:sz w:val="18"/>
                <w:szCs w:val="18"/>
              </w:rPr>
              <w:t>Variación entre Ley de Ingresos y lo Recaudado</w:t>
            </w:r>
          </w:p>
        </w:tc>
      </w:tr>
      <w:tr w:rsidR="005E0E9D" w:rsidRPr="0005019D">
        <w:trPr>
          <w:divId w:val="1392541441"/>
          <w:tblCellSpacing w:w="15" w:type="dxa"/>
        </w:trPr>
        <w:tc>
          <w:tcPr>
            <w:tcW w:w="0" w:type="auto"/>
            <w:vAlign w:val="center"/>
            <w:hideMark/>
          </w:tcPr>
          <w:p w:rsidR="005E0E9D" w:rsidRPr="0005019D" w:rsidRDefault="00E35EF3">
            <w:pPr>
              <w:divId w:val="132216797"/>
              <w:rPr>
                <w:rFonts w:ascii="Barlow" w:eastAsia="Times New Roman" w:hAnsi="Barlow"/>
                <w:color w:val="000000"/>
                <w:sz w:val="18"/>
                <w:szCs w:val="18"/>
              </w:rPr>
            </w:pPr>
            <w:r w:rsidRPr="0005019D">
              <w:rPr>
                <w:rFonts w:ascii="Barlow" w:eastAsia="Times New Roman" w:hAnsi="Barlow"/>
                <w:color w:val="000000"/>
                <w:sz w:val="18"/>
                <w:szCs w:val="18"/>
              </w:rPr>
              <w:t>1</w:t>
            </w:r>
          </w:p>
        </w:tc>
        <w:tc>
          <w:tcPr>
            <w:tcW w:w="0" w:type="auto"/>
            <w:vAlign w:val="center"/>
            <w:hideMark/>
          </w:tcPr>
          <w:p w:rsidR="005E0E9D" w:rsidRPr="0005019D" w:rsidRDefault="00E35EF3">
            <w:pPr>
              <w:divId w:val="179976172"/>
              <w:rPr>
                <w:rFonts w:ascii="Barlow" w:eastAsia="Times New Roman" w:hAnsi="Barlow"/>
                <w:sz w:val="18"/>
                <w:szCs w:val="18"/>
              </w:rPr>
            </w:pPr>
            <w:r w:rsidRPr="0005019D">
              <w:rPr>
                <w:rFonts w:ascii="Barlow" w:eastAsia="Times New Roman" w:hAnsi="Barlow"/>
                <w:color w:val="000000"/>
                <w:sz w:val="18"/>
                <w:szCs w:val="18"/>
              </w:rPr>
              <w:t>IMPUESTOS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4,299,151,024.00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1,051,997,965.00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-3,247,153,059.00</w:t>
            </w:r>
          </w:p>
        </w:tc>
      </w:tr>
      <w:tr w:rsidR="005E0E9D" w:rsidRPr="0005019D">
        <w:trPr>
          <w:divId w:val="1392541441"/>
          <w:tblCellSpacing w:w="15" w:type="dxa"/>
        </w:trPr>
        <w:tc>
          <w:tcPr>
            <w:tcW w:w="0" w:type="auto"/>
            <w:vAlign w:val="center"/>
            <w:hideMark/>
          </w:tcPr>
          <w:p w:rsidR="005E0E9D" w:rsidRPr="0005019D" w:rsidRDefault="00E35EF3">
            <w:pPr>
              <w:divId w:val="2090341393"/>
              <w:rPr>
                <w:rFonts w:ascii="Barlow" w:eastAsia="Times New Roman" w:hAnsi="Barlow"/>
                <w:color w:val="000000"/>
                <w:sz w:val="18"/>
                <w:szCs w:val="18"/>
              </w:rPr>
            </w:pPr>
            <w:r w:rsidRPr="0005019D">
              <w:rPr>
                <w:rFonts w:ascii="Barlow" w:eastAsia="Times New Roman" w:hAnsi="Barlow"/>
                <w:color w:val="000000"/>
                <w:sz w:val="18"/>
                <w:szCs w:val="18"/>
              </w:rPr>
              <w:t>4</w:t>
            </w:r>
          </w:p>
        </w:tc>
        <w:tc>
          <w:tcPr>
            <w:tcW w:w="0" w:type="auto"/>
            <w:vAlign w:val="center"/>
            <w:hideMark/>
          </w:tcPr>
          <w:p w:rsidR="005E0E9D" w:rsidRPr="0005019D" w:rsidRDefault="00E35EF3">
            <w:pPr>
              <w:divId w:val="1263489061"/>
              <w:rPr>
                <w:rFonts w:ascii="Barlow" w:eastAsia="Times New Roman" w:hAnsi="Barlow"/>
                <w:sz w:val="18"/>
                <w:szCs w:val="18"/>
              </w:rPr>
            </w:pPr>
            <w:r w:rsidRPr="0005019D">
              <w:rPr>
                <w:rFonts w:ascii="Barlow" w:eastAsia="Times New Roman" w:hAnsi="Barlow"/>
                <w:color w:val="000000"/>
                <w:sz w:val="18"/>
                <w:szCs w:val="18"/>
              </w:rPr>
              <w:t>DERECHOS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2,289,493,037.00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626,014,064.70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-1,663,478,972.30</w:t>
            </w:r>
          </w:p>
        </w:tc>
      </w:tr>
      <w:tr w:rsidR="005E0E9D" w:rsidRPr="0005019D">
        <w:trPr>
          <w:divId w:val="1392541441"/>
          <w:tblCellSpacing w:w="15" w:type="dxa"/>
        </w:trPr>
        <w:tc>
          <w:tcPr>
            <w:tcW w:w="0" w:type="auto"/>
            <w:vAlign w:val="center"/>
            <w:hideMark/>
          </w:tcPr>
          <w:p w:rsidR="005E0E9D" w:rsidRPr="0005019D" w:rsidRDefault="00E35EF3">
            <w:pPr>
              <w:divId w:val="1112477076"/>
              <w:rPr>
                <w:rFonts w:ascii="Barlow" w:eastAsia="Times New Roman" w:hAnsi="Barlow"/>
                <w:color w:val="000000"/>
                <w:sz w:val="18"/>
                <w:szCs w:val="18"/>
              </w:rPr>
            </w:pPr>
            <w:r w:rsidRPr="0005019D">
              <w:rPr>
                <w:rFonts w:ascii="Barlow" w:eastAsia="Times New Roman" w:hAnsi="Barlow"/>
                <w:color w:val="000000"/>
                <w:sz w:val="18"/>
                <w:szCs w:val="18"/>
              </w:rPr>
              <w:t>5</w:t>
            </w:r>
          </w:p>
        </w:tc>
        <w:tc>
          <w:tcPr>
            <w:tcW w:w="0" w:type="auto"/>
            <w:vAlign w:val="center"/>
            <w:hideMark/>
          </w:tcPr>
          <w:p w:rsidR="005E0E9D" w:rsidRPr="0005019D" w:rsidRDefault="00E35EF3">
            <w:pPr>
              <w:divId w:val="1988123748"/>
              <w:rPr>
                <w:rFonts w:ascii="Barlow" w:eastAsia="Times New Roman" w:hAnsi="Barlow"/>
                <w:sz w:val="18"/>
                <w:szCs w:val="18"/>
              </w:rPr>
            </w:pPr>
            <w:r w:rsidRPr="0005019D">
              <w:rPr>
                <w:rFonts w:ascii="Barlow" w:eastAsia="Times New Roman" w:hAnsi="Barlow"/>
                <w:color w:val="000000"/>
                <w:sz w:val="18"/>
                <w:szCs w:val="18"/>
              </w:rPr>
              <w:t>PRODUCTOS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398,099,968.00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74,402,991.39</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-323,696,976.61</w:t>
            </w:r>
          </w:p>
        </w:tc>
      </w:tr>
      <w:tr w:rsidR="005E0E9D" w:rsidRPr="0005019D">
        <w:trPr>
          <w:divId w:val="1392541441"/>
          <w:tblCellSpacing w:w="15" w:type="dxa"/>
        </w:trPr>
        <w:tc>
          <w:tcPr>
            <w:tcW w:w="0" w:type="auto"/>
            <w:vAlign w:val="center"/>
            <w:hideMark/>
          </w:tcPr>
          <w:p w:rsidR="005E0E9D" w:rsidRPr="0005019D" w:rsidRDefault="00E35EF3">
            <w:pPr>
              <w:divId w:val="20667099"/>
              <w:rPr>
                <w:rFonts w:ascii="Barlow" w:eastAsia="Times New Roman" w:hAnsi="Barlow"/>
                <w:color w:val="000000"/>
                <w:sz w:val="18"/>
                <w:szCs w:val="18"/>
              </w:rPr>
            </w:pPr>
            <w:r w:rsidRPr="0005019D">
              <w:rPr>
                <w:rFonts w:ascii="Barlow" w:eastAsia="Times New Roman" w:hAnsi="Barlow"/>
                <w:color w:val="000000"/>
                <w:sz w:val="18"/>
                <w:szCs w:val="18"/>
              </w:rPr>
              <w:t>6</w:t>
            </w:r>
          </w:p>
        </w:tc>
        <w:tc>
          <w:tcPr>
            <w:tcW w:w="0" w:type="auto"/>
            <w:vAlign w:val="center"/>
            <w:hideMark/>
          </w:tcPr>
          <w:p w:rsidR="005E0E9D" w:rsidRPr="0005019D" w:rsidRDefault="00E35EF3">
            <w:pPr>
              <w:divId w:val="770054343"/>
              <w:rPr>
                <w:rFonts w:ascii="Barlow" w:eastAsia="Times New Roman" w:hAnsi="Barlow"/>
                <w:sz w:val="18"/>
                <w:szCs w:val="18"/>
              </w:rPr>
            </w:pPr>
            <w:r w:rsidRPr="0005019D">
              <w:rPr>
                <w:rFonts w:ascii="Barlow" w:eastAsia="Times New Roman" w:hAnsi="Barlow"/>
                <w:color w:val="000000"/>
                <w:sz w:val="18"/>
                <w:szCs w:val="18"/>
              </w:rPr>
              <w:t>APROVECHAMIENTOS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521,884,059.00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60,028,665.23</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-461,855,393.77</w:t>
            </w:r>
          </w:p>
        </w:tc>
      </w:tr>
      <w:tr w:rsidR="005E0E9D" w:rsidRPr="0005019D">
        <w:trPr>
          <w:divId w:val="1392541441"/>
          <w:tblCellSpacing w:w="15" w:type="dxa"/>
        </w:trPr>
        <w:tc>
          <w:tcPr>
            <w:tcW w:w="0" w:type="auto"/>
            <w:vAlign w:val="center"/>
            <w:hideMark/>
          </w:tcPr>
          <w:p w:rsidR="005E0E9D" w:rsidRPr="0005019D" w:rsidRDefault="00E35EF3">
            <w:pPr>
              <w:divId w:val="516891368"/>
              <w:rPr>
                <w:rFonts w:ascii="Barlow" w:eastAsia="Times New Roman" w:hAnsi="Barlow"/>
                <w:color w:val="000000"/>
                <w:sz w:val="18"/>
                <w:szCs w:val="18"/>
              </w:rPr>
            </w:pPr>
            <w:r w:rsidRPr="0005019D">
              <w:rPr>
                <w:rFonts w:ascii="Barlow" w:eastAsia="Times New Roman" w:hAnsi="Barlow"/>
                <w:color w:val="000000"/>
                <w:sz w:val="18"/>
                <w:szCs w:val="18"/>
              </w:rPr>
              <w:t>8</w:t>
            </w:r>
          </w:p>
        </w:tc>
        <w:tc>
          <w:tcPr>
            <w:tcW w:w="0" w:type="auto"/>
            <w:vAlign w:val="center"/>
            <w:hideMark/>
          </w:tcPr>
          <w:p w:rsidR="005E0E9D" w:rsidRPr="0005019D" w:rsidRDefault="00E35EF3">
            <w:pPr>
              <w:divId w:val="825901668"/>
              <w:rPr>
                <w:rFonts w:ascii="Barlow" w:eastAsia="Times New Roman" w:hAnsi="Barlow"/>
                <w:sz w:val="18"/>
                <w:szCs w:val="18"/>
              </w:rPr>
            </w:pPr>
            <w:r w:rsidRPr="0005019D">
              <w:rPr>
                <w:rFonts w:ascii="Barlow" w:eastAsia="Times New Roman" w:hAnsi="Barlow"/>
                <w:color w:val="000000"/>
                <w:sz w:val="18"/>
                <w:szCs w:val="18"/>
              </w:rPr>
              <w:t>PARTICIPACIONES, APORTACIONES, CONVENIOS, INCENTIVOS DERIVADOS DE LA COLABORACIÓN FISCAL Y FONDOS DISTINTOS DE APORTACIONES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42,972,082,370.00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11,023,733,990.26</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-31,948,348,379.74</w:t>
            </w:r>
          </w:p>
        </w:tc>
      </w:tr>
      <w:tr w:rsidR="005E0E9D" w:rsidRPr="0005019D">
        <w:trPr>
          <w:divId w:val="1392541441"/>
          <w:tblCellSpacing w:w="15" w:type="dxa"/>
        </w:trPr>
        <w:tc>
          <w:tcPr>
            <w:tcW w:w="0" w:type="auto"/>
            <w:vAlign w:val="center"/>
            <w:hideMark/>
          </w:tcPr>
          <w:p w:rsidR="005E0E9D" w:rsidRPr="0005019D" w:rsidRDefault="00E35EF3">
            <w:pPr>
              <w:divId w:val="176622707"/>
              <w:rPr>
                <w:rFonts w:ascii="Barlow" w:eastAsia="Times New Roman" w:hAnsi="Barlow"/>
                <w:color w:val="000000"/>
                <w:sz w:val="18"/>
                <w:szCs w:val="18"/>
              </w:rPr>
            </w:pPr>
            <w:r w:rsidRPr="0005019D">
              <w:rPr>
                <w:rFonts w:ascii="Barlow" w:eastAsia="Times New Roman" w:hAnsi="Barlow"/>
                <w:color w:val="000000"/>
                <w:sz w:val="18"/>
                <w:szCs w:val="18"/>
              </w:rPr>
              <w:t>9</w:t>
            </w:r>
          </w:p>
        </w:tc>
        <w:tc>
          <w:tcPr>
            <w:tcW w:w="0" w:type="auto"/>
            <w:vAlign w:val="center"/>
            <w:hideMark/>
          </w:tcPr>
          <w:p w:rsidR="005E0E9D" w:rsidRPr="0005019D" w:rsidRDefault="00E35EF3">
            <w:pPr>
              <w:divId w:val="510264556"/>
              <w:rPr>
                <w:rFonts w:ascii="Barlow" w:eastAsia="Times New Roman" w:hAnsi="Barlow"/>
                <w:sz w:val="18"/>
                <w:szCs w:val="18"/>
              </w:rPr>
            </w:pPr>
            <w:r w:rsidRPr="0005019D">
              <w:rPr>
                <w:rFonts w:ascii="Barlow" w:eastAsia="Times New Roman" w:hAnsi="Barlow"/>
                <w:color w:val="000000"/>
                <w:sz w:val="18"/>
                <w:szCs w:val="18"/>
              </w:rPr>
              <w:t>TRANSFERENCIAS, ASIGNACIONES, SUBSIDIOS Y SUBVENCIONES, Y PENSIONES Y JUBILACIONES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2,405,132,850.00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811,920,000.00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-1,593,212,850.00</w:t>
            </w:r>
          </w:p>
        </w:tc>
      </w:tr>
      <w:tr w:rsidR="005E0E9D" w:rsidRPr="0005019D">
        <w:trPr>
          <w:divId w:val="1392541441"/>
          <w:tblCellSpacing w:w="15" w:type="dxa"/>
        </w:trPr>
        <w:tc>
          <w:tcPr>
            <w:tcW w:w="0" w:type="auto"/>
            <w:vAlign w:val="center"/>
            <w:hideMark/>
          </w:tcPr>
          <w:p w:rsidR="005E0E9D" w:rsidRPr="0005019D" w:rsidRDefault="00E35EF3">
            <w:pPr>
              <w:divId w:val="1367101814"/>
              <w:rPr>
                <w:rFonts w:ascii="Barlow" w:eastAsia="Times New Roman" w:hAnsi="Barlow"/>
                <w:color w:val="000000"/>
                <w:sz w:val="18"/>
                <w:szCs w:val="18"/>
              </w:rPr>
            </w:pPr>
            <w:r w:rsidRPr="0005019D">
              <w:rPr>
                <w:rFonts w:ascii="Barlow" w:eastAsia="Times New Roman" w:hAnsi="Barlow"/>
                <w:color w:val="000000"/>
                <w:sz w:val="18"/>
                <w:szCs w:val="18"/>
              </w:rPr>
              <w:t>0</w:t>
            </w:r>
          </w:p>
        </w:tc>
        <w:tc>
          <w:tcPr>
            <w:tcW w:w="0" w:type="auto"/>
            <w:vAlign w:val="center"/>
            <w:hideMark/>
          </w:tcPr>
          <w:p w:rsidR="005E0E9D" w:rsidRPr="0005019D" w:rsidRDefault="00E35EF3">
            <w:pPr>
              <w:divId w:val="994190761"/>
              <w:rPr>
                <w:rFonts w:ascii="Barlow" w:eastAsia="Times New Roman" w:hAnsi="Barlow"/>
                <w:sz w:val="18"/>
                <w:szCs w:val="18"/>
              </w:rPr>
            </w:pPr>
            <w:r w:rsidRPr="0005019D">
              <w:rPr>
                <w:rFonts w:ascii="Barlow" w:eastAsia="Times New Roman" w:hAnsi="Barlow"/>
                <w:color w:val="000000"/>
                <w:sz w:val="18"/>
                <w:szCs w:val="18"/>
              </w:rPr>
              <w:t>INGRESOS DERIVADOS DE FINANCIAMIENTOS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3,063,000,000.00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-3,063,000,000.00</w:t>
            </w:r>
          </w:p>
        </w:tc>
      </w:tr>
      <w:tr w:rsidR="005E0E9D" w:rsidRPr="0005019D">
        <w:trPr>
          <w:divId w:val="1392541441"/>
          <w:tblCellSpacing w:w="15" w:type="dxa"/>
        </w:trPr>
        <w:tc>
          <w:tcPr>
            <w:tcW w:w="0" w:type="auto"/>
            <w:vAlign w:val="center"/>
            <w:hideMark/>
          </w:tcPr>
          <w:p w:rsidR="005E0E9D" w:rsidRPr="0005019D" w:rsidRDefault="005E0E9D">
            <w:pPr>
              <w:jc w:val="right"/>
              <w:rPr>
                <w:rFonts w:ascii="Barlow" w:eastAsia="Times New Roman" w:hAnsi="Barlow"/>
                <w:sz w:val="18"/>
                <w:szCs w:val="18"/>
              </w:rPr>
            </w:pPr>
          </w:p>
        </w:tc>
        <w:tc>
          <w:tcPr>
            <w:tcW w:w="0" w:type="auto"/>
            <w:vAlign w:val="center"/>
            <w:hideMark/>
          </w:tcPr>
          <w:p w:rsidR="005E0E9D" w:rsidRPr="0005019D" w:rsidRDefault="00E35EF3">
            <w:pPr>
              <w:divId w:val="1700397364"/>
              <w:rPr>
                <w:rFonts w:ascii="Barlow" w:eastAsia="Times New Roman" w:hAnsi="Barlow"/>
                <w:sz w:val="18"/>
                <w:szCs w:val="18"/>
              </w:rPr>
            </w:pPr>
            <w:r w:rsidRPr="0005019D">
              <w:rPr>
                <w:rStyle w:val="Textoennegrita"/>
                <w:rFonts w:ascii="Barlow" w:eastAsia="Times New Roman" w:hAnsi="Barlow"/>
                <w:color w:val="000000"/>
                <w:sz w:val="18"/>
                <w:szCs w:val="18"/>
              </w:rPr>
              <w:t>SUBTOTAL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18"/>
                <w:szCs w:val="18"/>
              </w:rPr>
            </w:pPr>
            <w:r w:rsidRPr="0005019D">
              <w:rPr>
                <w:rStyle w:val="Textoennegrita"/>
                <w:rFonts w:ascii="Barlow" w:eastAsia="Times New Roman" w:hAnsi="Barlow"/>
                <w:color w:val="000000"/>
                <w:sz w:val="18"/>
                <w:szCs w:val="18"/>
              </w:rPr>
              <w:t>55,948,843,308.00</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Times New Roman" w:eastAsia="Times New Roman" w:hAnsi="Times New Roman"/>
                <w:sz w:val="24"/>
                <w:szCs w:val="24"/>
              </w:rPr>
            </w:pPr>
            <w:r w:rsidRPr="0005019D">
              <w:rPr>
                <w:rStyle w:val="Textoennegrita"/>
                <w:rFonts w:eastAsia="Times New Roman"/>
                <w:color w:val="000000"/>
              </w:rPr>
              <w:t>13,648,097,676.58</w:t>
            </w:r>
          </w:p>
        </w:tc>
        <w:tc>
          <w:tcPr>
            <w:tcW w:w="0" w:type="auto"/>
            <w:tcBorders>
              <w:top w:val="single" w:sz="12" w:space="0" w:color="000000"/>
              <w:bottom w:val="single" w:sz="12" w:space="0" w:color="000000"/>
            </w:tcBorders>
            <w:vAlign w:val="center"/>
            <w:hideMark/>
          </w:tcPr>
          <w:p w:rsidR="005E0E9D" w:rsidRPr="0005019D" w:rsidRDefault="00E35EF3">
            <w:pPr>
              <w:jc w:val="right"/>
              <w:rPr>
                <w:rFonts w:eastAsia="Times New Roman"/>
              </w:rPr>
            </w:pPr>
            <w:r w:rsidRPr="0005019D">
              <w:rPr>
                <w:rStyle w:val="Textoennegrita"/>
                <w:rFonts w:eastAsia="Times New Roman"/>
                <w:color w:val="000000"/>
              </w:rPr>
              <w:t>-42,300,745,631.42</w:t>
            </w:r>
          </w:p>
        </w:tc>
      </w:tr>
      <w:tr w:rsidR="005E0E9D" w:rsidRPr="0005019D">
        <w:trPr>
          <w:divId w:val="1392541441"/>
          <w:tblCellSpacing w:w="15" w:type="dxa"/>
        </w:trPr>
        <w:tc>
          <w:tcPr>
            <w:tcW w:w="0" w:type="auto"/>
            <w:vAlign w:val="center"/>
            <w:hideMark/>
          </w:tcPr>
          <w:p w:rsidR="005E0E9D" w:rsidRPr="0005019D" w:rsidRDefault="00E35EF3">
            <w:pPr>
              <w:divId w:val="957639665"/>
              <w:rPr>
                <w:rFonts w:ascii="Barlow" w:eastAsia="Times New Roman" w:hAnsi="Barlow"/>
                <w:color w:val="000000"/>
                <w:sz w:val="18"/>
                <w:szCs w:val="18"/>
              </w:rPr>
            </w:pPr>
            <w:r w:rsidRPr="0005019D">
              <w:rPr>
                <w:rFonts w:ascii="Barlow" w:eastAsia="Times New Roman" w:hAnsi="Barlow"/>
                <w:color w:val="000000"/>
                <w:sz w:val="18"/>
                <w:szCs w:val="18"/>
              </w:rPr>
              <w:t>2</w:t>
            </w:r>
          </w:p>
        </w:tc>
        <w:tc>
          <w:tcPr>
            <w:tcW w:w="0" w:type="auto"/>
            <w:vAlign w:val="center"/>
            <w:hideMark/>
          </w:tcPr>
          <w:p w:rsidR="005E0E9D" w:rsidRPr="0005019D" w:rsidRDefault="00E35EF3">
            <w:pPr>
              <w:divId w:val="774444185"/>
              <w:rPr>
                <w:rFonts w:ascii="Barlow" w:eastAsia="Times New Roman" w:hAnsi="Barlow"/>
                <w:sz w:val="18"/>
                <w:szCs w:val="18"/>
              </w:rPr>
            </w:pPr>
            <w:r w:rsidRPr="0005019D">
              <w:rPr>
                <w:rFonts w:ascii="Barlow" w:eastAsia="Times New Roman" w:hAnsi="Barlow"/>
                <w:color w:val="000000"/>
                <w:sz w:val="18"/>
                <w:szCs w:val="18"/>
              </w:rPr>
              <w:t>CUOTAS Y APORTACIONES DE SEGURIDAD SOCIAL</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1,829,291,408.00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-1,829,291,408.00</w:t>
            </w:r>
          </w:p>
        </w:tc>
      </w:tr>
      <w:tr w:rsidR="005E0E9D" w:rsidRPr="0005019D">
        <w:trPr>
          <w:divId w:val="1392541441"/>
          <w:tblCellSpacing w:w="15" w:type="dxa"/>
        </w:trPr>
        <w:tc>
          <w:tcPr>
            <w:tcW w:w="0" w:type="auto"/>
            <w:vAlign w:val="center"/>
            <w:hideMark/>
          </w:tcPr>
          <w:p w:rsidR="005E0E9D" w:rsidRPr="0005019D" w:rsidRDefault="00E35EF3">
            <w:pPr>
              <w:divId w:val="874542108"/>
              <w:rPr>
                <w:rFonts w:ascii="Barlow" w:eastAsia="Times New Roman" w:hAnsi="Barlow"/>
                <w:color w:val="000000"/>
                <w:sz w:val="18"/>
                <w:szCs w:val="18"/>
              </w:rPr>
            </w:pPr>
            <w:r w:rsidRPr="0005019D">
              <w:rPr>
                <w:rFonts w:ascii="Barlow" w:eastAsia="Times New Roman" w:hAnsi="Barlow"/>
                <w:color w:val="000000"/>
                <w:sz w:val="18"/>
                <w:szCs w:val="18"/>
              </w:rPr>
              <w:t>7</w:t>
            </w:r>
          </w:p>
        </w:tc>
        <w:tc>
          <w:tcPr>
            <w:tcW w:w="0" w:type="auto"/>
            <w:vAlign w:val="center"/>
            <w:hideMark/>
          </w:tcPr>
          <w:p w:rsidR="005E0E9D" w:rsidRPr="0005019D" w:rsidRDefault="00E35EF3">
            <w:pPr>
              <w:divId w:val="85687080"/>
              <w:rPr>
                <w:rFonts w:ascii="Barlow" w:eastAsia="Times New Roman" w:hAnsi="Barlow"/>
                <w:sz w:val="18"/>
                <w:szCs w:val="18"/>
              </w:rPr>
            </w:pPr>
            <w:r w:rsidRPr="0005019D">
              <w:rPr>
                <w:rFonts w:ascii="Barlow" w:eastAsia="Times New Roman" w:hAnsi="Barlow"/>
                <w:color w:val="000000"/>
                <w:sz w:val="18"/>
                <w:szCs w:val="18"/>
              </w:rPr>
              <w:t>APROVECHAMIENTOS PATRIMONIALES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3,095,397,044.00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-3,095,397,044.00</w:t>
            </w:r>
          </w:p>
        </w:tc>
      </w:tr>
      <w:tr w:rsidR="005E0E9D" w:rsidRPr="0005019D">
        <w:trPr>
          <w:divId w:val="1392541441"/>
          <w:tblCellSpacing w:w="15" w:type="dxa"/>
        </w:trPr>
        <w:tc>
          <w:tcPr>
            <w:tcW w:w="0" w:type="auto"/>
            <w:vAlign w:val="center"/>
            <w:hideMark/>
          </w:tcPr>
          <w:p w:rsidR="005E0E9D" w:rsidRPr="0005019D" w:rsidRDefault="005E0E9D">
            <w:pPr>
              <w:jc w:val="right"/>
              <w:rPr>
                <w:rFonts w:ascii="Barlow" w:eastAsia="Times New Roman" w:hAnsi="Barlow"/>
                <w:sz w:val="18"/>
                <w:szCs w:val="18"/>
              </w:rPr>
            </w:pPr>
          </w:p>
        </w:tc>
        <w:tc>
          <w:tcPr>
            <w:tcW w:w="0" w:type="auto"/>
            <w:vAlign w:val="center"/>
            <w:hideMark/>
          </w:tcPr>
          <w:p w:rsidR="005E0E9D" w:rsidRPr="0005019D" w:rsidRDefault="00E35EF3">
            <w:pPr>
              <w:divId w:val="1715732876"/>
              <w:rPr>
                <w:rFonts w:ascii="Barlow" w:eastAsia="Times New Roman" w:hAnsi="Barlow"/>
                <w:sz w:val="18"/>
                <w:szCs w:val="18"/>
              </w:rPr>
            </w:pPr>
            <w:r w:rsidRPr="0005019D">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18"/>
                <w:szCs w:val="18"/>
              </w:rPr>
            </w:pPr>
            <w:r w:rsidRPr="0005019D">
              <w:rPr>
                <w:rStyle w:val="Textoennegrita"/>
                <w:rFonts w:ascii="Barlow" w:eastAsia="Times New Roman" w:hAnsi="Barlow"/>
                <w:color w:val="000000"/>
                <w:sz w:val="18"/>
                <w:szCs w:val="18"/>
              </w:rPr>
              <w:t>60,873,531,760.00</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Times New Roman" w:eastAsia="Times New Roman" w:hAnsi="Times New Roman"/>
                <w:sz w:val="24"/>
                <w:szCs w:val="24"/>
              </w:rPr>
            </w:pPr>
            <w:r w:rsidRPr="0005019D">
              <w:rPr>
                <w:rStyle w:val="Textoennegrita"/>
                <w:rFonts w:eastAsia="Times New Roman"/>
                <w:color w:val="000000"/>
              </w:rPr>
              <w:t>13,648,097,676.58</w:t>
            </w:r>
          </w:p>
        </w:tc>
        <w:tc>
          <w:tcPr>
            <w:tcW w:w="0" w:type="auto"/>
            <w:tcBorders>
              <w:top w:val="single" w:sz="12" w:space="0" w:color="000000"/>
              <w:bottom w:val="single" w:sz="12" w:space="0" w:color="000000"/>
            </w:tcBorders>
            <w:vAlign w:val="center"/>
            <w:hideMark/>
          </w:tcPr>
          <w:p w:rsidR="005E0E9D" w:rsidRPr="0005019D" w:rsidRDefault="00E35EF3">
            <w:pPr>
              <w:jc w:val="right"/>
              <w:rPr>
                <w:rFonts w:eastAsia="Times New Roman"/>
              </w:rPr>
            </w:pPr>
            <w:r w:rsidRPr="0005019D">
              <w:rPr>
                <w:rStyle w:val="Textoennegrita"/>
                <w:rFonts w:eastAsia="Times New Roman"/>
                <w:color w:val="000000"/>
              </w:rPr>
              <w:t>-47,225,434,083.42</w:t>
            </w:r>
          </w:p>
        </w:tc>
      </w:tr>
    </w:tbl>
    <w:p w:rsidR="005E0E9D" w:rsidRPr="0005019D" w:rsidRDefault="005E0E9D">
      <w:pPr>
        <w:divId w:val="1792897208"/>
        <w:rPr>
          <w:rFonts w:ascii="Barlow" w:eastAsia="Times New Roman" w:hAnsi="Barlow"/>
          <w:sz w:val="20"/>
          <w:szCs w:val="20"/>
        </w:rPr>
      </w:pPr>
    </w:p>
    <w:p w:rsidR="005E0E9D" w:rsidRPr="0005019D" w:rsidRDefault="00E35EF3">
      <w:pPr>
        <w:divId w:val="2037542700"/>
        <w:rPr>
          <w:rFonts w:ascii="Barlow" w:eastAsia="Times New Roman" w:hAnsi="Barlow"/>
          <w:sz w:val="20"/>
          <w:szCs w:val="20"/>
        </w:rPr>
      </w:pPr>
      <w:r w:rsidRPr="0005019D">
        <w:rPr>
          <w:rStyle w:val="Textoennegrita"/>
          <w:rFonts w:ascii="Barlow" w:eastAsia="Times New Roman" w:hAnsi="Barlow"/>
          <w:sz w:val="20"/>
          <w:szCs w:val="20"/>
        </w:rPr>
        <w:t xml:space="preserve">10. Información sobre la Deuda y el Reporte Analítico de la Deuda </w:t>
      </w:r>
    </w:p>
    <w:p w:rsidR="005510DF" w:rsidRPr="0005019D" w:rsidRDefault="005510DF" w:rsidP="005510DF">
      <w:pPr>
        <w:divId w:val="327825371"/>
        <w:rPr>
          <w:rFonts w:ascii="Barlow" w:hAnsi="Barlow"/>
          <w:b/>
          <w:bCs/>
          <w:sz w:val="20"/>
          <w:szCs w:val="20"/>
        </w:rPr>
      </w:pPr>
      <w:r w:rsidRPr="0005019D">
        <w:rPr>
          <w:rFonts w:ascii="Barlow" w:hAnsi="Barlow"/>
          <w:b/>
          <w:bCs/>
          <w:sz w:val="20"/>
          <w:szCs w:val="20"/>
        </w:rPr>
        <w:t>Deuda respecto al PIB</w:t>
      </w:r>
    </w:p>
    <w:p w:rsidR="005510DF" w:rsidRPr="0005019D" w:rsidRDefault="005510DF" w:rsidP="005510DF">
      <w:pPr>
        <w:jc w:val="both"/>
        <w:divId w:val="327825371"/>
        <w:rPr>
          <w:rFonts w:ascii="Barlow" w:hAnsi="Barlow"/>
          <w:sz w:val="20"/>
          <w:szCs w:val="20"/>
        </w:rPr>
      </w:pPr>
      <w:r w:rsidRPr="0005019D">
        <w:rPr>
          <w:rFonts w:ascii="Barlow" w:hAnsi="Barlow"/>
          <w:sz w:val="20"/>
          <w:szCs w:val="20"/>
        </w:rPr>
        <w:t>El saldo de la Deuda Pública de largo plazo a cargo del Estado con respecto al Producto Interno Bruto del Estado del período comprendido de 2014 a marzo 2024, se comportó de la siguiente manera.</w:t>
      </w:r>
    </w:p>
    <w:p w:rsidR="005510DF" w:rsidRPr="0005019D" w:rsidRDefault="005510DF" w:rsidP="005510DF">
      <w:pPr>
        <w:jc w:val="both"/>
        <w:divId w:val="327825371"/>
        <w:rPr>
          <w:rFonts w:ascii="Barlow" w:hAnsi="Barlow"/>
          <w:sz w:val="20"/>
          <w:szCs w:val="20"/>
        </w:rPr>
      </w:pPr>
    </w:p>
    <w:p w:rsidR="005510DF" w:rsidRPr="0005019D" w:rsidRDefault="005510DF" w:rsidP="005510DF">
      <w:pPr>
        <w:jc w:val="both"/>
        <w:divId w:val="327825371"/>
        <w:rPr>
          <w:rFonts w:ascii="Barlow" w:hAnsi="Barlow"/>
          <w:sz w:val="20"/>
          <w:szCs w:val="20"/>
        </w:rPr>
      </w:pPr>
    </w:p>
    <w:tbl>
      <w:tblPr>
        <w:tblW w:w="9026" w:type="dxa"/>
        <w:tblCellMar>
          <w:left w:w="0" w:type="dxa"/>
          <w:right w:w="0" w:type="dxa"/>
        </w:tblCellMar>
        <w:tblLook w:val="04A0" w:firstRow="1" w:lastRow="0" w:firstColumn="1" w:lastColumn="0" w:noHBand="0" w:noVBand="1"/>
      </w:tblPr>
      <w:tblGrid>
        <w:gridCol w:w="1239"/>
        <w:gridCol w:w="799"/>
        <w:gridCol w:w="839"/>
        <w:gridCol w:w="806"/>
        <w:gridCol w:w="794"/>
        <w:gridCol w:w="748"/>
        <w:gridCol w:w="628"/>
        <w:gridCol w:w="591"/>
        <w:gridCol w:w="631"/>
        <w:gridCol w:w="644"/>
        <w:gridCol w:w="684"/>
        <w:gridCol w:w="609"/>
        <w:gridCol w:w="7"/>
        <w:gridCol w:w="7"/>
      </w:tblGrid>
      <w:tr w:rsidR="005510DF" w:rsidRPr="0005019D" w:rsidTr="005510DF">
        <w:trPr>
          <w:divId w:val="327825371"/>
          <w:trHeight w:val="373"/>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lastRenderedPageBreak/>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2018</w:t>
            </w:r>
          </w:p>
        </w:tc>
        <w:tc>
          <w:tcPr>
            <w:tcW w:w="0" w:type="auto"/>
            <w:tcBorders>
              <w:top w:val="single" w:sz="8" w:space="0" w:color="4F81BD"/>
              <w:left w:val="nil"/>
              <w:bottom w:val="single" w:sz="8" w:space="0" w:color="4F81BD"/>
              <w:right w:val="nil"/>
            </w:tcBorders>
            <w:vAlign w:val="center"/>
            <w:hideMark/>
          </w:tcPr>
          <w:p w:rsidR="005510DF" w:rsidRPr="0005019D" w:rsidRDefault="005510DF" w:rsidP="00B95E04">
            <w:pPr>
              <w:spacing w:line="276" w:lineRule="auto"/>
              <w:rPr>
                <w:rFonts w:ascii="Barlow" w:hAnsi="Barlow"/>
                <w:b/>
                <w:bCs/>
                <w:sz w:val="20"/>
                <w:szCs w:val="20"/>
              </w:rPr>
            </w:pPr>
            <w:r w:rsidRPr="0005019D">
              <w:rPr>
                <w:rFonts w:ascii="Barlow" w:hAnsi="Barlow"/>
                <w:b/>
                <w:bCs/>
                <w:sz w:val="20"/>
                <w:szCs w:val="20"/>
              </w:rPr>
              <w:t>2019</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2020</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2021</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2022</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2023</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2024</w:t>
            </w: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center"/>
              <w:rPr>
                <w:rFonts w:ascii="Barlow" w:hAnsi="Barlow"/>
                <w:b/>
                <w:bCs/>
                <w:sz w:val="20"/>
                <w:szCs w:val="20"/>
              </w:rPr>
            </w:pP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center"/>
              <w:rPr>
                <w:rFonts w:ascii="Barlow" w:hAnsi="Barlow"/>
                <w:b/>
                <w:bCs/>
                <w:sz w:val="20"/>
                <w:szCs w:val="20"/>
              </w:rPr>
            </w:pPr>
          </w:p>
        </w:tc>
      </w:tr>
      <w:tr w:rsidR="005510DF" w:rsidRPr="0005019D" w:rsidTr="005510DF">
        <w:trPr>
          <w:divId w:val="327825371"/>
          <w:trHeight w:val="373"/>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Deuda/PIB</w:t>
            </w:r>
            <w:r w:rsidRPr="0005019D">
              <w:rPr>
                <w:rFonts w:ascii="Barlow" w:hAnsi="Barlow"/>
                <w:sz w:val="20"/>
                <w:szCs w:val="20"/>
                <w:vertAlign w:val="superscript"/>
              </w:rPr>
              <w:t>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0.0108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0.0098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0.0104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0.0134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0.0131</w:t>
            </w:r>
          </w:p>
        </w:tc>
        <w:tc>
          <w:tcPr>
            <w:tcW w:w="0" w:type="auto"/>
            <w:tcBorders>
              <w:top w:val="nil"/>
              <w:left w:val="nil"/>
              <w:bottom w:val="single" w:sz="8" w:space="0" w:color="4F81BD"/>
              <w:right w:val="nil"/>
            </w:tcBorders>
            <w:shd w:val="clear" w:color="auto" w:fill="D3DFEE"/>
            <w:vAlign w:val="center"/>
            <w:hideMark/>
          </w:tcPr>
          <w:p w:rsidR="005510DF" w:rsidRPr="0005019D" w:rsidRDefault="005510DF" w:rsidP="00B95E04">
            <w:pPr>
              <w:spacing w:line="276" w:lineRule="auto"/>
              <w:rPr>
                <w:rFonts w:ascii="Barlow" w:hAnsi="Barlow"/>
                <w:sz w:val="20"/>
                <w:szCs w:val="20"/>
              </w:rPr>
            </w:pPr>
            <w:r w:rsidRPr="0005019D">
              <w:rPr>
                <w:rFonts w:ascii="Barlow" w:hAnsi="Barlow"/>
                <w:sz w:val="20"/>
                <w:szCs w:val="20"/>
              </w:rPr>
              <w:t>0.0135</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0.0181</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0.0188</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0.0210</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0.0208</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0.0177</w:t>
            </w: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center"/>
              <w:rPr>
                <w:rFonts w:ascii="Barlow" w:hAnsi="Barlow"/>
                <w:sz w:val="20"/>
                <w:szCs w:val="20"/>
              </w:rPr>
            </w:pP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center"/>
              <w:rPr>
                <w:rFonts w:ascii="Barlow" w:hAnsi="Barlow"/>
                <w:sz w:val="20"/>
                <w:szCs w:val="20"/>
              </w:rPr>
            </w:pPr>
          </w:p>
        </w:tc>
      </w:tr>
    </w:tbl>
    <w:p w:rsidR="005510DF" w:rsidRPr="0005019D" w:rsidRDefault="005510DF" w:rsidP="005510DF">
      <w:pPr>
        <w:jc w:val="both"/>
        <w:divId w:val="327825371"/>
        <w:rPr>
          <w:rFonts w:ascii="Barlow" w:hAnsi="Barlow"/>
          <w:sz w:val="20"/>
          <w:szCs w:val="20"/>
          <w:lang w:eastAsia="es-ES"/>
        </w:rPr>
      </w:pPr>
      <w:r w:rsidRPr="0005019D">
        <w:rPr>
          <w:rFonts w:ascii="Barlow" w:hAnsi="Barlow"/>
          <w:sz w:val="20"/>
          <w:szCs w:val="20"/>
        </w:rPr>
        <w:t xml:space="preserve">Fuente: </w:t>
      </w:r>
      <w:r w:rsidRPr="0005019D">
        <w:rPr>
          <w:rFonts w:ascii="Barlow" w:hAnsi="Barlow"/>
          <w:sz w:val="20"/>
          <w:szCs w:val="20"/>
          <w:vertAlign w:val="superscript"/>
        </w:rPr>
        <w:t>1</w:t>
      </w:r>
      <w:r w:rsidRPr="0005019D">
        <w:rPr>
          <w:rFonts w:ascii="Barlow" w:hAnsi="Barlow"/>
          <w:sz w:val="20"/>
          <w:szCs w:val="20"/>
        </w:rPr>
        <w:t>INEGI</w:t>
      </w:r>
    </w:p>
    <w:p w:rsidR="005510DF" w:rsidRPr="0005019D" w:rsidRDefault="005510DF" w:rsidP="005510DF">
      <w:pPr>
        <w:jc w:val="both"/>
        <w:divId w:val="327825371"/>
        <w:rPr>
          <w:rFonts w:ascii="Barlow" w:hAnsi="Barlow"/>
          <w:b/>
          <w:bCs/>
          <w:sz w:val="20"/>
          <w:szCs w:val="20"/>
        </w:rPr>
      </w:pPr>
    </w:p>
    <w:p w:rsidR="005510DF" w:rsidRPr="0005019D" w:rsidRDefault="005510DF" w:rsidP="005510DF">
      <w:pPr>
        <w:jc w:val="both"/>
        <w:divId w:val="327825371"/>
        <w:rPr>
          <w:rFonts w:ascii="Barlow" w:hAnsi="Barlow"/>
          <w:b/>
          <w:bCs/>
          <w:sz w:val="20"/>
          <w:szCs w:val="20"/>
        </w:rPr>
      </w:pPr>
      <w:r w:rsidRPr="0005019D">
        <w:rPr>
          <w:rFonts w:ascii="Barlow" w:hAnsi="Barlow"/>
          <w:b/>
          <w:bCs/>
          <w:sz w:val="20"/>
          <w:szCs w:val="20"/>
        </w:rPr>
        <w:t>Deuda respecto a la Recaudación</w:t>
      </w:r>
    </w:p>
    <w:p w:rsidR="005510DF" w:rsidRPr="0005019D" w:rsidRDefault="005510DF" w:rsidP="005510DF">
      <w:pPr>
        <w:jc w:val="both"/>
        <w:divId w:val="327825371"/>
        <w:rPr>
          <w:rFonts w:ascii="Barlow" w:hAnsi="Barlow"/>
          <w:b/>
          <w:bCs/>
          <w:sz w:val="20"/>
          <w:szCs w:val="20"/>
        </w:rPr>
      </w:pPr>
    </w:p>
    <w:p w:rsidR="005510DF" w:rsidRPr="0005019D" w:rsidRDefault="005510DF" w:rsidP="005510DF">
      <w:pPr>
        <w:jc w:val="both"/>
        <w:divId w:val="327825371"/>
        <w:rPr>
          <w:rFonts w:ascii="Barlow" w:hAnsi="Barlow"/>
          <w:sz w:val="20"/>
          <w:szCs w:val="20"/>
        </w:rPr>
      </w:pPr>
      <w:r w:rsidRPr="0005019D">
        <w:rPr>
          <w:rFonts w:ascii="Barlow" w:hAnsi="Barlow"/>
          <w:sz w:val="20"/>
          <w:szCs w:val="20"/>
        </w:rPr>
        <w:t>El saldo de la Deuda Pública de largo plazo a cargo del Estado con respecto a la Recaudación del Estado del período comprendido de 2014 a marzo 2024 se comportó de la siguiente manera.</w:t>
      </w:r>
    </w:p>
    <w:p w:rsidR="005510DF" w:rsidRPr="0005019D" w:rsidRDefault="005510DF" w:rsidP="005510DF">
      <w:pPr>
        <w:jc w:val="both"/>
        <w:divId w:val="327825371"/>
        <w:rPr>
          <w:rFonts w:ascii="Barlow" w:hAnsi="Barlow"/>
          <w:sz w:val="20"/>
          <w:szCs w:val="20"/>
        </w:rPr>
      </w:pPr>
    </w:p>
    <w:tbl>
      <w:tblPr>
        <w:tblW w:w="9012" w:type="dxa"/>
        <w:tblCellMar>
          <w:left w:w="0" w:type="dxa"/>
          <w:right w:w="0" w:type="dxa"/>
        </w:tblCellMar>
        <w:tblLook w:val="04A0" w:firstRow="1" w:lastRow="0" w:firstColumn="1" w:lastColumn="0" w:noHBand="0" w:noVBand="1"/>
      </w:tblPr>
      <w:tblGrid>
        <w:gridCol w:w="2347"/>
        <w:gridCol w:w="692"/>
        <w:gridCol w:w="675"/>
        <w:gridCol w:w="675"/>
        <w:gridCol w:w="664"/>
        <w:gridCol w:w="675"/>
        <w:gridCol w:w="498"/>
        <w:gridCol w:w="563"/>
        <w:gridCol w:w="506"/>
        <w:gridCol w:w="7"/>
        <w:gridCol w:w="7"/>
        <w:gridCol w:w="7"/>
        <w:gridCol w:w="561"/>
        <w:gridCol w:w="556"/>
        <w:gridCol w:w="7"/>
        <w:gridCol w:w="572"/>
      </w:tblGrid>
      <w:tr w:rsidR="005510DF" w:rsidRPr="0005019D" w:rsidTr="005510DF">
        <w:trPr>
          <w:divId w:val="327825371"/>
          <w:trHeight w:val="284"/>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2018</w:t>
            </w:r>
          </w:p>
        </w:tc>
        <w:tc>
          <w:tcPr>
            <w:tcW w:w="0" w:type="auto"/>
            <w:tcBorders>
              <w:top w:val="single" w:sz="8" w:space="0" w:color="4F81BD"/>
              <w:left w:val="nil"/>
              <w:bottom w:val="single" w:sz="8" w:space="0" w:color="4F81BD"/>
              <w:right w:val="nil"/>
            </w:tcBorders>
            <w:vAlign w:val="center"/>
            <w:hideMark/>
          </w:tcPr>
          <w:p w:rsidR="005510DF" w:rsidRPr="0005019D" w:rsidRDefault="005510DF" w:rsidP="00B95E04">
            <w:pPr>
              <w:spacing w:line="276" w:lineRule="auto"/>
              <w:jc w:val="both"/>
              <w:rPr>
                <w:rFonts w:ascii="Barlow" w:hAnsi="Barlow"/>
                <w:b/>
                <w:bCs/>
                <w:sz w:val="20"/>
                <w:szCs w:val="20"/>
              </w:rPr>
            </w:pPr>
            <w:r w:rsidRPr="0005019D">
              <w:rPr>
                <w:rFonts w:ascii="Barlow" w:hAnsi="Barlow"/>
                <w:b/>
                <w:bCs/>
                <w:sz w:val="20"/>
                <w:szCs w:val="20"/>
              </w:rPr>
              <w:t>2019</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2020</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2021</w:t>
            </w: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2022</w:t>
            </w: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2023</w:t>
            </w:r>
          </w:p>
        </w:tc>
        <w:tc>
          <w:tcPr>
            <w:tcW w:w="0" w:type="auto"/>
            <w:tcBorders>
              <w:top w:val="single" w:sz="8" w:space="0" w:color="4F81BD"/>
              <w:left w:val="nil"/>
              <w:bottom w:val="single" w:sz="8" w:space="0" w:color="4F81BD"/>
              <w:right w:val="nil"/>
            </w:tcBorders>
          </w:tcPr>
          <w:p w:rsidR="005510DF" w:rsidRPr="0005019D" w:rsidRDefault="005510DF" w:rsidP="00B95E04">
            <w:pPr>
              <w:spacing w:line="276" w:lineRule="auto"/>
              <w:jc w:val="center"/>
              <w:rPr>
                <w:rFonts w:ascii="Barlow" w:hAnsi="Barlow"/>
                <w:b/>
                <w:bCs/>
                <w:sz w:val="20"/>
                <w:szCs w:val="20"/>
              </w:rPr>
            </w:pPr>
          </w:p>
        </w:tc>
        <w:tc>
          <w:tcPr>
            <w:tcW w:w="0" w:type="auto"/>
            <w:tcBorders>
              <w:top w:val="single" w:sz="8" w:space="0" w:color="4F81BD"/>
              <w:left w:val="nil"/>
              <w:bottom w:val="single" w:sz="8" w:space="0" w:color="4F81BD"/>
              <w:right w:val="nil"/>
            </w:tcBorders>
            <w:vAlign w:val="center"/>
          </w:tcPr>
          <w:p w:rsidR="005510DF" w:rsidRPr="0005019D" w:rsidRDefault="005510DF" w:rsidP="00B95E04">
            <w:pPr>
              <w:spacing w:line="276" w:lineRule="auto"/>
              <w:jc w:val="center"/>
              <w:rPr>
                <w:rFonts w:ascii="Barlow" w:hAnsi="Barlow"/>
                <w:b/>
                <w:bCs/>
                <w:sz w:val="20"/>
                <w:szCs w:val="20"/>
              </w:rPr>
            </w:pPr>
            <w:r w:rsidRPr="0005019D">
              <w:rPr>
                <w:rFonts w:ascii="Barlow" w:hAnsi="Barlow"/>
                <w:b/>
                <w:bCs/>
                <w:sz w:val="20"/>
                <w:szCs w:val="20"/>
              </w:rPr>
              <w:t>2024</w:t>
            </w:r>
          </w:p>
        </w:tc>
      </w:tr>
      <w:tr w:rsidR="005510DF" w:rsidRPr="0005019D" w:rsidTr="005510DF">
        <w:trPr>
          <w:divId w:val="327825371"/>
          <w:trHeight w:val="284"/>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Deuda/Recaudación</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0.86</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0.81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0.88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0.97</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0.91</w:t>
            </w:r>
          </w:p>
        </w:tc>
        <w:tc>
          <w:tcPr>
            <w:tcW w:w="0" w:type="auto"/>
            <w:tcBorders>
              <w:top w:val="nil"/>
              <w:left w:val="nil"/>
              <w:bottom w:val="single" w:sz="8" w:space="0" w:color="4F81BD"/>
              <w:right w:val="nil"/>
            </w:tcBorders>
            <w:shd w:val="clear" w:color="auto" w:fill="D3DFEE"/>
            <w:vAlign w:val="center"/>
            <w:hideMark/>
          </w:tcPr>
          <w:p w:rsidR="005510DF" w:rsidRPr="0005019D" w:rsidRDefault="005510DF" w:rsidP="00B95E04">
            <w:pPr>
              <w:spacing w:line="276" w:lineRule="auto"/>
              <w:jc w:val="both"/>
              <w:rPr>
                <w:rFonts w:ascii="Barlow" w:hAnsi="Barlow"/>
                <w:sz w:val="20"/>
                <w:szCs w:val="20"/>
              </w:rPr>
            </w:pPr>
            <w:r w:rsidRPr="0005019D">
              <w:rPr>
                <w:rFonts w:ascii="Barlow" w:hAnsi="Barlow"/>
                <w:sz w:val="20"/>
                <w:szCs w:val="20"/>
              </w:rPr>
              <w:t>1.16</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2.17</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1.46</w:t>
            </w: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1.23</w:t>
            </w: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0.99</w:t>
            </w:r>
          </w:p>
        </w:tc>
        <w:tc>
          <w:tcPr>
            <w:tcW w:w="0" w:type="auto"/>
            <w:tcBorders>
              <w:top w:val="nil"/>
              <w:left w:val="nil"/>
              <w:bottom w:val="single" w:sz="8" w:space="0" w:color="4F81BD"/>
              <w:right w:val="nil"/>
            </w:tcBorders>
            <w:shd w:val="clear" w:color="auto" w:fill="D3DFEE"/>
          </w:tcPr>
          <w:p w:rsidR="005510DF" w:rsidRPr="0005019D" w:rsidRDefault="005510DF" w:rsidP="00B95E04">
            <w:pPr>
              <w:spacing w:line="276" w:lineRule="auto"/>
              <w:jc w:val="center"/>
              <w:rPr>
                <w:rFonts w:ascii="Barlow" w:hAnsi="Barlow"/>
                <w:sz w:val="20"/>
                <w:szCs w:val="20"/>
              </w:rPr>
            </w:pPr>
          </w:p>
        </w:tc>
        <w:tc>
          <w:tcPr>
            <w:tcW w:w="0" w:type="auto"/>
            <w:tcBorders>
              <w:top w:val="nil"/>
              <w:left w:val="nil"/>
              <w:bottom w:val="single" w:sz="8" w:space="0" w:color="4F81BD"/>
              <w:right w:val="nil"/>
            </w:tcBorders>
            <w:shd w:val="clear" w:color="auto" w:fill="D3DFEE"/>
            <w:vAlign w:val="center"/>
          </w:tcPr>
          <w:p w:rsidR="005510DF" w:rsidRPr="0005019D" w:rsidRDefault="005510DF" w:rsidP="00B95E04">
            <w:pPr>
              <w:spacing w:line="276" w:lineRule="auto"/>
              <w:jc w:val="center"/>
              <w:rPr>
                <w:rFonts w:ascii="Barlow" w:hAnsi="Barlow"/>
                <w:sz w:val="20"/>
                <w:szCs w:val="20"/>
              </w:rPr>
            </w:pPr>
            <w:r w:rsidRPr="0005019D">
              <w:rPr>
                <w:rFonts w:ascii="Barlow" w:hAnsi="Barlow"/>
                <w:sz w:val="20"/>
                <w:szCs w:val="20"/>
              </w:rPr>
              <w:t>4.31</w:t>
            </w:r>
          </w:p>
        </w:tc>
      </w:tr>
    </w:tbl>
    <w:p w:rsidR="005510DF" w:rsidRPr="0005019D" w:rsidRDefault="005510DF" w:rsidP="005510DF">
      <w:pPr>
        <w:jc w:val="both"/>
        <w:divId w:val="327825371"/>
        <w:rPr>
          <w:rFonts w:ascii="Barlow" w:hAnsi="Barlow"/>
          <w:b/>
          <w:bCs/>
          <w:sz w:val="20"/>
          <w:szCs w:val="20"/>
        </w:rPr>
      </w:pPr>
    </w:p>
    <w:p w:rsidR="005510DF" w:rsidRPr="0005019D" w:rsidRDefault="005510DF" w:rsidP="005510DF">
      <w:pPr>
        <w:autoSpaceDE w:val="0"/>
        <w:autoSpaceDN w:val="0"/>
        <w:spacing w:line="360" w:lineRule="auto"/>
        <w:jc w:val="both"/>
        <w:divId w:val="327825371"/>
        <w:rPr>
          <w:rFonts w:ascii="Barlow" w:hAnsi="Barlow"/>
          <w:sz w:val="20"/>
          <w:szCs w:val="20"/>
        </w:rPr>
      </w:pPr>
      <w:r w:rsidRPr="0005019D">
        <w:rPr>
          <w:rFonts w:ascii="Barlow" w:hAnsi="Barlow"/>
          <w:sz w:val="20"/>
          <w:szCs w:val="20"/>
        </w:rPr>
        <w:t xml:space="preserve">La Deuda Pública de largo plazo del Estado es interna y los instrumentos financieros a través de los cuales ésta fue formalizada, son contratos de apertura de crédito simple, a continuación, se detallan las características de cada instrumento financiero celebrado, entre las que se consideran la tasa de interés y el vencimiento. </w:t>
      </w:r>
    </w:p>
    <w:p w:rsidR="005510DF" w:rsidRPr="0005019D" w:rsidRDefault="005510DF" w:rsidP="005510DF">
      <w:pPr>
        <w:autoSpaceDE w:val="0"/>
        <w:autoSpaceDN w:val="0"/>
        <w:jc w:val="both"/>
        <w:divId w:val="327825371"/>
        <w:rPr>
          <w:rFonts w:ascii="Barlow" w:hAnsi="Barlow"/>
          <w:sz w:val="20"/>
          <w:szCs w:val="20"/>
        </w:rPr>
      </w:pPr>
    </w:p>
    <w:tbl>
      <w:tblPr>
        <w:tblStyle w:val="Tabladecuadrcula1clara"/>
        <w:tblW w:w="0" w:type="auto"/>
        <w:tblLook w:val="04A0" w:firstRow="1" w:lastRow="0" w:firstColumn="1" w:lastColumn="0" w:noHBand="0" w:noVBand="1"/>
      </w:tblPr>
      <w:tblGrid>
        <w:gridCol w:w="3397"/>
        <w:gridCol w:w="3686"/>
        <w:gridCol w:w="1745"/>
      </w:tblGrid>
      <w:tr w:rsidR="005510DF" w:rsidRPr="0005019D" w:rsidTr="005510DF">
        <w:trPr>
          <w:cnfStyle w:val="100000000000" w:firstRow="1" w:lastRow="0" w:firstColumn="0" w:lastColumn="0" w:oddVBand="0" w:evenVBand="0" w:oddHBand="0" w:evenHBand="0" w:firstRowFirstColumn="0" w:firstRowLastColumn="0" w:lastRowFirstColumn="0" w:lastRowLastColumn="0"/>
          <w:divId w:val="327825371"/>
          <w:trHeight w:val="629"/>
          <w:tblHeader/>
        </w:trPr>
        <w:tc>
          <w:tcPr>
            <w:cnfStyle w:val="001000000000" w:firstRow="0" w:lastRow="0" w:firstColumn="1" w:lastColumn="0" w:oddVBand="0" w:evenVBand="0" w:oddHBand="0" w:evenHBand="0" w:firstRowFirstColumn="0" w:firstRowLastColumn="0" w:lastRowFirstColumn="0" w:lastRowLastColumn="0"/>
            <w:tcW w:w="3397" w:type="dxa"/>
            <w:hideMark/>
          </w:tcPr>
          <w:p w:rsidR="005510DF" w:rsidRPr="0005019D" w:rsidRDefault="005510DF" w:rsidP="00B95E04">
            <w:pPr>
              <w:autoSpaceDE w:val="0"/>
              <w:autoSpaceDN w:val="0"/>
              <w:spacing w:line="300" w:lineRule="auto"/>
              <w:jc w:val="center"/>
              <w:rPr>
                <w:rFonts w:ascii="Barlow" w:hAnsi="Barlow"/>
                <w:b w:val="0"/>
                <w:bCs w:val="0"/>
                <w:sz w:val="20"/>
                <w:szCs w:val="20"/>
              </w:rPr>
            </w:pPr>
            <w:r w:rsidRPr="0005019D">
              <w:rPr>
                <w:rFonts w:ascii="Barlow" w:hAnsi="Barlow"/>
                <w:sz w:val="20"/>
                <w:szCs w:val="20"/>
              </w:rPr>
              <w:t>Institución Financiera</w:t>
            </w:r>
          </w:p>
        </w:tc>
        <w:tc>
          <w:tcPr>
            <w:tcW w:w="3686" w:type="dxa"/>
            <w:hideMark/>
          </w:tcPr>
          <w:p w:rsidR="005510DF" w:rsidRPr="0005019D" w:rsidRDefault="005510DF" w:rsidP="00B95E04">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Tasa de interés</w:t>
            </w:r>
          </w:p>
        </w:tc>
        <w:tc>
          <w:tcPr>
            <w:tcW w:w="1745" w:type="dxa"/>
          </w:tcPr>
          <w:p w:rsidR="005510DF" w:rsidRPr="0005019D" w:rsidRDefault="005510DF" w:rsidP="00B95E04">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Fecha de Vencimiento</w:t>
            </w:r>
          </w:p>
        </w:tc>
      </w:tr>
      <w:tr w:rsidR="005510DF" w:rsidRPr="0005019D" w:rsidTr="005510DF">
        <w:trPr>
          <w:divId w:val="327825371"/>
          <w:trHeight w:val="701"/>
        </w:trPr>
        <w:tc>
          <w:tcPr>
            <w:cnfStyle w:val="001000000000" w:firstRow="0" w:lastRow="0" w:firstColumn="1" w:lastColumn="0" w:oddVBand="0" w:evenVBand="0" w:oddHBand="0" w:evenHBand="0" w:firstRowFirstColumn="0" w:firstRowLastColumn="0" w:lastRowFirstColumn="0" w:lastRowLastColumn="0"/>
            <w:tcW w:w="3397" w:type="dxa"/>
            <w:hideMark/>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Nacional de Obras y  Servicios Públicos, S.N.C.</w:t>
            </w:r>
          </w:p>
        </w:tc>
        <w:tc>
          <w:tcPr>
            <w:tcW w:w="3686" w:type="dxa"/>
            <w:hideMark/>
          </w:tcPr>
          <w:p w:rsidR="005510DF" w:rsidRPr="0005019D" w:rsidRDefault="005510DF" w:rsidP="00B95E04">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1a disposición: TASA BASE + Sobretasa (7.10+1.04=8.14)</w:t>
            </w:r>
          </w:p>
          <w:p w:rsidR="005510DF" w:rsidRPr="0005019D" w:rsidRDefault="005510DF" w:rsidP="00B95E04">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2a disposición: TASA BASE + Sobretasa (7.70+1.04=8.74)</w:t>
            </w:r>
          </w:p>
        </w:tc>
        <w:tc>
          <w:tcPr>
            <w:tcW w:w="1745" w:type="dxa"/>
            <w:hideMark/>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05/06/2033</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hideMark/>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lastRenderedPageBreak/>
              <w:t>Banco Nacional de México, S.A., integrante del Grupo Financiero Banamex.</w:t>
            </w:r>
          </w:p>
        </w:tc>
        <w:tc>
          <w:tcPr>
            <w:tcW w:w="3686" w:type="dxa"/>
            <w:hideMark/>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+ 0.25</w:t>
            </w:r>
          </w:p>
        </w:tc>
        <w:tc>
          <w:tcPr>
            <w:tcW w:w="1745" w:type="dxa"/>
            <w:hideMark/>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28/11/2039</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Nacional de Obras y  Servicios Públicos, S.N.C.</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+ 0.74</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28/09/2040</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Nacional de Obras y  Servicios Públicos, S.N.C.</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+ 0.84</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28/09/2040</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Nacional de Obras y  Servicios Públicos, S.N.C.</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+ 0.94</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28/09/2040</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BBVA México, S.A., Institución de Banca Múltiple, Grupo Financiero BBVA México</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+ 0.32</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05/09/2042</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BBVA México, S.A., Institución de Banca Múltiple, Grupo Financiero BBVA México</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+ 0.26</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02/10/2043</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Nacional de México, S.A., integrante del Grupo Financiero Banamex.</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+ 0.29</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02/10/2043</w:t>
            </w:r>
          </w:p>
        </w:tc>
      </w:tr>
      <w:tr w:rsidR="005510DF" w:rsidRPr="0005019D" w:rsidTr="005510DF">
        <w:trPr>
          <w:divId w:val="327825371"/>
          <w:trHeight w:val="487"/>
        </w:trPr>
        <w:tc>
          <w:tcPr>
            <w:cnfStyle w:val="001000000000" w:firstRow="0" w:lastRow="0" w:firstColumn="1" w:lastColumn="0" w:oddVBand="0" w:evenVBand="0" w:oddHBand="0" w:evenHBand="0" w:firstRowFirstColumn="0" w:firstRowLastColumn="0" w:lastRowFirstColumn="0" w:lastRowLastColumn="0"/>
            <w:tcW w:w="3397" w:type="dxa"/>
          </w:tcPr>
          <w:p w:rsidR="005510DF" w:rsidRPr="0005019D" w:rsidRDefault="005510DF" w:rsidP="00B95E04">
            <w:pPr>
              <w:autoSpaceDE w:val="0"/>
              <w:autoSpaceDN w:val="0"/>
              <w:spacing w:line="300" w:lineRule="auto"/>
              <w:rPr>
                <w:rFonts w:ascii="Barlow" w:hAnsi="Barlow"/>
                <w:sz w:val="20"/>
                <w:szCs w:val="20"/>
              </w:rPr>
            </w:pPr>
            <w:r w:rsidRPr="0005019D">
              <w:rPr>
                <w:rFonts w:ascii="Barlow" w:hAnsi="Barlow"/>
                <w:sz w:val="20"/>
                <w:szCs w:val="20"/>
              </w:rPr>
              <w:t>Banco Mercantil del Norte, S.A., Institución de Banca Múltiple, Grupo Financiero Banorte</w:t>
            </w:r>
          </w:p>
        </w:tc>
        <w:tc>
          <w:tcPr>
            <w:tcW w:w="3686"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TIIE + 0.38</w:t>
            </w:r>
          </w:p>
        </w:tc>
        <w:tc>
          <w:tcPr>
            <w:tcW w:w="1745" w:type="dxa"/>
          </w:tcPr>
          <w:p w:rsidR="005510DF" w:rsidRPr="0005019D" w:rsidRDefault="005510DF" w:rsidP="00B95E04">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05019D">
              <w:rPr>
                <w:rFonts w:ascii="Barlow" w:hAnsi="Barlow"/>
                <w:sz w:val="20"/>
                <w:szCs w:val="20"/>
              </w:rPr>
              <w:t>02/10/2043</w:t>
            </w:r>
          </w:p>
        </w:tc>
      </w:tr>
    </w:tbl>
    <w:p w:rsidR="005510DF" w:rsidRPr="0005019D" w:rsidRDefault="005510DF">
      <w:pPr>
        <w:divId w:val="327825371"/>
        <w:rPr>
          <w:rFonts w:ascii="Barlow" w:eastAsia="Times New Roman" w:hAnsi="Barlow"/>
          <w:sz w:val="20"/>
          <w:szCs w:val="20"/>
        </w:rPr>
      </w:pPr>
    </w:p>
    <w:p w:rsidR="005E0E9D" w:rsidRPr="0005019D" w:rsidRDefault="00E35EF3">
      <w:pPr>
        <w:divId w:val="2028867125"/>
        <w:rPr>
          <w:rFonts w:eastAsia="Times New Roman"/>
          <w:sz w:val="20"/>
          <w:szCs w:val="20"/>
        </w:rPr>
      </w:pPr>
      <w:r w:rsidRPr="0005019D">
        <w:rPr>
          <w:rStyle w:val="Textoennegrita"/>
          <w:rFonts w:eastAsia="Times New Roman"/>
          <w:sz w:val="20"/>
          <w:szCs w:val="20"/>
        </w:rPr>
        <w:t>11.- Calificaciones Otorgadas.</w:t>
      </w:r>
    </w:p>
    <w:p w:rsidR="00D9648B" w:rsidRPr="0005019D" w:rsidRDefault="00D9648B" w:rsidP="00D9648B">
      <w:pPr>
        <w:autoSpaceDE w:val="0"/>
        <w:autoSpaceDN w:val="0"/>
        <w:spacing w:line="360" w:lineRule="auto"/>
        <w:jc w:val="both"/>
        <w:divId w:val="151221361"/>
        <w:rPr>
          <w:rFonts w:ascii="Barlow" w:hAnsi="Barlow" w:cs="Arial"/>
          <w:sz w:val="20"/>
          <w:szCs w:val="20"/>
        </w:rPr>
      </w:pPr>
      <w:r w:rsidRPr="0005019D">
        <w:rPr>
          <w:rFonts w:ascii="Barlow" w:hAnsi="Barlow"/>
          <w:sz w:val="20"/>
          <w:szCs w:val="20"/>
        </w:rPr>
        <w:t>a)  Las calificadoras Fitch Ratings, HR Ratings y Moody's ratificaron las evaluaciones crediticias del estado.</w:t>
      </w:r>
    </w:p>
    <w:p w:rsidR="00D9648B" w:rsidRPr="0005019D" w:rsidRDefault="00D9648B" w:rsidP="00D9648B">
      <w:pPr>
        <w:pStyle w:val="Prrafodelista"/>
        <w:widowControl w:val="0"/>
        <w:autoSpaceDE w:val="0"/>
        <w:autoSpaceDN w:val="0"/>
        <w:adjustRightInd w:val="0"/>
        <w:spacing w:after="247"/>
        <w:jc w:val="both"/>
        <w:divId w:val="151221361"/>
        <w:rPr>
          <w:rFonts w:ascii="Barlow" w:eastAsia="PMingLiU" w:hAnsi="Barlow" w:cs="Soberana Sans"/>
          <w:sz w:val="20"/>
          <w:szCs w:val="20"/>
          <w:lang w:val="es-ES" w:eastAsia="es-ES"/>
        </w:rPr>
      </w:pPr>
    </w:p>
    <w:p w:rsidR="00D9648B" w:rsidRPr="0005019D" w:rsidRDefault="00D9648B" w:rsidP="00D9648B">
      <w:pPr>
        <w:pStyle w:val="Prrafodelista"/>
        <w:widowControl w:val="0"/>
        <w:numPr>
          <w:ilvl w:val="0"/>
          <w:numId w:val="1"/>
        </w:numPr>
        <w:autoSpaceDE w:val="0"/>
        <w:autoSpaceDN w:val="0"/>
        <w:adjustRightInd w:val="0"/>
        <w:spacing w:after="247"/>
        <w:jc w:val="both"/>
        <w:divId w:val="151221361"/>
        <w:rPr>
          <w:rFonts w:ascii="Barlow" w:eastAsia="PMingLiU" w:hAnsi="Barlow" w:cs="Soberana Sans"/>
          <w:sz w:val="20"/>
          <w:szCs w:val="20"/>
          <w:lang w:val="es-ES" w:eastAsia="es-ES"/>
        </w:rPr>
      </w:pPr>
      <w:r w:rsidRPr="0005019D">
        <w:rPr>
          <w:rFonts w:ascii="Barlow" w:eastAsia="PMingLiU" w:hAnsi="Barlow" w:cs="Soberana Sans"/>
          <w:sz w:val="20"/>
          <w:szCs w:val="20"/>
          <w:lang w:val="es-ES" w:eastAsia="es-ES"/>
        </w:rPr>
        <w:t xml:space="preserve">El 28 de junio de 2023 Fitch Ratings ratificó la calificación del Estado de Yucatán en A+(mex), con perspectiva Estable. En su análisis destaca que la tendencia de los ingresos operativos se mantiene favorable, resultado de esfuerzos recaudatorios incurridos por el Estado, así como una mejora en la métrica de liquidez debido a la disminución en el saldo de la deuda de corto plazo en conjunto con una disminución en su pasivo </w:t>
      </w:r>
      <w:r w:rsidRPr="0005019D">
        <w:rPr>
          <w:rFonts w:ascii="Barlow" w:eastAsia="PMingLiU" w:hAnsi="Barlow" w:cs="Soberana Sans"/>
          <w:sz w:val="20"/>
          <w:szCs w:val="20"/>
          <w:lang w:val="es-ES" w:eastAsia="es-ES"/>
        </w:rPr>
        <w:lastRenderedPageBreak/>
        <w:t>circulante, y un robustecimiento en el margen operativo, derivado del buen control presupuestario.</w:t>
      </w:r>
    </w:p>
    <w:p w:rsidR="00D9648B" w:rsidRPr="0005019D" w:rsidRDefault="00D9648B" w:rsidP="00D9648B">
      <w:pPr>
        <w:pStyle w:val="Prrafodelista"/>
        <w:widowControl w:val="0"/>
        <w:autoSpaceDE w:val="0"/>
        <w:autoSpaceDN w:val="0"/>
        <w:adjustRightInd w:val="0"/>
        <w:spacing w:after="247"/>
        <w:jc w:val="both"/>
        <w:divId w:val="151221361"/>
        <w:rPr>
          <w:rFonts w:ascii="Barlow" w:eastAsia="PMingLiU" w:hAnsi="Barlow" w:cs="Soberana Sans"/>
          <w:sz w:val="20"/>
          <w:szCs w:val="20"/>
          <w:lang w:val="es-ES" w:eastAsia="es-ES"/>
        </w:rPr>
      </w:pPr>
    </w:p>
    <w:p w:rsidR="00D9648B" w:rsidRPr="0005019D" w:rsidRDefault="00D9648B" w:rsidP="00D9648B">
      <w:pPr>
        <w:pStyle w:val="Prrafodelista"/>
        <w:widowControl w:val="0"/>
        <w:numPr>
          <w:ilvl w:val="0"/>
          <w:numId w:val="1"/>
        </w:numPr>
        <w:autoSpaceDE w:val="0"/>
        <w:autoSpaceDN w:val="0"/>
        <w:adjustRightInd w:val="0"/>
        <w:spacing w:after="247"/>
        <w:jc w:val="both"/>
        <w:divId w:val="151221361"/>
        <w:rPr>
          <w:rFonts w:ascii="Barlow" w:eastAsia="PMingLiU" w:hAnsi="Barlow" w:cs="Soberana Sans"/>
          <w:sz w:val="20"/>
          <w:szCs w:val="20"/>
          <w:lang w:val="es-ES" w:eastAsia="es-ES"/>
        </w:rPr>
      </w:pPr>
      <w:r w:rsidRPr="0005019D">
        <w:rPr>
          <w:rFonts w:ascii="Barlow" w:eastAsia="PMingLiU" w:hAnsi="Barlow" w:cs="Soberana Sans"/>
          <w:sz w:val="20"/>
          <w:szCs w:val="20"/>
          <w:lang w:val="es-ES" w:eastAsia="es-ES"/>
        </w:rPr>
        <w:t>Moody's Local, por su parte, determinó afirmar la calificación del Estado de Yucatán en A+.mx, y modificar la perspectiva a positiva desde estable el 28 de junio de 2023. En su análisis señala que el cambio de la perspectiva refleja la sólida recuperación de los balances operativos, financieros y la liquidez, así como un incremento estructural en la recaudación de ingresos propios y un endeudamiento manejable con moderada dependencia de deuda de corto plazo. También destaca que los factores Ambientales, Sociales y de Gobierno (ESG) contribuyen de manera importante en el perfil crediticio, ya que cuenta con sólidos indicadores de desarrollo y bienestar social, además de acciones emprendidas contra el cambio climático. Respecto al factor gobierno, reconoce que el estado posee “robustas y sólidas prácticas en términos de gestión y manejo del presupuesto”, que se ven reflejadas con el primer lugar de la entidad en la Implementación del Presupuesto Basado en Resultados (PbR) para las categorías Rendición de Cuentas, Programación y Evaluación, así como con el Informe Estatal de Ejercicio del Gasto, con calificación de 100%.</w:t>
      </w:r>
    </w:p>
    <w:p w:rsidR="00D9648B" w:rsidRPr="0005019D" w:rsidRDefault="00D9648B" w:rsidP="00D9648B">
      <w:pPr>
        <w:pStyle w:val="Prrafodelista"/>
        <w:widowControl w:val="0"/>
        <w:autoSpaceDE w:val="0"/>
        <w:autoSpaceDN w:val="0"/>
        <w:adjustRightInd w:val="0"/>
        <w:spacing w:after="247"/>
        <w:jc w:val="both"/>
        <w:divId w:val="151221361"/>
        <w:rPr>
          <w:rFonts w:ascii="Barlow" w:eastAsia="PMingLiU" w:hAnsi="Barlow" w:cs="Soberana Sans"/>
          <w:sz w:val="20"/>
          <w:szCs w:val="20"/>
          <w:lang w:val="es-ES" w:eastAsia="es-ES"/>
        </w:rPr>
      </w:pPr>
    </w:p>
    <w:p w:rsidR="00D9648B" w:rsidRPr="0005019D" w:rsidRDefault="00D9648B" w:rsidP="00D9648B">
      <w:pPr>
        <w:pStyle w:val="Prrafodelista"/>
        <w:widowControl w:val="0"/>
        <w:numPr>
          <w:ilvl w:val="0"/>
          <w:numId w:val="1"/>
        </w:numPr>
        <w:autoSpaceDE w:val="0"/>
        <w:autoSpaceDN w:val="0"/>
        <w:adjustRightInd w:val="0"/>
        <w:spacing w:after="247"/>
        <w:jc w:val="both"/>
        <w:divId w:val="151221361"/>
        <w:rPr>
          <w:rFonts w:ascii="Barlow" w:eastAsia="PMingLiU" w:hAnsi="Barlow" w:cs="Soberana Sans"/>
          <w:sz w:val="20"/>
          <w:szCs w:val="20"/>
          <w:lang w:val="es-ES" w:eastAsia="es-ES"/>
        </w:rPr>
      </w:pPr>
      <w:r w:rsidRPr="0005019D">
        <w:rPr>
          <w:rFonts w:ascii="Barlow" w:eastAsia="PMingLiU" w:hAnsi="Barlow" w:cs="Soberana Sans"/>
          <w:sz w:val="20"/>
          <w:szCs w:val="20"/>
          <w:lang w:val="es-ES" w:eastAsia="es-ES"/>
        </w:rPr>
        <w:t>El 13 de marzo de 2024 la calificadora HR Ratings de México, ratificó la calificación de HR AA y modificó la Perspectiva de Estable a Positiva al Estado de Yucatán, debido al resultado positivo observado en las métricas de liquidez del Estado y un incremento en los Ingresos de Libre Disposición, así como los niveles de Pasivo Circulante, ubicados en un nivel bajo comparado con el resto de los Estados calificados por HR Ratings.  Respecto a los factores Ambientales, Sociales y de Gobernanza (ESG), estos se encuentran evaluados como superiores, ya que Yucatán destaca como la entidad federativa más segura a nivel nacional y supera los estándares de generación de información financiera estipulados en la Ley de Disciplina Financiera. Otro factor que contribuye a la evaluación del factor gobernanza como superior es la continuidad de proyectos y políticas públicas.</w:t>
      </w:r>
    </w:p>
    <w:p w:rsidR="005E0E9D" w:rsidRPr="0005019D" w:rsidRDefault="00E35EF3">
      <w:pPr>
        <w:divId w:val="239873509"/>
        <w:rPr>
          <w:rFonts w:ascii="Barlow" w:eastAsia="Times New Roman" w:hAnsi="Barlow"/>
          <w:sz w:val="20"/>
          <w:szCs w:val="20"/>
        </w:rPr>
      </w:pPr>
      <w:r w:rsidRPr="0005019D">
        <w:rPr>
          <w:rStyle w:val="Textoennegrita"/>
          <w:rFonts w:ascii="Barlow" w:eastAsia="Times New Roman" w:hAnsi="Barlow"/>
          <w:sz w:val="20"/>
          <w:szCs w:val="20"/>
        </w:rPr>
        <w:t>12.- Proceso de Mejora</w:t>
      </w:r>
    </w:p>
    <w:p w:rsidR="00980A57" w:rsidRPr="0005019D" w:rsidRDefault="00980A57" w:rsidP="00980A57">
      <w:pPr>
        <w:autoSpaceDE w:val="0"/>
        <w:autoSpaceDN w:val="0"/>
        <w:adjustRightInd w:val="0"/>
        <w:spacing w:line="360" w:lineRule="auto"/>
        <w:jc w:val="both"/>
        <w:divId w:val="957175103"/>
        <w:rPr>
          <w:rFonts w:ascii="Barlow" w:hAnsi="Barlow" w:cs="Arial"/>
          <w:sz w:val="20"/>
          <w:szCs w:val="20"/>
        </w:rPr>
      </w:pPr>
      <w:r w:rsidRPr="0005019D">
        <w:rPr>
          <w:rFonts w:ascii="Barlow" w:hAnsi="Barlow" w:cs="Arial"/>
          <w:sz w:val="20"/>
          <w:szCs w:val="20"/>
        </w:rPr>
        <w:t>Se continúa dando seguimiento a temas que por su relevancia se estima importante su revelación ya que los mismos derivan y tienen impacto en los postulados básicos de Contabilidad Gubernamental, como son los de Revelación Suficiente e Importancia Relativa.</w:t>
      </w:r>
    </w:p>
    <w:p w:rsidR="00980A57" w:rsidRPr="0005019D" w:rsidRDefault="00980A57" w:rsidP="00980A57">
      <w:pPr>
        <w:pStyle w:val="Prrafodelista"/>
        <w:ind w:hanging="360"/>
        <w:divId w:val="957175103"/>
        <w:rPr>
          <w:rFonts w:ascii="Barlow" w:hAnsi="Barlow" w:cs="Arial"/>
          <w:sz w:val="20"/>
          <w:szCs w:val="20"/>
        </w:rPr>
      </w:pPr>
      <w:r w:rsidRPr="0005019D">
        <w:rPr>
          <w:rFonts w:ascii="Barlow" w:hAnsi="Barlow" w:cs="Arial"/>
          <w:b/>
          <w:sz w:val="20"/>
          <w:szCs w:val="20"/>
        </w:rPr>
        <w:t>RECONOCIMIENTO</w:t>
      </w:r>
    </w:p>
    <w:p w:rsidR="00980A57" w:rsidRPr="0005019D" w:rsidRDefault="00980A57" w:rsidP="00980A57">
      <w:pPr>
        <w:pStyle w:val="Prrafodelista"/>
        <w:ind w:hanging="360"/>
        <w:divId w:val="957175103"/>
        <w:rPr>
          <w:rFonts w:ascii="Barlow" w:hAnsi="Barlow" w:cs="Arial"/>
          <w:sz w:val="20"/>
          <w:szCs w:val="20"/>
        </w:rPr>
      </w:pPr>
    </w:p>
    <w:p w:rsidR="00980A57" w:rsidRPr="0005019D" w:rsidRDefault="00980A57" w:rsidP="00980A57">
      <w:pPr>
        <w:pStyle w:val="Prrafodelista"/>
        <w:numPr>
          <w:ilvl w:val="0"/>
          <w:numId w:val="2"/>
        </w:numPr>
        <w:spacing w:after="200" w:line="360" w:lineRule="auto"/>
        <w:ind w:left="786"/>
        <w:jc w:val="both"/>
        <w:divId w:val="957175103"/>
        <w:rPr>
          <w:rFonts w:ascii="Barlow" w:hAnsi="Barlow" w:cs="Arial"/>
          <w:b/>
          <w:i/>
          <w:sz w:val="20"/>
          <w:szCs w:val="20"/>
        </w:rPr>
      </w:pPr>
      <w:r w:rsidRPr="0005019D">
        <w:rPr>
          <w:rFonts w:ascii="Barlow" w:hAnsi="Barlow" w:cs="Arial"/>
          <w:sz w:val="20"/>
          <w:szCs w:val="20"/>
        </w:rPr>
        <w:t xml:space="preserve">En cumplimiento a la Ley de Disciplina Financiera de las Entidades Federativas y los Municipios, el sector central del Poder Ejecutivo del Gobierno del Estado de Yucatán continua presentando  dentro de los Estados financieros, en el Informe actualizado de Pasivos Contingentes los rubros de Obligaciones por las Jubilaciones y Pensionados así como las reclamaciones de descuentos indebidos a la nómina de jubilados, así mismo de forma anual y trimestralmente se actualiza la cifra estimada de litigios laborales, contenciosos y amparos directos al Poder Ejecutivo, la cual ha sido modificada al 31 de diciembre de 2023.  </w:t>
      </w:r>
    </w:p>
    <w:p w:rsidR="00980A57" w:rsidRPr="0005019D" w:rsidRDefault="00980A57" w:rsidP="00980A57">
      <w:pPr>
        <w:pStyle w:val="Prrafodelista"/>
        <w:spacing w:after="200" w:line="360" w:lineRule="auto"/>
        <w:ind w:left="786"/>
        <w:jc w:val="both"/>
        <w:divId w:val="957175103"/>
        <w:rPr>
          <w:rFonts w:ascii="Barlow" w:hAnsi="Barlow" w:cs="Arial"/>
          <w:b/>
          <w:i/>
          <w:sz w:val="20"/>
          <w:szCs w:val="20"/>
        </w:rPr>
      </w:pPr>
      <w:r w:rsidRPr="0005019D">
        <w:rPr>
          <w:rFonts w:ascii="Barlow" w:hAnsi="Barlow" w:cs="Arial"/>
          <w:sz w:val="20"/>
          <w:szCs w:val="20"/>
        </w:rPr>
        <w:t xml:space="preserve">En el presente ejercicio se han actualizado los estudios actuariales de los rubros de Obligaciones por las Jubilaciones y </w:t>
      </w:r>
      <w:proofErr w:type="gramStart"/>
      <w:r w:rsidRPr="0005019D">
        <w:rPr>
          <w:rFonts w:ascii="Barlow" w:hAnsi="Barlow" w:cs="Arial"/>
          <w:sz w:val="20"/>
          <w:szCs w:val="20"/>
        </w:rPr>
        <w:t>Pensiones</w:t>
      </w:r>
      <w:proofErr w:type="gramEnd"/>
      <w:r w:rsidRPr="0005019D">
        <w:rPr>
          <w:rFonts w:ascii="Barlow" w:hAnsi="Barlow" w:cs="Arial"/>
          <w:sz w:val="20"/>
          <w:szCs w:val="20"/>
        </w:rPr>
        <w:t xml:space="preserve"> así como las reclamaciones de descuentos indebidos a la nómina de jubilados, el detalle de las cifras se presenta en el informe de pasivos contingente.</w:t>
      </w:r>
    </w:p>
    <w:p w:rsidR="00980A57" w:rsidRPr="0005019D" w:rsidRDefault="00980A57" w:rsidP="00980A57">
      <w:pPr>
        <w:spacing w:after="200" w:line="360" w:lineRule="auto"/>
        <w:jc w:val="both"/>
        <w:divId w:val="957175103"/>
        <w:rPr>
          <w:rFonts w:ascii="Barlow" w:hAnsi="Barlow" w:cs="Arial"/>
          <w:b/>
          <w:sz w:val="20"/>
          <w:szCs w:val="20"/>
        </w:rPr>
      </w:pPr>
      <w:r w:rsidRPr="0005019D">
        <w:rPr>
          <w:rFonts w:ascii="Barlow" w:hAnsi="Barlow" w:cs="Arial"/>
          <w:sz w:val="20"/>
          <w:szCs w:val="20"/>
        </w:rPr>
        <w:lastRenderedPageBreak/>
        <w:t xml:space="preserve">      </w:t>
      </w:r>
      <w:r w:rsidRPr="0005019D">
        <w:rPr>
          <w:rFonts w:ascii="Barlow" w:hAnsi="Barlow" w:cs="Arial"/>
          <w:b/>
          <w:sz w:val="20"/>
          <w:szCs w:val="20"/>
        </w:rPr>
        <w:t xml:space="preserve"> DEPURACIÓN Y CONCILIACIONES.</w:t>
      </w:r>
    </w:p>
    <w:p w:rsidR="00980A57" w:rsidRPr="0005019D" w:rsidRDefault="00980A57" w:rsidP="00980A57">
      <w:pPr>
        <w:pStyle w:val="Prrafodelista"/>
        <w:numPr>
          <w:ilvl w:val="0"/>
          <w:numId w:val="2"/>
        </w:numPr>
        <w:spacing w:after="200" w:line="360" w:lineRule="auto"/>
        <w:ind w:left="927"/>
        <w:jc w:val="both"/>
        <w:divId w:val="957175103"/>
        <w:rPr>
          <w:rFonts w:ascii="Barlow" w:hAnsi="Barlow" w:cs="Arial"/>
          <w:sz w:val="20"/>
          <w:szCs w:val="20"/>
        </w:rPr>
      </w:pPr>
      <w:r w:rsidRPr="0005019D">
        <w:rPr>
          <w:rFonts w:ascii="Barlow" w:hAnsi="Barlow" w:cs="Arial"/>
          <w:sz w:val="20"/>
          <w:szCs w:val="20"/>
        </w:rPr>
        <w:t xml:space="preserve"> Debido al gran volumen de partidas en tránsito se asignó mayor prioridad a la depuración de cuentas bancarias sobre otras cuentas contables.</w:t>
      </w:r>
    </w:p>
    <w:p w:rsidR="00980A57" w:rsidRPr="0005019D" w:rsidRDefault="00980A57" w:rsidP="00980A57">
      <w:pPr>
        <w:pStyle w:val="Prrafodelista"/>
        <w:numPr>
          <w:ilvl w:val="0"/>
          <w:numId w:val="4"/>
        </w:numPr>
        <w:spacing w:after="200" w:line="360" w:lineRule="auto"/>
        <w:jc w:val="both"/>
        <w:divId w:val="957175103"/>
        <w:rPr>
          <w:rFonts w:ascii="Barlow" w:hAnsi="Barlow" w:cs="Arial"/>
          <w:sz w:val="20"/>
          <w:szCs w:val="20"/>
        </w:rPr>
      </w:pPr>
      <w:r w:rsidRPr="0005019D">
        <w:rPr>
          <w:rFonts w:ascii="Barlow" w:hAnsi="Barlow" w:cs="Arial"/>
          <w:sz w:val="20"/>
          <w:szCs w:val="20"/>
        </w:rPr>
        <w:t>Se continuan dirigiendo los esfuerzos para la obtención de la información que permita la conciliación y depuración en su caso, de las partidas en tránsito de las cuentas bancarias, resultando al cierre del ejercicio 2022 que el 94% del monto de partidas por conciliar con saldo significativo,  se presentan en 20 de  las 332 conciliaciones de las cuentas bancarias adminsitradas por la SAF, por lo que el ejercicio 2022</w:t>
      </w:r>
      <w:r w:rsidR="00D067D6" w:rsidRPr="0005019D">
        <w:rPr>
          <w:rFonts w:ascii="Barlow" w:hAnsi="Barlow" w:cs="Arial"/>
          <w:sz w:val="20"/>
          <w:szCs w:val="20"/>
        </w:rPr>
        <w:t xml:space="preserve"> representó hasta ese momento</w:t>
      </w:r>
      <w:r w:rsidRPr="0005019D">
        <w:rPr>
          <w:rFonts w:ascii="Barlow" w:hAnsi="Barlow" w:cs="Arial"/>
          <w:sz w:val="20"/>
          <w:szCs w:val="20"/>
        </w:rPr>
        <w:t xml:space="preserve"> el mejor año de la presente administración con menor cifras no conciliadas. En relación a las partidas en tránsito provenientes de administraciones anteriores practicamente se concluyeron quedando una cifra </w:t>
      </w:r>
      <w:r w:rsidR="00A7164F" w:rsidRPr="0005019D">
        <w:rPr>
          <w:rFonts w:ascii="Barlow" w:hAnsi="Barlow" w:cs="Arial"/>
          <w:sz w:val="20"/>
          <w:szCs w:val="20"/>
        </w:rPr>
        <w:t>de 0.16%</w:t>
      </w:r>
      <w:r w:rsidRPr="0005019D">
        <w:rPr>
          <w:rFonts w:ascii="Barlow" w:hAnsi="Barlow" w:cs="Arial"/>
          <w:sz w:val="20"/>
          <w:szCs w:val="20"/>
        </w:rPr>
        <w:t xml:space="preserve"> por identificar, lo qu</w:t>
      </w:r>
      <w:r w:rsidR="00A7164F" w:rsidRPr="0005019D">
        <w:rPr>
          <w:rFonts w:ascii="Barlow" w:hAnsi="Barlow" w:cs="Arial"/>
          <w:sz w:val="20"/>
          <w:szCs w:val="20"/>
        </w:rPr>
        <w:t>e representa un avance del 99.84</w:t>
      </w:r>
      <w:r w:rsidRPr="0005019D">
        <w:rPr>
          <w:rFonts w:ascii="Barlow" w:hAnsi="Barlow" w:cs="Arial"/>
          <w:sz w:val="20"/>
          <w:szCs w:val="20"/>
        </w:rPr>
        <w:t xml:space="preserve"> conciliados de las partidas en tránsito de las conciliaciones recibidas. </w:t>
      </w:r>
      <w:r w:rsidR="00A7164F" w:rsidRPr="0005019D">
        <w:rPr>
          <w:rFonts w:ascii="Barlow" w:hAnsi="Barlow" w:cs="Arial"/>
          <w:sz w:val="20"/>
          <w:szCs w:val="20"/>
        </w:rPr>
        <w:t xml:space="preserve"> Al cierre del ejercicio 2023</w:t>
      </w:r>
      <w:r w:rsidR="00D82D29" w:rsidRPr="0005019D">
        <w:rPr>
          <w:rFonts w:ascii="Barlow" w:hAnsi="Barlow" w:cs="Arial"/>
          <w:sz w:val="20"/>
          <w:szCs w:val="20"/>
        </w:rPr>
        <w:t xml:space="preserve"> se puede percibir una mejor situación en bancos, ya que </w:t>
      </w:r>
      <w:r w:rsidR="00CC5187" w:rsidRPr="0005019D">
        <w:rPr>
          <w:rFonts w:ascii="Barlow" w:hAnsi="Barlow" w:cs="Arial"/>
          <w:sz w:val="20"/>
          <w:szCs w:val="20"/>
        </w:rPr>
        <w:t>el monto de las partidas en tránsito representa el</w:t>
      </w:r>
      <w:r w:rsidR="00D82D29" w:rsidRPr="0005019D">
        <w:rPr>
          <w:rFonts w:ascii="Barlow" w:hAnsi="Barlow" w:cs="Arial"/>
          <w:sz w:val="20"/>
          <w:szCs w:val="20"/>
        </w:rPr>
        <w:t xml:space="preserve"> 47 % en relación al cierre del ejercicio 2022 y el </w:t>
      </w:r>
      <w:r w:rsidR="00CC5187" w:rsidRPr="0005019D">
        <w:rPr>
          <w:rFonts w:ascii="Barlow" w:hAnsi="Barlow" w:cs="Arial"/>
          <w:sz w:val="20"/>
          <w:szCs w:val="20"/>
        </w:rPr>
        <w:t xml:space="preserve">11.30% </w:t>
      </w:r>
      <w:r w:rsidR="00D067D6" w:rsidRPr="0005019D">
        <w:rPr>
          <w:rFonts w:ascii="Barlow" w:hAnsi="Barlow" w:cs="Arial"/>
          <w:sz w:val="20"/>
          <w:szCs w:val="20"/>
        </w:rPr>
        <w:t>en relación al total de</w:t>
      </w:r>
      <w:r w:rsidR="00CC5187" w:rsidRPr="0005019D">
        <w:rPr>
          <w:rFonts w:ascii="Barlow" w:hAnsi="Barlow" w:cs="Arial"/>
          <w:sz w:val="20"/>
          <w:szCs w:val="20"/>
        </w:rPr>
        <w:t xml:space="preserve"> las partidas en tránsito al inicio de la administración</w:t>
      </w:r>
      <w:r w:rsidR="00D82D29" w:rsidRPr="0005019D">
        <w:rPr>
          <w:rFonts w:ascii="Barlow" w:hAnsi="Barlow" w:cs="Arial"/>
          <w:sz w:val="20"/>
          <w:szCs w:val="20"/>
        </w:rPr>
        <w:t>.</w:t>
      </w:r>
    </w:p>
    <w:p w:rsidR="00980A57" w:rsidRPr="0005019D" w:rsidRDefault="00980A57" w:rsidP="00980A57">
      <w:pPr>
        <w:pStyle w:val="Prrafodelista"/>
        <w:numPr>
          <w:ilvl w:val="0"/>
          <w:numId w:val="4"/>
        </w:numPr>
        <w:spacing w:after="200" w:line="360" w:lineRule="auto"/>
        <w:jc w:val="both"/>
        <w:divId w:val="957175103"/>
        <w:rPr>
          <w:rFonts w:ascii="Barlow" w:hAnsi="Barlow" w:cs="Arial"/>
          <w:sz w:val="20"/>
          <w:szCs w:val="20"/>
        </w:rPr>
      </w:pPr>
      <w:r w:rsidRPr="0005019D">
        <w:rPr>
          <w:rFonts w:ascii="Barlow" w:hAnsi="Barlow" w:cs="Arial"/>
          <w:sz w:val="20"/>
          <w:szCs w:val="20"/>
        </w:rPr>
        <w:t>En continuidad con las acciones de mejora, se han trabajado en conjunto con las áreas que realizan acciones que repercuten en la contabilidad, las guías para el registro de las operaciones, se establecieron como políticas, las cuales han quedado publicadas en la intranet, en complemento con los procedimientos existentes de cada área, contribuyen al cumplimiento normativo.</w:t>
      </w:r>
    </w:p>
    <w:p w:rsidR="00980A57" w:rsidRPr="0005019D" w:rsidRDefault="00980A57" w:rsidP="00980A57">
      <w:pPr>
        <w:pStyle w:val="Prrafodelista"/>
        <w:numPr>
          <w:ilvl w:val="0"/>
          <w:numId w:val="4"/>
        </w:numPr>
        <w:spacing w:after="200" w:line="360" w:lineRule="auto"/>
        <w:jc w:val="both"/>
        <w:divId w:val="957175103"/>
        <w:rPr>
          <w:rFonts w:ascii="Barlow" w:hAnsi="Barlow" w:cs="Arial"/>
          <w:sz w:val="20"/>
          <w:szCs w:val="20"/>
        </w:rPr>
      </w:pPr>
      <w:r w:rsidRPr="0005019D">
        <w:rPr>
          <w:rFonts w:ascii="Barlow" w:hAnsi="Barlow" w:cs="Arial"/>
          <w:color w:val="000000"/>
          <w:sz w:val="20"/>
          <w:szCs w:val="20"/>
          <w:lang w:eastAsia="es-MX"/>
        </w:rPr>
        <w:t xml:space="preserve"> Como parte de las acciones de mejora, en relación al tema de depósitos pendientes de registro por desconocer el depositante, se continúan registrando en la cuenta de pasivo como Ingresos por clasificar, con base en la normatividad CONAC.</w:t>
      </w:r>
    </w:p>
    <w:p w:rsidR="00980A57" w:rsidRPr="0005019D" w:rsidRDefault="00980A57" w:rsidP="00980A57">
      <w:pPr>
        <w:pStyle w:val="Prrafodelista"/>
        <w:spacing w:after="200" w:line="360" w:lineRule="auto"/>
        <w:ind w:left="862"/>
        <w:jc w:val="both"/>
        <w:divId w:val="957175103"/>
        <w:rPr>
          <w:rFonts w:ascii="Barlow" w:hAnsi="Barlow" w:cs="Arial"/>
          <w:color w:val="000000"/>
          <w:sz w:val="20"/>
          <w:szCs w:val="20"/>
          <w:lang w:eastAsia="es-MX"/>
        </w:rPr>
      </w:pPr>
      <w:r w:rsidRPr="0005019D">
        <w:rPr>
          <w:rFonts w:ascii="Barlow" w:hAnsi="Barlow" w:cs="Arial"/>
          <w:color w:val="000000"/>
          <w:sz w:val="20"/>
          <w:szCs w:val="20"/>
          <w:lang w:eastAsia="es-MX"/>
        </w:rPr>
        <w:t xml:space="preserve">Así mismo de manera preventiva la Agencia de Administración Fiscal de Yucatán continua fortaleciendo en coordinación con las instituciones bancarias, con el fin de que todas las operaciones cuenten con una referencia para su identificación, mejorando la herramienta puesta en marcha a partir del año 2019,  que facilita el pago de impuestos presentando declaraciones normales por internet y portal bancario con línea de referencia, igualmente en la AAFY se desarrolló el pago referenciado para derechos, productos y aprovechamientos y se están realizando gestiones para que todas las dependencias del Sector Central adopten esta modalidad, lo anterior ofrece al ciudadano diversos canales  de pago e identificación de los mismos. En el mismo tenor de mejora continua, se sigue avanzando con mecanismos para ahorrar tiempo y dinero, ya que ahora se pueden pagar más de 120 trámites y servicios del Gobierno del Estado de Yucatán en tiendas de autoservicio OXXO, haciendo los procesos más ágiles y sencillos. </w:t>
      </w:r>
    </w:p>
    <w:p w:rsidR="00980A57" w:rsidRPr="0005019D" w:rsidRDefault="00980A57" w:rsidP="00980A57">
      <w:pPr>
        <w:pStyle w:val="Prrafodelista"/>
        <w:spacing w:after="200" w:line="360" w:lineRule="auto"/>
        <w:ind w:left="862"/>
        <w:jc w:val="both"/>
        <w:divId w:val="957175103"/>
        <w:rPr>
          <w:rFonts w:ascii="Barlow" w:hAnsi="Barlow" w:cs="Arial"/>
          <w:sz w:val="20"/>
          <w:szCs w:val="20"/>
        </w:rPr>
      </w:pPr>
    </w:p>
    <w:p w:rsidR="00980A57" w:rsidRPr="0005019D" w:rsidRDefault="00980A57" w:rsidP="00980A57">
      <w:pPr>
        <w:pStyle w:val="Prrafodelista"/>
        <w:numPr>
          <w:ilvl w:val="0"/>
          <w:numId w:val="2"/>
        </w:numPr>
        <w:spacing w:after="200" w:line="360" w:lineRule="auto"/>
        <w:ind w:left="502"/>
        <w:jc w:val="both"/>
        <w:divId w:val="957175103"/>
        <w:rPr>
          <w:rFonts w:ascii="Barlow" w:hAnsi="Barlow" w:cs="Arial"/>
          <w:sz w:val="20"/>
          <w:szCs w:val="20"/>
        </w:rPr>
      </w:pPr>
      <w:r w:rsidRPr="0005019D">
        <w:rPr>
          <w:rFonts w:ascii="Barlow" w:hAnsi="Barlow" w:cs="Arial"/>
          <w:sz w:val="20"/>
          <w:szCs w:val="20"/>
        </w:rPr>
        <w:lastRenderedPageBreak/>
        <w:t>Respecto a cuentas contables distintas a Bancos, se ha concluido la depuración de aquellas que datan del ejercicio 2002 y cuyo importe corresponde a las de mayor relevancia:</w:t>
      </w:r>
    </w:p>
    <w:p w:rsidR="00980A57" w:rsidRPr="0005019D" w:rsidRDefault="00980A57" w:rsidP="00980A57">
      <w:pPr>
        <w:pStyle w:val="Prrafodelista"/>
        <w:numPr>
          <w:ilvl w:val="0"/>
          <w:numId w:val="3"/>
        </w:numPr>
        <w:spacing w:after="200" w:line="360" w:lineRule="auto"/>
        <w:jc w:val="both"/>
        <w:divId w:val="957175103"/>
        <w:rPr>
          <w:rFonts w:ascii="Barlow" w:hAnsi="Barlow" w:cs="Arial"/>
          <w:sz w:val="20"/>
          <w:szCs w:val="20"/>
        </w:rPr>
      </w:pPr>
      <w:r w:rsidRPr="0005019D">
        <w:rPr>
          <w:rFonts w:ascii="Barlow" w:hAnsi="Barlow" w:cs="Arial"/>
          <w:sz w:val="20"/>
          <w:szCs w:val="20"/>
        </w:rPr>
        <w:t>Se ha logrado concluir con la integración y depuración del saldo de la cuenta de Construcciones en Proceso, de adminis</w:t>
      </w:r>
      <w:r w:rsidR="00FC0B2A" w:rsidRPr="0005019D">
        <w:rPr>
          <w:rFonts w:ascii="Barlow" w:hAnsi="Barlow" w:cs="Arial"/>
          <w:sz w:val="20"/>
          <w:szCs w:val="20"/>
        </w:rPr>
        <w:t xml:space="preserve">traciones anteriores, la mayor parte del </w:t>
      </w:r>
      <w:r w:rsidRPr="0005019D">
        <w:rPr>
          <w:rFonts w:ascii="Barlow" w:hAnsi="Barlow" w:cs="Arial"/>
          <w:sz w:val="20"/>
          <w:szCs w:val="20"/>
        </w:rPr>
        <w:t>saldo que actualmente presenta la cuenta de construcciones en proceso, corresponden a proyectos</w:t>
      </w:r>
      <w:r w:rsidR="00FC0B2A" w:rsidRPr="0005019D">
        <w:rPr>
          <w:rFonts w:ascii="Barlow" w:hAnsi="Barlow" w:cs="Arial"/>
          <w:sz w:val="20"/>
          <w:szCs w:val="20"/>
        </w:rPr>
        <w:t xml:space="preserve"> recientes.</w:t>
      </w:r>
    </w:p>
    <w:p w:rsidR="00980A57" w:rsidRPr="0005019D" w:rsidRDefault="00980A57" w:rsidP="00980A57">
      <w:pPr>
        <w:pStyle w:val="Prrafodelista"/>
        <w:numPr>
          <w:ilvl w:val="0"/>
          <w:numId w:val="3"/>
        </w:numPr>
        <w:spacing w:after="200" w:line="360" w:lineRule="auto"/>
        <w:jc w:val="both"/>
        <w:divId w:val="957175103"/>
        <w:rPr>
          <w:rFonts w:ascii="Barlow" w:hAnsi="Barlow" w:cs="Arial"/>
          <w:sz w:val="20"/>
          <w:szCs w:val="20"/>
        </w:rPr>
      </w:pPr>
      <w:r w:rsidRPr="0005019D">
        <w:rPr>
          <w:rFonts w:ascii="Barlow" w:hAnsi="Barlow" w:cs="Arial"/>
          <w:sz w:val="20"/>
          <w:szCs w:val="20"/>
        </w:rPr>
        <w:t>Kantunil Cancún. Inversiones financieras a Largo Plazo, igualmente se realizaron indagaciones ante instancias externas con la finalidad de obtener información, de las aportaciones realizadas a las empresas, fideicomisos y fondos que integran el saldo, así como información sobre si permanecen en funciones, se realizaron los registros de las 2 respuestas obtenidas por un monto 11.2 mdp   y del resto continua en indagación con distintas instancias.</w:t>
      </w:r>
    </w:p>
    <w:p w:rsidR="00980A57" w:rsidRPr="0005019D" w:rsidRDefault="00980A57" w:rsidP="00980A57">
      <w:pPr>
        <w:pStyle w:val="Prrafodelista"/>
        <w:numPr>
          <w:ilvl w:val="0"/>
          <w:numId w:val="3"/>
        </w:numPr>
        <w:spacing w:line="360" w:lineRule="auto"/>
        <w:jc w:val="both"/>
        <w:divId w:val="957175103"/>
        <w:rPr>
          <w:rFonts w:ascii="Barlow" w:hAnsi="Barlow" w:cs="Arial"/>
          <w:sz w:val="20"/>
          <w:szCs w:val="20"/>
        </w:rPr>
      </w:pPr>
      <w:r w:rsidRPr="0005019D">
        <w:rPr>
          <w:rFonts w:ascii="Barlow" w:hAnsi="Barlow" w:cs="Arial"/>
          <w:sz w:val="20"/>
          <w:szCs w:val="20"/>
        </w:rPr>
        <w:t>Se concluyó la depuración de cuentas que integran el pasivo como: Fonacot, Acreedores Diversos y se continua con el análisis del saldo de la cuenta de la Hacienda Pública, lo correspondiente a las Aportaciones.</w:t>
      </w:r>
    </w:p>
    <w:p w:rsidR="00980A57" w:rsidRPr="0005019D" w:rsidRDefault="00980A57" w:rsidP="00980A57">
      <w:pPr>
        <w:spacing w:line="360" w:lineRule="auto"/>
        <w:jc w:val="both"/>
        <w:divId w:val="957175103"/>
        <w:rPr>
          <w:rFonts w:ascii="Barlow" w:hAnsi="Barlow" w:cs="Arial"/>
          <w:sz w:val="20"/>
          <w:szCs w:val="20"/>
        </w:rPr>
      </w:pPr>
    </w:p>
    <w:p w:rsidR="00980A57" w:rsidRPr="0005019D" w:rsidRDefault="00980A57" w:rsidP="00980A57">
      <w:pPr>
        <w:pStyle w:val="Prrafodelista"/>
        <w:spacing w:after="200" w:line="360" w:lineRule="auto"/>
        <w:jc w:val="both"/>
        <w:divId w:val="957175103"/>
        <w:rPr>
          <w:rFonts w:ascii="Barlow" w:hAnsi="Barlow" w:cs="Arial"/>
          <w:b/>
          <w:sz w:val="20"/>
          <w:szCs w:val="20"/>
        </w:rPr>
      </w:pPr>
      <w:r w:rsidRPr="0005019D">
        <w:rPr>
          <w:rFonts w:ascii="Barlow" w:hAnsi="Barlow" w:cs="Arial"/>
          <w:b/>
          <w:sz w:val="20"/>
          <w:szCs w:val="20"/>
        </w:rPr>
        <w:t xml:space="preserve">MEJORAS EN REGISTROS DEL PATRIMONIO </w:t>
      </w:r>
    </w:p>
    <w:p w:rsidR="00980A57" w:rsidRPr="0005019D" w:rsidRDefault="00980A57" w:rsidP="00980A57">
      <w:pPr>
        <w:pStyle w:val="Prrafodelista"/>
        <w:numPr>
          <w:ilvl w:val="0"/>
          <w:numId w:val="2"/>
        </w:numPr>
        <w:spacing w:after="200" w:line="360" w:lineRule="auto"/>
        <w:ind w:left="502"/>
        <w:jc w:val="both"/>
        <w:divId w:val="957175103"/>
        <w:rPr>
          <w:rFonts w:ascii="Barlow" w:hAnsi="Barlow" w:cs="Arial"/>
          <w:sz w:val="20"/>
          <w:szCs w:val="20"/>
        </w:rPr>
      </w:pPr>
      <w:r w:rsidRPr="0005019D">
        <w:rPr>
          <w:rFonts w:ascii="Barlow" w:hAnsi="Barlow" w:cs="Arial"/>
          <w:sz w:val="20"/>
          <w:szCs w:val="20"/>
        </w:rPr>
        <w:t>En el proceso de conciliación de los saldos contables por familia de los bienes muebles, se esta integrando la información en patrimonio y contabilidad de la Secretaría de Educación, debido a que en el Sistema Integral del Gobierno del Estado de Yucatán no se encuentra la información de los bienes muebles de las escuelas de la Secretaría de Educación, que se controlan y registran en un sistema propio de la Secretaría de Educación y cuyas altas y bajas de bienes muebles de escuelas se integran al sistema de contabilidad por medio de registro manual, la Secretaría de Educación realizó gestiones solicitando que los reportes de bienes muebles que se generan de su sistema se reconozcan y adicionen a los reportes del Sistema de Control Patrimonial para realizar la conciliación de los bienes muebles.</w:t>
      </w:r>
    </w:p>
    <w:p w:rsidR="00980A57" w:rsidRPr="0005019D" w:rsidRDefault="00980A57" w:rsidP="00980A57">
      <w:pPr>
        <w:pStyle w:val="Prrafodelista"/>
        <w:spacing w:after="200" w:line="360" w:lineRule="auto"/>
        <w:ind w:left="502"/>
        <w:jc w:val="both"/>
        <w:divId w:val="957175103"/>
        <w:rPr>
          <w:rFonts w:ascii="Barlow" w:hAnsi="Barlow" w:cs="Arial"/>
          <w:sz w:val="20"/>
          <w:szCs w:val="20"/>
        </w:rPr>
      </w:pPr>
    </w:p>
    <w:p w:rsidR="00980A57" w:rsidRPr="0005019D" w:rsidRDefault="00980A57" w:rsidP="00980A57">
      <w:pPr>
        <w:pStyle w:val="Prrafodelista"/>
        <w:numPr>
          <w:ilvl w:val="0"/>
          <w:numId w:val="2"/>
        </w:numPr>
        <w:spacing w:line="360" w:lineRule="auto"/>
        <w:ind w:left="502"/>
        <w:contextualSpacing w:val="0"/>
        <w:jc w:val="both"/>
        <w:divId w:val="957175103"/>
        <w:rPr>
          <w:rFonts w:ascii="Barlow" w:hAnsi="Barlow" w:cs="Arial"/>
          <w:sz w:val="20"/>
          <w:szCs w:val="20"/>
        </w:rPr>
      </w:pPr>
      <w:r w:rsidRPr="0005019D">
        <w:rPr>
          <w:rFonts w:ascii="Barlow" w:hAnsi="Barlow" w:cs="Arial"/>
          <w:sz w:val="20"/>
          <w:szCs w:val="20"/>
        </w:rPr>
        <w:t>Los ejecutores del gasto que tengan almacenes con existencia de materiales y suministros de consumo para el desempeño de sus actividades, deberán dar cumplimiento a la normatividad establecida por la Dirección General de Control Patrimonial, Inmobiliario y Almacenes.</w:t>
      </w:r>
    </w:p>
    <w:p w:rsidR="00980A57" w:rsidRPr="0005019D" w:rsidRDefault="00980A57" w:rsidP="00980A57">
      <w:pPr>
        <w:pStyle w:val="Prrafodelista"/>
        <w:spacing w:line="360" w:lineRule="auto"/>
        <w:ind w:left="502"/>
        <w:contextualSpacing w:val="0"/>
        <w:jc w:val="both"/>
        <w:divId w:val="957175103"/>
        <w:rPr>
          <w:rFonts w:ascii="Barlow" w:hAnsi="Barlow" w:cs="Arial"/>
          <w:sz w:val="20"/>
          <w:szCs w:val="20"/>
        </w:rPr>
      </w:pPr>
    </w:p>
    <w:p w:rsidR="00980A57" w:rsidRPr="0005019D" w:rsidRDefault="00980A57" w:rsidP="00980A57">
      <w:pPr>
        <w:pStyle w:val="Prrafodelista"/>
        <w:numPr>
          <w:ilvl w:val="0"/>
          <w:numId w:val="2"/>
        </w:numPr>
        <w:spacing w:after="200" w:line="360" w:lineRule="auto"/>
        <w:ind w:left="502"/>
        <w:jc w:val="both"/>
        <w:divId w:val="957175103"/>
        <w:rPr>
          <w:rFonts w:ascii="Barlow" w:hAnsi="Barlow" w:cs="Arial"/>
          <w:sz w:val="20"/>
          <w:szCs w:val="20"/>
        </w:rPr>
      </w:pPr>
      <w:r w:rsidRPr="0005019D">
        <w:rPr>
          <w:rFonts w:ascii="Barlow" w:hAnsi="Barlow" w:cs="Arial"/>
          <w:sz w:val="20"/>
          <w:szCs w:val="20"/>
        </w:rPr>
        <w:t>Adicionalmente se presenta el registró de un monto por $ 1’469,148.27 correspondiente al pago y solicitud de armamento a la SEDENA que notificó con fecha 11 de septiembre de 2021 que los materiales se encuentran pendientes de entrega por parte del proveedor quien cuenta con 360 días para la entrega, durante el 3er. trimestre de 2022 se recibieron una parte de los bienes por parte de la SEDENA.</w:t>
      </w:r>
    </w:p>
    <w:p w:rsidR="00980A57" w:rsidRPr="0005019D" w:rsidRDefault="00980A57" w:rsidP="00980A57">
      <w:pPr>
        <w:pStyle w:val="Prrafodelista"/>
        <w:divId w:val="957175103"/>
        <w:rPr>
          <w:rFonts w:ascii="Barlow" w:hAnsi="Barlow" w:cs="Arial"/>
          <w:sz w:val="20"/>
          <w:szCs w:val="20"/>
        </w:rPr>
      </w:pPr>
    </w:p>
    <w:p w:rsidR="00980A57" w:rsidRPr="0005019D" w:rsidRDefault="00980A57" w:rsidP="00980A57">
      <w:pPr>
        <w:pStyle w:val="Prrafodelista"/>
        <w:numPr>
          <w:ilvl w:val="0"/>
          <w:numId w:val="2"/>
        </w:numPr>
        <w:spacing w:after="200" w:line="360" w:lineRule="auto"/>
        <w:ind w:left="502"/>
        <w:jc w:val="both"/>
        <w:divId w:val="957175103"/>
        <w:rPr>
          <w:rFonts w:ascii="Barlow" w:hAnsi="Barlow" w:cs="Arial"/>
          <w:sz w:val="20"/>
          <w:szCs w:val="20"/>
        </w:rPr>
      </w:pPr>
      <w:r w:rsidRPr="0005019D">
        <w:rPr>
          <w:rFonts w:ascii="Barlow" w:hAnsi="Barlow" w:cs="Arial"/>
          <w:sz w:val="20"/>
          <w:szCs w:val="20"/>
        </w:rPr>
        <w:t>Con base en la información proporcionada por la Secretaría de Seguridad Pública como ejecutor del recurso del Fideicomiso Evercore Yucatán F/0199 al 31 de diciembre de 2022, se registro a la cuenta de resultado de ejercicios anteriores el monto de $ $1’329mdp del  Proyecto integral plataforma estatal de videovigilancia concluido, en tanto permanece en la cuenta de construcciones en proceso en bienes del dominio público los pagos realizados del Proyecto integral plataforma estatal de radiocomunicaciones, en su momento dichos proyectos fueron contratados como obra pública a precio alzado.</w:t>
      </w:r>
    </w:p>
    <w:p w:rsidR="00980A57" w:rsidRPr="0005019D" w:rsidRDefault="00980A57" w:rsidP="00980A57">
      <w:pPr>
        <w:pStyle w:val="Prrafodelista"/>
        <w:divId w:val="957175103"/>
        <w:rPr>
          <w:rFonts w:ascii="Barlow" w:hAnsi="Barlow" w:cs="Arial"/>
          <w:sz w:val="20"/>
          <w:szCs w:val="20"/>
        </w:rPr>
      </w:pPr>
    </w:p>
    <w:p w:rsidR="00980A57" w:rsidRPr="0005019D" w:rsidRDefault="00980A57" w:rsidP="00980A57">
      <w:pPr>
        <w:pStyle w:val="Prrafodelista"/>
        <w:spacing w:after="200" w:line="360" w:lineRule="auto"/>
        <w:ind w:left="502"/>
        <w:jc w:val="both"/>
        <w:divId w:val="957175103"/>
        <w:rPr>
          <w:rFonts w:ascii="Barlow" w:hAnsi="Barlow" w:cs="Arial"/>
          <w:b/>
          <w:sz w:val="20"/>
          <w:szCs w:val="20"/>
        </w:rPr>
      </w:pPr>
      <w:r w:rsidRPr="0005019D">
        <w:rPr>
          <w:rFonts w:ascii="Barlow" w:hAnsi="Barlow" w:cs="Arial"/>
          <w:b/>
          <w:sz w:val="20"/>
          <w:szCs w:val="20"/>
        </w:rPr>
        <w:t>DEL GASTO DE INVERSION Y DE LAS APORTACIONES.</w:t>
      </w:r>
    </w:p>
    <w:p w:rsidR="00980A57" w:rsidRPr="0005019D" w:rsidRDefault="00980A57" w:rsidP="00980A57">
      <w:pPr>
        <w:pStyle w:val="Prrafodelista"/>
        <w:numPr>
          <w:ilvl w:val="0"/>
          <w:numId w:val="2"/>
        </w:numPr>
        <w:spacing w:after="200" w:line="360" w:lineRule="auto"/>
        <w:ind w:left="502"/>
        <w:jc w:val="both"/>
        <w:divId w:val="957175103"/>
        <w:rPr>
          <w:rFonts w:ascii="Barlow" w:hAnsi="Barlow" w:cs="Arial"/>
          <w:sz w:val="20"/>
          <w:szCs w:val="20"/>
        </w:rPr>
      </w:pPr>
      <w:r w:rsidRPr="0005019D">
        <w:rPr>
          <w:rFonts w:ascii="Barlow" w:hAnsi="Barlow" w:cs="Arial"/>
          <w:sz w:val="20"/>
          <w:szCs w:val="20"/>
        </w:rPr>
        <w:t>Debido a que se observó que no se realizaban los registros de manera correcta relativo a las aportaciones de capital realizadas a las empresas de participación mayoritaria estatal, se procedió a la integración, depuración y conciliación de la totalidad del saldo de la cuenta. Resultado de la depuración se advirtió que en los casos del Aeropuerto de Chichen Itzá, S.A. de C.V. y del Sistema Tele Yucatán de C.V., empresas de participación mayoritaria estatal, las aportaciones realizadas en años anteriores, se encontraban registradas parcialmente en Participaciones y Aportaciones de Capital, por lo que se realizaron ajustes relativos a los registros de baja realizados en el ejercicio 2018 de las aportaciones de la Fábrica de Postes S.A. de C.V.,  por la extinción de dicha empresa de participación estatal; se realizó un ajuste de $7,994,760.00 debido a que las aportaciones realizadas en años anteriores no se encontraban integrando la cuenta correspondiente.</w:t>
      </w:r>
    </w:p>
    <w:p w:rsidR="00980A57" w:rsidRPr="0005019D" w:rsidRDefault="00980A57" w:rsidP="00980A57">
      <w:pPr>
        <w:spacing w:after="200" w:line="360" w:lineRule="auto"/>
        <w:jc w:val="both"/>
        <w:divId w:val="957175103"/>
        <w:rPr>
          <w:rFonts w:ascii="Barlow" w:hAnsi="Barlow" w:cs="Arial"/>
          <w:sz w:val="20"/>
          <w:szCs w:val="20"/>
        </w:rPr>
      </w:pPr>
      <w:r w:rsidRPr="0005019D">
        <w:rPr>
          <w:rFonts w:ascii="Barlow" w:hAnsi="Barlow" w:cs="Arial"/>
          <w:sz w:val="20"/>
          <w:szCs w:val="20"/>
        </w:rPr>
        <w:t xml:space="preserve">            Se realizaron aportaciones a la empresa Aeropuerto de Chichen Itzá, S.A. de C.V. por un importe de $1.6 mdp durante el ejercicio 202</w:t>
      </w:r>
      <w:r w:rsidR="00FC0B2A" w:rsidRPr="0005019D">
        <w:rPr>
          <w:rFonts w:ascii="Barlow" w:hAnsi="Barlow" w:cs="Arial"/>
          <w:sz w:val="20"/>
          <w:szCs w:val="20"/>
        </w:rPr>
        <w:t>0 y durante los ejercicios 2021, 2022 y 2023</w:t>
      </w:r>
      <w:r w:rsidRPr="0005019D">
        <w:rPr>
          <w:rFonts w:ascii="Barlow" w:hAnsi="Barlow" w:cs="Arial"/>
          <w:sz w:val="20"/>
          <w:szCs w:val="20"/>
        </w:rPr>
        <w:t xml:space="preserve"> se aportaron $1.1 mdp en cada uno de los años, en el prese</w:t>
      </w:r>
      <w:r w:rsidR="00FC0B2A" w:rsidRPr="0005019D">
        <w:rPr>
          <w:rFonts w:ascii="Barlow" w:hAnsi="Barlow" w:cs="Arial"/>
          <w:sz w:val="20"/>
          <w:szCs w:val="20"/>
        </w:rPr>
        <w:t>nte ejercicio al 31 de marzo de 2024</w:t>
      </w:r>
      <w:r w:rsidRPr="0005019D">
        <w:rPr>
          <w:rFonts w:ascii="Barlow" w:hAnsi="Barlow" w:cs="Arial"/>
          <w:sz w:val="20"/>
          <w:szCs w:val="20"/>
        </w:rPr>
        <w:t xml:space="preserve">, se </w:t>
      </w:r>
      <w:r w:rsidR="007C2AD2" w:rsidRPr="0005019D">
        <w:rPr>
          <w:rFonts w:ascii="Barlow" w:hAnsi="Barlow" w:cs="Arial"/>
          <w:sz w:val="20"/>
          <w:szCs w:val="20"/>
        </w:rPr>
        <w:t xml:space="preserve">han </w:t>
      </w:r>
      <w:proofErr w:type="gramStart"/>
      <w:r w:rsidR="007C2AD2" w:rsidRPr="0005019D">
        <w:rPr>
          <w:rFonts w:ascii="Barlow" w:hAnsi="Barlow" w:cs="Arial"/>
          <w:sz w:val="20"/>
          <w:szCs w:val="20"/>
        </w:rPr>
        <w:t>ejercido  $</w:t>
      </w:r>
      <w:proofErr w:type="gramEnd"/>
      <w:r w:rsidR="007C2AD2" w:rsidRPr="0005019D">
        <w:rPr>
          <w:rFonts w:ascii="Barlow" w:hAnsi="Barlow" w:cs="Arial"/>
          <w:sz w:val="20"/>
          <w:szCs w:val="20"/>
        </w:rPr>
        <w:t>304,145.00</w:t>
      </w:r>
      <w:r w:rsidRPr="0005019D">
        <w:rPr>
          <w:rFonts w:ascii="Barlow" w:hAnsi="Barlow" w:cs="Arial"/>
          <w:sz w:val="20"/>
          <w:szCs w:val="20"/>
        </w:rPr>
        <w:t xml:space="preserve">, </w:t>
      </w:r>
      <w:r w:rsidR="007C2AD2" w:rsidRPr="0005019D">
        <w:rPr>
          <w:rFonts w:ascii="Barlow" w:hAnsi="Barlow" w:cs="Arial"/>
          <w:sz w:val="20"/>
          <w:szCs w:val="20"/>
        </w:rPr>
        <w:t xml:space="preserve">como aportaciones para incrementar el capital, </w:t>
      </w:r>
      <w:r w:rsidRPr="0005019D">
        <w:rPr>
          <w:rFonts w:ascii="Barlow" w:hAnsi="Barlow" w:cs="Arial"/>
          <w:sz w:val="20"/>
          <w:szCs w:val="20"/>
        </w:rPr>
        <w:t xml:space="preserve">el total </w:t>
      </w:r>
      <w:r w:rsidR="007C2AD2" w:rsidRPr="0005019D">
        <w:rPr>
          <w:rFonts w:ascii="Barlow" w:hAnsi="Barlow" w:cs="Arial"/>
          <w:sz w:val="20"/>
          <w:szCs w:val="20"/>
        </w:rPr>
        <w:t xml:space="preserve">de las aportaciones </w:t>
      </w:r>
      <w:r w:rsidRPr="0005019D">
        <w:rPr>
          <w:rFonts w:ascii="Barlow" w:hAnsi="Barlow" w:cs="Arial"/>
          <w:sz w:val="20"/>
          <w:szCs w:val="20"/>
        </w:rPr>
        <w:t xml:space="preserve">se encuentran pendientes de formalizar. </w:t>
      </w:r>
    </w:p>
    <w:p w:rsidR="00980A57" w:rsidRPr="0005019D" w:rsidRDefault="00980A57" w:rsidP="00980A57">
      <w:pPr>
        <w:spacing w:after="200" w:line="360" w:lineRule="auto"/>
        <w:jc w:val="both"/>
        <w:divId w:val="957175103"/>
        <w:rPr>
          <w:rFonts w:ascii="Barlow" w:hAnsi="Barlow" w:cs="Arial"/>
          <w:sz w:val="20"/>
          <w:szCs w:val="20"/>
        </w:rPr>
      </w:pPr>
      <w:r w:rsidRPr="0005019D">
        <w:rPr>
          <w:rFonts w:ascii="Barlow" w:hAnsi="Barlow" w:cs="Arial"/>
          <w:sz w:val="20"/>
          <w:szCs w:val="20"/>
        </w:rPr>
        <w:t xml:space="preserve">             A la empresa Portuaria Yucateca, SA de CV, durante el ejercicio 2021 se le aportaron $560,000.00. para incremento de su capital, con lo aportado originalmente, hacen un total de 6.1 md. en proceso de suscripción.</w:t>
      </w:r>
    </w:p>
    <w:p w:rsidR="00980A57" w:rsidRPr="0005019D" w:rsidRDefault="00980A57" w:rsidP="00980A57">
      <w:pPr>
        <w:spacing w:after="200" w:line="360" w:lineRule="auto"/>
        <w:jc w:val="both"/>
        <w:divId w:val="957175103"/>
        <w:rPr>
          <w:rFonts w:ascii="Barlow" w:hAnsi="Barlow" w:cs="Arial"/>
          <w:sz w:val="20"/>
          <w:szCs w:val="20"/>
        </w:rPr>
      </w:pPr>
      <w:r w:rsidRPr="0005019D">
        <w:rPr>
          <w:rFonts w:ascii="Barlow" w:hAnsi="Barlow" w:cs="Arial"/>
          <w:sz w:val="20"/>
          <w:szCs w:val="20"/>
        </w:rPr>
        <w:t xml:space="preserve"> </w:t>
      </w:r>
      <w:r w:rsidRPr="0005019D">
        <w:rPr>
          <w:rFonts w:ascii="Barlow" w:hAnsi="Barlow" w:cs="Arial"/>
          <w:sz w:val="20"/>
          <w:szCs w:val="20"/>
        </w:rPr>
        <w:tab/>
        <w:t>Por su parte en el rubro de fideicomisos, en caso específico del Fideicomiso para el desarrollo regional del Sur Sureste FIDESUR, estamos en proceso de identificar las aportaciones realizadas en años anteriores, para confirmar el correcto registro o en su caso las acciones que correspondan.</w:t>
      </w:r>
    </w:p>
    <w:p w:rsidR="00980A57" w:rsidRPr="0005019D" w:rsidRDefault="00980A57" w:rsidP="00980A57">
      <w:pPr>
        <w:pStyle w:val="Prrafodelista"/>
        <w:numPr>
          <w:ilvl w:val="0"/>
          <w:numId w:val="2"/>
        </w:numPr>
        <w:spacing w:after="200" w:line="360" w:lineRule="auto"/>
        <w:jc w:val="both"/>
        <w:divId w:val="957175103"/>
        <w:rPr>
          <w:rFonts w:ascii="Barlow" w:hAnsi="Barlow" w:cs="Arial"/>
          <w:sz w:val="20"/>
          <w:szCs w:val="20"/>
        </w:rPr>
      </w:pPr>
      <w:r w:rsidRPr="0005019D">
        <w:rPr>
          <w:rFonts w:ascii="Barlow" w:hAnsi="Barlow" w:cs="Arial"/>
          <w:sz w:val="20"/>
          <w:szCs w:val="20"/>
        </w:rPr>
        <w:t>Las cifras del Sector Centralizado del Poder Ejecutivo del Estado de Yucatán, que se presentan en los Estados Financieros y en estas notas que son parte integrante de los mismos</w:t>
      </w:r>
      <w:r w:rsidR="007C2AD2" w:rsidRPr="0005019D">
        <w:rPr>
          <w:rFonts w:ascii="Barlow" w:hAnsi="Barlow" w:cs="Arial"/>
          <w:sz w:val="20"/>
          <w:szCs w:val="20"/>
        </w:rPr>
        <w:t>, son</w:t>
      </w:r>
      <w:r w:rsidRPr="0005019D">
        <w:rPr>
          <w:rFonts w:ascii="Barlow" w:hAnsi="Barlow" w:cs="Arial"/>
          <w:sz w:val="20"/>
          <w:szCs w:val="20"/>
        </w:rPr>
        <w:t xml:space="preserve"> cifras</w:t>
      </w:r>
      <w:r w:rsidR="007C2AD2" w:rsidRPr="0005019D">
        <w:rPr>
          <w:rFonts w:ascii="Barlow" w:hAnsi="Barlow" w:cs="Arial"/>
          <w:sz w:val="20"/>
          <w:szCs w:val="20"/>
        </w:rPr>
        <w:t xml:space="preserve"> previas</w:t>
      </w:r>
      <w:r w:rsidRPr="0005019D">
        <w:rPr>
          <w:rFonts w:ascii="Barlow" w:hAnsi="Barlow" w:cs="Arial"/>
          <w:sz w:val="20"/>
          <w:szCs w:val="20"/>
        </w:rPr>
        <w:t xml:space="preserve"> de la Cuent</w:t>
      </w:r>
      <w:r w:rsidR="007C2AD2" w:rsidRPr="0005019D">
        <w:rPr>
          <w:rFonts w:ascii="Barlow" w:hAnsi="Barlow" w:cs="Arial"/>
          <w:sz w:val="20"/>
          <w:szCs w:val="20"/>
        </w:rPr>
        <w:t>a Pública 2024</w:t>
      </w:r>
      <w:r w:rsidRPr="0005019D">
        <w:rPr>
          <w:rFonts w:ascii="Barlow" w:hAnsi="Barlow" w:cs="Arial"/>
          <w:sz w:val="20"/>
          <w:szCs w:val="20"/>
        </w:rPr>
        <w:t>.</w:t>
      </w:r>
    </w:p>
    <w:p w:rsidR="00980A57" w:rsidRPr="0005019D" w:rsidRDefault="00980A57" w:rsidP="00980A57">
      <w:pPr>
        <w:pStyle w:val="Prrafodelista"/>
        <w:divId w:val="957175103"/>
        <w:rPr>
          <w:rFonts w:ascii="Barlow" w:hAnsi="Barlow" w:cs="Arial"/>
          <w:sz w:val="20"/>
          <w:szCs w:val="20"/>
        </w:rPr>
      </w:pPr>
    </w:p>
    <w:p w:rsidR="00980A57" w:rsidRPr="0005019D" w:rsidRDefault="00980A57" w:rsidP="00980A57">
      <w:pPr>
        <w:pStyle w:val="Prrafodelista"/>
        <w:numPr>
          <w:ilvl w:val="0"/>
          <w:numId w:val="2"/>
        </w:numPr>
        <w:spacing w:after="200" w:line="360" w:lineRule="auto"/>
        <w:jc w:val="both"/>
        <w:divId w:val="957175103"/>
        <w:rPr>
          <w:rFonts w:ascii="Barlow" w:hAnsi="Barlow" w:cs="Arial"/>
          <w:sz w:val="20"/>
          <w:szCs w:val="20"/>
        </w:rPr>
      </w:pPr>
      <w:r w:rsidRPr="0005019D">
        <w:rPr>
          <w:rFonts w:ascii="Barlow" w:hAnsi="Barlow" w:cs="Arial"/>
          <w:sz w:val="20"/>
          <w:szCs w:val="20"/>
        </w:rPr>
        <w:t xml:space="preserve">En lo que respecta a la plataforma administrativa del Gobierno del Estado, se continúa en la etapa de implementación </w:t>
      </w:r>
      <w:r w:rsidR="007C2AD2" w:rsidRPr="0005019D">
        <w:rPr>
          <w:rFonts w:ascii="Barlow" w:hAnsi="Barlow" w:cs="Arial"/>
          <w:sz w:val="20"/>
          <w:szCs w:val="20"/>
        </w:rPr>
        <w:t xml:space="preserve">de </w:t>
      </w:r>
      <w:r w:rsidRPr="0005019D">
        <w:rPr>
          <w:rFonts w:ascii="Barlow" w:hAnsi="Barlow" w:cs="Arial"/>
          <w:sz w:val="20"/>
          <w:szCs w:val="20"/>
        </w:rPr>
        <w:t xml:space="preserve">nuevos </w:t>
      </w:r>
      <w:proofErr w:type="gramStart"/>
      <w:r w:rsidRPr="0005019D">
        <w:rPr>
          <w:rFonts w:ascii="Barlow" w:hAnsi="Barlow" w:cs="Arial"/>
          <w:sz w:val="20"/>
          <w:szCs w:val="20"/>
        </w:rPr>
        <w:t>módulos  al</w:t>
      </w:r>
      <w:proofErr w:type="gramEnd"/>
      <w:r w:rsidRPr="0005019D">
        <w:rPr>
          <w:rFonts w:ascii="Barlow" w:hAnsi="Barlow" w:cs="Arial"/>
          <w:sz w:val="20"/>
          <w:szCs w:val="20"/>
        </w:rPr>
        <w:t xml:space="preserve"> Sistema integral de Gestión Gubernamental, con el fin de continuar con la transición del sistema.</w:t>
      </w:r>
    </w:p>
    <w:p w:rsidR="00980A57" w:rsidRPr="0005019D" w:rsidRDefault="00980A57" w:rsidP="00980A57">
      <w:pPr>
        <w:pStyle w:val="Prrafodelista"/>
        <w:divId w:val="957175103"/>
        <w:rPr>
          <w:rFonts w:ascii="Barlow" w:hAnsi="Barlow" w:cs="Arial"/>
          <w:sz w:val="20"/>
          <w:szCs w:val="20"/>
        </w:rPr>
      </w:pPr>
    </w:p>
    <w:p w:rsidR="005E0E9D" w:rsidRPr="0005019D" w:rsidRDefault="005E0E9D">
      <w:pPr>
        <w:divId w:val="1730306116"/>
        <w:rPr>
          <w:rFonts w:ascii="Barlow" w:eastAsia="Times New Roman" w:hAnsi="Barlow"/>
          <w:sz w:val="20"/>
          <w:szCs w:val="20"/>
        </w:rPr>
      </w:pPr>
    </w:p>
    <w:p w:rsidR="005E0E9D" w:rsidRPr="0005019D" w:rsidRDefault="00E35EF3">
      <w:pPr>
        <w:divId w:val="998508436"/>
        <w:rPr>
          <w:rFonts w:ascii="Barlow" w:eastAsia="Times New Roman" w:hAnsi="Barlow"/>
          <w:sz w:val="20"/>
          <w:szCs w:val="20"/>
        </w:rPr>
      </w:pPr>
      <w:r w:rsidRPr="0005019D">
        <w:rPr>
          <w:rStyle w:val="Textoennegrita"/>
          <w:rFonts w:ascii="Barlow" w:eastAsia="Times New Roman" w:hAnsi="Barlow"/>
          <w:sz w:val="20"/>
          <w:szCs w:val="20"/>
        </w:rPr>
        <w:t xml:space="preserve">13. Información por Segmentos, No aplica </w:t>
      </w:r>
    </w:p>
    <w:p w:rsidR="005E0E9D" w:rsidRPr="0005019D" w:rsidRDefault="00E35EF3">
      <w:pPr>
        <w:divId w:val="1365249856"/>
        <w:rPr>
          <w:rFonts w:ascii="Barlow" w:eastAsia="Times New Roman" w:hAnsi="Barlow"/>
          <w:sz w:val="20"/>
          <w:szCs w:val="20"/>
        </w:rPr>
      </w:pPr>
      <w:r w:rsidRPr="0005019D">
        <w:rPr>
          <w:rStyle w:val="Textoennegrita"/>
          <w:rFonts w:ascii="Barlow" w:eastAsia="Times New Roman" w:hAnsi="Barlow"/>
          <w:sz w:val="20"/>
          <w:szCs w:val="20"/>
        </w:rPr>
        <w:t>14.- Eventos Posteriores. No aplica</w:t>
      </w:r>
    </w:p>
    <w:p w:rsidR="005E0E9D" w:rsidRPr="0005019D" w:rsidRDefault="00E35EF3">
      <w:pPr>
        <w:divId w:val="368839172"/>
        <w:rPr>
          <w:rFonts w:ascii="Barlow" w:eastAsia="Times New Roman" w:hAnsi="Barlow"/>
          <w:sz w:val="20"/>
          <w:szCs w:val="20"/>
        </w:rPr>
      </w:pPr>
      <w:r w:rsidRPr="0005019D">
        <w:rPr>
          <w:rStyle w:val="Textoennegrita"/>
          <w:rFonts w:ascii="Barlow" w:eastAsia="Times New Roman" w:hAnsi="Barlow"/>
          <w:sz w:val="20"/>
          <w:szCs w:val="20"/>
        </w:rPr>
        <w:t>15.- Partes Relacionadas, No aplica.</w:t>
      </w:r>
    </w:p>
    <w:p w:rsidR="005E0E9D" w:rsidRPr="0005019D" w:rsidRDefault="00E35EF3">
      <w:pPr>
        <w:divId w:val="1063066339"/>
        <w:rPr>
          <w:rFonts w:ascii="Barlow" w:eastAsia="Times New Roman" w:hAnsi="Barlow"/>
          <w:sz w:val="20"/>
          <w:szCs w:val="20"/>
        </w:rPr>
      </w:pPr>
      <w:r w:rsidRPr="0005019D">
        <w:rPr>
          <w:rStyle w:val="Textoennegrita"/>
          <w:rFonts w:ascii="Barlow" w:eastAsia="Times New Roman" w:hAnsi="Barlow"/>
          <w:sz w:val="20"/>
          <w:szCs w:val="20"/>
        </w:rPr>
        <w:t>B) NOTAS DE DESGLOCE</w:t>
      </w:r>
    </w:p>
    <w:p w:rsidR="005E0E9D" w:rsidRPr="0005019D" w:rsidRDefault="005E0E9D">
      <w:pPr>
        <w:divId w:val="137651718"/>
        <w:rPr>
          <w:rFonts w:ascii="Barlow" w:eastAsia="Times New Roman" w:hAnsi="Barlow"/>
          <w:sz w:val="20"/>
          <w:szCs w:val="20"/>
        </w:rPr>
      </w:pPr>
    </w:p>
    <w:p w:rsidR="005E0E9D" w:rsidRPr="0005019D" w:rsidRDefault="00E35EF3">
      <w:pPr>
        <w:divId w:val="530454895"/>
        <w:rPr>
          <w:rFonts w:ascii="Barlow" w:eastAsia="Times New Roman" w:hAnsi="Barlow"/>
          <w:sz w:val="20"/>
          <w:szCs w:val="20"/>
        </w:rPr>
      </w:pPr>
      <w:r w:rsidRPr="0005019D">
        <w:rPr>
          <w:rStyle w:val="Textoennegrita"/>
          <w:rFonts w:ascii="Barlow" w:eastAsia="Times New Roman" w:hAnsi="Barlow"/>
          <w:sz w:val="20"/>
          <w:szCs w:val="20"/>
        </w:rPr>
        <w:t>I) NOTAS AL ESTADO DE ACTIVIDADES</w:t>
      </w:r>
    </w:p>
    <w:p w:rsidR="005E0E9D" w:rsidRPr="0005019D" w:rsidRDefault="00E35EF3">
      <w:pPr>
        <w:divId w:val="936907016"/>
        <w:rPr>
          <w:rFonts w:ascii="Barlow" w:eastAsia="Times New Roman" w:hAnsi="Barlow"/>
          <w:sz w:val="20"/>
          <w:szCs w:val="20"/>
        </w:rPr>
      </w:pPr>
      <w:r w:rsidRPr="0005019D">
        <w:rPr>
          <w:rStyle w:val="Textoennegrita"/>
          <w:rFonts w:ascii="Barlow" w:eastAsia="Times New Roman" w:hAnsi="Barlow"/>
          <w:sz w:val="20"/>
          <w:szCs w:val="20"/>
        </w:rPr>
        <w:t>Ingresos de Gestión</w:t>
      </w:r>
    </w:p>
    <w:p w:rsidR="005E0E9D" w:rsidRPr="0005019D" w:rsidRDefault="00E35EF3">
      <w:pPr>
        <w:divId w:val="2008287183"/>
        <w:rPr>
          <w:rFonts w:ascii="Barlow" w:eastAsia="Times New Roman" w:hAnsi="Barlow"/>
          <w:sz w:val="20"/>
          <w:szCs w:val="20"/>
        </w:rPr>
      </w:pPr>
      <w:r w:rsidRPr="0005019D">
        <w:rPr>
          <w:rFonts w:ascii="Barlow" w:eastAsia="Times New Roman" w:hAnsi="Barlow"/>
          <w:sz w:val="20"/>
          <w:szCs w:val="20"/>
        </w:rPr>
        <w:t>Representa el monto de los ingresos recaudados durante el ejercicio fiscal y que se previeron en la Ley de Ingresos del Estado de Yucatán, así como de los recursos que el Poder Ejecutivo recibió del Gobierno Federal, por concepto de Participaciones en Ingresos Federales, Aportaciones y Convenios, como se muestra a continuación:</w:t>
      </w:r>
    </w:p>
    <w:p w:rsidR="005E0E9D" w:rsidRPr="0005019D" w:rsidRDefault="00E35EF3">
      <w:pPr>
        <w:divId w:val="214659335"/>
        <w:rPr>
          <w:rFonts w:ascii="Barlow" w:eastAsia="Times New Roman" w:hAnsi="Barlow"/>
          <w:sz w:val="20"/>
          <w:szCs w:val="20"/>
        </w:rPr>
      </w:pPr>
      <w:r w:rsidRPr="0005019D">
        <w:rPr>
          <w:rFonts w:ascii="Barlow" w:eastAsia="Times New Roman" w:hAnsi="Barlow"/>
          <w:sz w:val="20"/>
          <w:szCs w:val="20"/>
        </w:rPr>
        <w:t>1.- Las cuentas que integran los ingresos de la gestión, presentan los siguientes saldos: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109"/>
        <w:gridCol w:w="3667"/>
      </w:tblGrid>
      <w:tr w:rsidR="005E0E9D" w:rsidRPr="0005019D">
        <w:trPr>
          <w:divId w:val="1205825183"/>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INGRESOS DE GESTIÓN</w:t>
            </w:r>
          </w:p>
        </w:tc>
        <w:tc>
          <w:tcPr>
            <w:tcW w:w="0" w:type="auto"/>
            <w:vAlign w:val="center"/>
            <w:hideMark/>
          </w:tcPr>
          <w:p w:rsidR="005E0E9D" w:rsidRPr="0005019D" w:rsidRDefault="005E0E9D">
            <w:pPr>
              <w:rPr>
                <w:rFonts w:ascii="Barlow" w:eastAsia="Times New Roman" w:hAnsi="Barlow"/>
                <w:sz w:val="18"/>
                <w:szCs w:val="18"/>
              </w:rPr>
            </w:pPr>
          </w:p>
        </w:tc>
      </w:tr>
      <w:tr w:rsidR="005E0E9D" w:rsidRPr="0005019D">
        <w:trPr>
          <w:divId w:val="1205825183"/>
          <w:tblCellSpacing w:w="15" w:type="dxa"/>
        </w:trPr>
        <w:tc>
          <w:tcPr>
            <w:tcW w:w="0" w:type="auto"/>
            <w:vAlign w:val="center"/>
            <w:hideMark/>
          </w:tcPr>
          <w:p w:rsidR="005E0E9D" w:rsidRPr="0005019D" w:rsidRDefault="00E35EF3">
            <w:pPr>
              <w:divId w:val="1117598976"/>
              <w:rPr>
                <w:rFonts w:ascii="Barlow" w:eastAsia="Times New Roman" w:hAnsi="Barlow"/>
                <w:color w:val="000000"/>
                <w:sz w:val="18"/>
                <w:szCs w:val="18"/>
              </w:rPr>
            </w:pPr>
            <w:r w:rsidRPr="0005019D">
              <w:rPr>
                <w:rFonts w:ascii="Barlow" w:eastAsia="Times New Roman" w:hAnsi="Barlow"/>
                <w:color w:val="000000"/>
                <w:sz w:val="18"/>
                <w:szCs w:val="18"/>
              </w:rPr>
              <w:t>IMPUESTOS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1,051,997,965.00</w:t>
            </w:r>
          </w:p>
        </w:tc>
      </w:tr>
      <w:tr w:rsidR="005E0E9D" w:rsidRPr="0005019D">
        <w:trPr>
          <w:divId w:val="1205825183"/>
          <w:tblCellSpacing w:w="15" w:type="dxa"/>
        </w:trPr>
        <w:tc>
          <w:tcPr>
            <w:tcW w:w="0" w:type="auto"/>
            <w:vAlign w:val="center"/>
            <w:hideMark/>
          </w:tcPr>
          <w:p w:rsidR="005E0E9D" w:rsidRPr="0005019D" w:rsidRDefault="00E35EF3">
            <w:pPr>
              <w:divId w:val="1754818963"/>
              <w:rPr>
                <w:rFonts w:ascii="Barlow" w:eastAsia="Times New Roman" w:hAnsi="Barlow"/>
                <w:color w:val="000000"/>
                <w:sz w:val="18"/>
                <w:szCs w:val="18"/>
              </w:rPr>
            </w:pPr>
            <w:r w:rsidRPr="0005019D">
              <w:rPr>
                <w:rFonts w:ascii="Barlow" w:eastAsia="Times New Roman" w:hAnsi="Barlow"/>
                <w:color w:val="000000"/>
                <w:sz w:val="18"/>
                <w:szCs w:val="18"/>
              </w:rPr>
              <w:t>DERECHOS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626,014,064.70</w:t>
            </w:r>
          </w:p>
        </w:tc>
      </w:tr>
      <w:tr w:rsidR="005E0E9D" w:rsidRPr="0005019D">
        <w:trPr>
          <w:divId w:val="1205825183"/>
          <w:tblCellSpacing w:w="15" w:type="dxa"/>
        </w:trPr>
        <w:tc>
          <w:tcPr>
            <w:tcW w:w="0" w:type="auto"/>
            <w:vAlign w:val="center"/>
            <w:hideMark/>
          </w:tcPr>
          <w:p w:rsidR="005E0E9D" w:rsidRPr="0005019D" w:rsidRDefault="00E35EF3">
            <w:pPr>
              <w:divId w:val="1339506663"/>
              <w:rPr>
                <w:rFonts w:ascii="Barlow" w:eastAsia="Times New Roman" w:hAnsi="Barlow"/>
                <w:color w:val="000000"/>
                <w:sz w:val="18"/>
                <w:szCs w:val="18"/>
              </w:rPr>
            </w:pPr>
            <w:r w:rsidRPr="0005019D">
              <w:rPr>
                <w:rFonts w:ascii="Barlow" w:eastAsia="Times New Roman" w:hAnsi="Barlow"/>
                <w:color w:val="000000"/>
                <w:sz w:val="18"/>
                <w:szCs w:val="18"/>
              </w:rPr>
              <w:t>PRODUCTOS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74,241,697.47</w:t>
            </w:r>
          </w:p>
        </w:tc>
      </w:tr>
      <w:tr w:rsidR="005E0E9D" w:rsidRPr="0005019D">
        <w:trPr>
          <w:divId w:val="1205825183"/>
          <w:tblCellSpacing w:w="15" w:type="dxa"/>
        </w:trPr>
        <w:tc>
          <w:tcPr>
            <w:tcW w:w="0" w:type="auto"/>
            <w:vAlign w:val="center"/>
            <w:hideMark/>
          </w:tcPr>
          <w:p w:rsidR="005E0E9D" w:rsidRPr="0005019D" w:rsidRDefault="00E35EF3">
            <w:pPr>
              <w:divId w:val="261955540"/>
              <w:rPr>
                <w:rFonts w:ascii="Barlow" w:eastAsia="Times New Roman" w:hAnsi="Barlow"/>
                <w:color w:val="000000"/>
                <w:sz w:val="18"/>
                <w:szCs w:val="18"/>
              </w:rPr>
            </w:pPr>
            <w:r w:rsidRPr="0005019D">
              <w:rPr>
                <w:rFonts w:ascii="Barlow" w:eastAsia="Times New Roman" w:hAnsi="Barlow"/>
                <w:color w:val="000000"/>
                <w:sz w:val="18"/>
                <w:szCs w:val="18"/>
              </w:rPr>
              <w:t>APROVECHAMIENTOS</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60,028,665.23</w:t>
            </w:r>
          </w:p>
        </w:tc>
      </w:tr>
      <w:tr w:rsidR="005E0E9D" w:rsidRPr="0005019D">
        <w:trPr>
          <w:divId w:val="1205825183"/>
          <w:tblCellSpacing w:w="15" w:type="dxa"/>
        </w:trPr>
        <w:tc>
          <w:tcPr>
            <w:tcW w:w="0" w:type="auto"/>
            <w:vAlign w:val="center"/>
            <w:hideMark/>
          </w:tcPr>
          <w:p w:rsidR="005E0E9D" w:rsidRPr="0005019D" w:rsidRDefault="00E35EF3">
            <w:pPr>
              <w:divId w:val="316544018"/>
              <w:rPr>
                <w:rFonts w:ascii="Barlow" w:eastAsia="Times New Roman" w:hAnsi="Barlow"/>
                <w:sz w:val="18"/>
                <w:szCs w:val="18"/>
              </w:rPr>
            </w:pPr>
            <w:r w:rsidRPr="0005019D">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4"/>
                <w:szCs w:val="24"/>
              </w:rPr>
            </w:pPr>
            <w:r w:rsidRPr="0005019D">
              <w:rPr>
                <w:rStyle w:val="Textoennegrita"/>
                <w:rFonts w:ascii="Barlow" w:eastAsia="Times New Roman" w:hAnsi="Barlow"/>
                <w:color w:val="000000"/>
              </w:rPr>
              <w:t>1,812,282,392.40</w:t>
            </w:r>
          </w:p>
        </w:tc>
      </w:tr>
    </w:tbl>
    <w:p w:rsidR="005E0E9D" w:rsidRPr="0005019D" w:rsidRDefault="005E0E9D">
      <w:pPr>
        <w:divId w:val="1621182812"/>
        <w:rPr>
          <w:rFonts w:ascii="Barlow" w:eastAsia="Times New Roman" w:hAnsi="Barlow"/>
          <w:sz w:val="20"/>
          <w:szCs w:val="20"/>
        </w:rPr>
      </w:pPr>
    </w:p>
    <w:p w:rsidR="005E0E9D" w:rsidRPr="0005019D" w:rsidRDefault="00E35EF3">
      <w:pPr>
        <w:divId w:val="1587962264"/>
        <w:rPr>
          <w:rFonts w:ascii="Barlow" w:eastAsia="Times New Roman" w:hAnsi="Barlow"/>
          <w:sz w:val="20"/>
          <w:szCs w:val="20"/>
        </w:rPr>
      </w:pPr>
      <w:r w:rsidRPr="0005019D">
        <w:rPr>
          <w:rFonts w:ascii="Barlow" w:eastAsia="Times New Roman" w:hAnsi="Barlow"/>
          <w:sz w:val="20"/>
          <w:szCs w:val="20"/>
        </w:rPr>
        <w:lastRenderedPageBreak/>
        <w:t>2.- Las cuentas que integran los ingresos por participaciones, aportaciones, convenios, incentivos derivados de la colaboración fiscal, fondos distintos de aportaciones, transferencias, asignaciones, subsidios y otras ayudas presentan los siguientes saldos:</w:t>
      </w:r>
    </w:p>
    <w:p w:rsidR="005E0E9D" w:rsidRPr="0005019D" w:rsidRDefault="005E0E9D">
      <w:pPr>
        <w:divId w:val="898322901"/>
        <w:rPr>
          <w:rFonts w:ascii="Barlow" w:eastAsia="Times New Roman" w:hAnsi="Barlow"/>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752"/>
        <w:gridCol w:w="1616"/>
      </w:tblGrid>
      <w:tr w:rsidR="005E0E9D" w:rsidRPr="0005019D">
        <w:trPr>
          <w:divId w:val="378624859"/>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PARTICIPACIONES, APORTACIONES, CONVENIOS, INCENTIVOS DERIVADOS DE LA COLABORACIÓN FISCAL, FONDOS DISTINTOS DE APORTACIONES, TRANSFERENCIAS, ASIGNACIONES, SUBCIDIOS Y SUBVENCIONES, Y PENSIONES Y JUBILACIONES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378624859"/>
          <w:tblCellSpacing w:w="15" w:type="dxa"/>
        </w:trPr>
        <w:tc>
          <w:tcPr>
            <w:tcW w:w="0" w:type="auto"/>
            <w:vAlign w:val="center"/>
            <w:hideMark/>
          </w:tcPr>
          <w:p w:rsidR="005E0E9D" w:rsidRPr="0005019D" w:rsidRDefault="00E35EF3">
            <w:pPr>
              <w:divId w:val="1894468094"/>
              <w:rPr>
                <w:rFonts w:ascii="Barlow" w:eastAsia="Times New Roman" w:hAnsi="Barlow"/>
                <w:color w:val="000000"/>
                <w:sz w:val="20"/>
                <w:szCs w:val="20"/>
              </w:rPr>
            </w:pPr>
            <w:r w:rsidRPr="0005019D">
              <w:rPr>
                <w:rFonts w:ascii="Barlow" w:eastAsia="Times New Roman" w:hAnsi="Barlow"/>
                <w:color w:val="000000"/>
                <w:sz w:val="20"/>
                <w:szCs w:val="20"/>
              </w:rPr>
              <w:t>PARTICIPACIONES, APORTACIONES, CONVENIOS, INCENTIVOS DERIVADOS DE LA COLABORACIÓN FISCAL, FONDOS DISTINTOS DE APORTACIONES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11,023,733,990.26</w:t>
            </w:r>
          </w:p>
        </w:tc>
      </w:tr>
      <w:tr w:rsidR="005E0E9D" w:rsidRPr="0005019D">
        <w:trPr>
          <w:divId w:val="378624859"/>
          <w:tblCellSpacing w:w="15" w:type="dxa"/>
        </w:trPr>
        <w:tc>
          <w:tcPr>
            <w:tcW w:w="0" w:type="auto"/>
            <w:vAlign w:val="center"/>
            <w:hideMark/>
          </w:tcPr>
          <w:p w:rsidR="005E0E9D" w:rsidRPr="0005019D" w:rsidRDefault="00E35EF3">
            <w:pPr>
              <w:divId w:val="649527933"/>
              <w:rPr>
                <w:rFonts w:ascii="Barlow" w:eastAsia="Times New Roman" w:hAnsi="Barlow"/>
                <w:color w:val="000000"/>
                <w:sz w:val="20"/>
                <w:szCs w:val="20"/>
              </w:rPr>
            </w:pPr>
            <w:r w:rsidRPr="0005019D">
              <w:rPr>
                <w:rFonts w:ascii="Barlow" w:eastAsia="Times New Roman" w:hAnsi="Barlow"/>
                <w:color w:val="000000"/>
                <w:sz w:val="20"/>
                <w:szCs w:val="20"/>
              </w:rPr>
              <w:t>TRANSFERENCIAS, ASIGNACIONES, SUBSIDIOS Y SUBVENCIONES, Y PENSIONES Y JUBILACIONES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811,920,000.00</w:t>
            </w:r>
          </w:p>
        </w:tc>
      </w:tr>
      <w:tr w:rsidR="005E0E9D" w:rsidRPr="0005019D">
        <w:trPr>
          <w:divId w:val="378624859"/>
          <w:tblCellSpacing w:w="15" w:type="dxa"/>
        </w:trPr>
        <w:tc>
          <w:tcPr>
            <w:tcW w:w="0" w:type="auto"/>
            <w:vAlign w:val="center"/>
            <w:hideMark/>
          </w:tcPr>
          <w:p w:rsidR="005E0E9D" w:rsidRPr="0005019D" w:rsidRDefault="00E35EF3">
            <w:pPr>
              <w:divId w:val="1804998582"/>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11,835,653,990.26</w:t>
            </w:r>
          </w:p>
        </w:tc>
      </w:tr>
    </w:tbl>
    <w:p w:rsidR="005E0E9D" w:rsidRPr="0005019D" w:rsidRDefault="005E0E9D">
      <w:pPr>
        <w:divId w:val="1715810193"/>
        <w:rPr>
          <w:rFonts w:ascii="Barlow" w:eastAsia="Times New Roman" w:hAnsi="Barlow"/>
          <w:sz w:val="20"/>
          <w:szCs w:val="20"/>
        </w:rPr>
      </w:pPr>
    </w:p>
    <w:p w:rsidR="005E0E9D" w:rsidRPr="0005019D" w:rsidRDefault="00E35EF3">
      <w:pPr>
        <w:divId w:val="1337347429"/>
        <w:rPr>
          <w:rFonts w:ascii="Barlow" w:eastAsia="Times New Roman" w:hAnsi="Barlow"/>
          <w:sz w:val="20"/>
          <w:szCs w:val="20"/>
        </w:rPr>
      </w:pPr>
      <w:r w:rsidRPr="0005019D">
        <w:rPr>
          <w:rStyle w:val="Textoennegrita"/>
          <w:rFonts w:ascii="Barlow" w:eastAsia="Times New Roman" w:hAnsi="Barlow"/>
          <w:sz w:val="20"/>
          <w:szCs w:val="20"/>
        </w:rPr>
        <w:t>Gastos y Otras Pérdidas</w:t>
      </w:r>
    </w:p>
    <w:p w:rsidR="005E0E9D" w:rsidRPr="0005019D" w:rsidRDefault="00E35EF3">
      <w:pPr>
        <w:divId w:val="868567737"/>
        <w:rPr>
          <w:rFonts w:ascii="Barlow" w:eastAsia="Times New Roman" w:hAnsi="Barlow"/>
          <w:sz w:val="20"/>
          <w:szCs w:val="20"/>
        </w:rPr>
      </w:pPr>
      <w:r w:rsidRPr="0005019D">
        <w:rPr>
          <w:rFonts w:ascii="Barlow" w:eastAsia="Times New Roman" w:hAnsi="Barlow"/>
          <w:sz w:val="20"/>
          <w:szCs w:val="20"/>
        </w:rPr>
        <w:t>1.- Los gastos más relevantes en relación al total del gasto se integran a continuación:</w:t>
      </w:r>
    </w:p>
    <w:p w:rsidR="005E0E9D" w:rsidRPr="0005019D" w:rsidRDefault="005E0E9D">
      <w:pPr>
        <w:divId w:val="1000961140"/>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931"/>
        <w:gridCol w:w="2845"/>
      </w:tblGrid>
      <w:tr w:rsidR="005E0E9D" w:rsidRPr="0005019D">
        <w:trPr>
          <w:divId w:val="1855609132"/>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GASTOS DE FUNCIONAMIENTO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855609132"/>
          <w:tblCellSpacing w:w="15" w:type="dxa"/>
        </w:trPr>
        <w:tc>
          <w:tcPr>
            <w:tcW w:w="0" w:type="auto"/>
            <w:vAlign w:val="center"/>
            <w:hideMark/>
          </w:tcPr>
          <w:p w:rsidR="005E0E9D" w:rsidRPr="0005019D" w:rsidRDefault="00E35EF3">
            <w:pPr>
              <w:divId w:val="248540749"/>
              <w:rPr>
                <w:rFonts w:ascii="Barlow" w:eastAsia="Times New Roman" w:hAnsi="Barlow"/>
                <w:color w:val="000000"/>
                <w:sz w:val="20"/>
                <w:szCs w:val="20"/>
              </w:rPr>
            </w:pPr>
            <w:r w:rsidRPr="0005019D">
              <w:rPr>
                <w:rFonts w:ascii="Barlow" w:eastAsia="Times New Roman" w:hAnsi="Barlow"/>
                <w:color w:val="000000"/>
                <w:sz w:val="20"/>
                <w:szCs w:val="20"/>
              </w:rPr>
              <w:t>SERVICIOS PERSONALES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3,519,741,441.33</w:t>
            </w:r>
          </w:p>
        </w:tc>
      </w:tr>
      <w:tr w:rsidR="005E0E9D" w:rsidRPr="0005019D">
        <w:trPr>
          <w:divId w:val="1855609132"/>
          <w:tblCellSpacing w:w="15" w:type="dxa"/>
        </w:trPr>
        <w:tc>
          <w:tcPr>
            <w:tcW w:w="0" w:type="auto"/>
            <w:vAlign w:val="center"/>
            <w:hideMark/>
          </w:tcPr>
          <w:p w:rsidR="005E0E9D" w:rsidRPr="0005019D" w:rsidRDefault="00E35EF3">
            <w:pPr>
              <w:divId w:val="911159176"/>
              <w:rPr>
                <w:rFonts w:ascii="Barlow" w:eastAsia="Times New Roman" w:hAnsi="Barlow"/>
                <w:color w:val="000000"/>
                <w:sz w:val="20"/>
                <w:szCs w:val="20"/>
              </w:rPr>
            </w:pPr>
            <w:r w:rsidRPr="0005019D">
              <w:rPr>
                <w:rFonts w:ascii="Barlow" w:eastAsia="Times New Roman" w:hAnsi="Barlow"/>
                <w:color w:val="000000"/>
                <w:sz w:val="20"/>
                <w:szCs w:val="20"/>
              </w:rPr>
              <w:t>MATERIALES Y SUMINISTROS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188,925,465.77</w:t>
            </w:r>
          </w:p>
        </w:tc>
      </w:tr>
      <w:tr w:rsidR="005E0E9D" w:rsidRPr="0005019D">
        <w:trPr>
          <w:divId w:val="1855609132"/>
          <w:tblCellSpacing w:w="15" w:type="dxa"/>
        </w:trPr>
        <w:tc>
          <w:tcPr>
            <w:tcW w:w="0" w:type="auto"/>
            <w:vAlign w:val="center"/>
            <w:hideMark/>
          </w:tcPr>
          <w:p w:rsidR="005E0E9D" w:rsidRPr="0005019D" w:rsidRDefault="00E35EF3">
            <w:pPr>
              <w:divId w:val="2072577055"/>
              <w:rPr>
                <w:rFonts w:ascii="Barlow" w:eastAsia="Times New Roman" w:hAnsi="Barlow"/>
                <w:color w:val="000000"/>
                <w:sz w:val="20"/>
                <w:szCs w:val="20"/>
              </w:rPr>
            </w:pPr>
            <w:r w:rsidRPr="0005019D">
              <w:rPr>
                <w:rFonts w:ascii="Barlow" w:eastAsia="Times New Roman" w:hAnsi="Barlow"/>
                <w:color w:val="000000"/>
                <w:sz w:val="20"/>
                <w:szCs w:val="20"/>
              </w:rPr>
              <w:t>SERVICIOS GENERALES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578,189,366.83</w:t>
            </w:r>
          </w:p>
        </w:tc>
      </w:tr>
      <w:tr w:rsidR="005E0E9D" w:rsidRPr="0005019D">
        <w:trPr>
          <w:divId w:val="1855609132"/>
          <w:tblCellSpacing w:w="15" w:type="dxa"/>
        </w:trPr>
        <w:tc>
          <w:tcPr>
            <w:tcW w:w="0" w:type="auto"/>
            <w:vAlign w:val="center"/>
            <w:hideMark/>
          </w:tcPr>
          <w:p w:rsidR="005E0E9D" w:rsidRPr="0005019D" w:rsidRDefault="00E35EF3">
            <w:pPr>
              <w:divId w:val="266892108"/>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4,286,856,273.93</w:t>
            </w:r>
          </w:p>
        </w:tc>
      </w:tr>
    </w:tbl>
    <w:p w:rsidR="005E0E9D" w:rsidRPr="0005019D" w:rsidRDefault="005E0E9D">
      <w:pPr>
        <w:divId w:val="2138864025"/>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96"/>
        <w:gridCol w:w="1580"/>
      </w:tblGrid>
      <w:tr w:rsidR="005E0E9D" w:rsidRPr="0005019D">
        <w:trPr>
          <w:divId w:val="2123380453"/>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TRANSFERENCIAS, ASIGNACIONES, SUBSIDIOS Y OTRAS AYUDAS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123380453"/>
          <w:tblCellSpacing w:w="15" w:type="dxa"/>
        </w:trPr>
        <w:tc>
          <w:tcPr>
            <w:tcW w:w="0" w:type="auto"/>
            <w:vAlign w:val="center"/>
            <w:hideMark/>
          </w:tcPr>
          <w:p w:rsidR="005E0E9D" w:rsidRPr="0005019D" w:rsidRDefault="00E35EF3">
            <w:pPr>
              <w:divId w:val="574900713"/>
              <w:rPr>
                <w:rFonts w:ascii="Barlow" w:eastAsia="Times New Roman" w:hAnsi="Barlow"/>
                <w:color w:val="000000"/>
                <w:sz w:val="20"/>
                <w:szCs w:val="20"/>
              </w:rPr>
            </w:pPr>
            <w:r w:rsidRPr="0005019D">
              <w:rPr>
                <w:rFonts w:ascii="Barlow" w:eastAsia="Times New Roman" w:hAnsi="Barlow"/>
                <w:color w:val="000000"/>
                <w:sz w:val="20"/>
                <w:szCs w:val="20"/>
              </w:rPr>
              <w:lastRenderedPageBreak/>
              <w:t>TRANSFERENCIAS INTERNAS Y ASIGNACIONES AL SECTOR PÚBLICO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5,347,141,308.34</w:t>
            </w:r>
          </w:p>
        </w:tc>
      </w:tr>
      <w:tr w:rsidR="005E0E9D" w:rsidRPr="0005019D">
        <w:trPr>
          <w:divId w:val="2123380453"/>
          <w:tblCellSpacing w:w="15" w:type="dxa"/>
        </w:trPr>
        <w:tc>
          <w:tcPr>
            <w:tcW w:w="0" w:type="auto"/>
            <w:vAlign w:val="center"/>
            <w:hideMark/>
          </w:tcPr>
          <w:p w:rsidR="005E0E9D" w:rsidRPr="0005019D" w:rsidRDefault="00E35EF3">
            <w:pPr>
              <w:divId w:val="54622013"/>
              <w:rPr>
                <w:rFonts w:ascii="Barlow" w:eastAsia="Times New Roman" w:hAnsi="Barlow"/>
                <w:color w:val="000000"/>
                <w:sz w:val="20"/>
                <w:szCs w:val="20"/>
              </w:rPr>
            </w:pPr>
            <w:r w:rsidRPr="0005019D">
              <w:rPr>
                <w:rFonts w:ascii="Barlow" w:eastAsia="Times New Roman" w:hAnsi="Barlow"/>
                <w:color w:val="000000"/>
                <w:sz w:val="20"/>
                <w:szCs w:val="20"/>
              </w:rPr>
              <w:t>SUBSIDIOS Y SUBVENCIONES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159,133,194.85</w:t>
            </w:r>
          </w:p>
        </w:tc>
      </w:tr>
      <w:tr w:rsidR="005E0E9D" w:rsidRPr="0005019D">
        <w:trPr>
          <w:divId w:val="2123380453"/>
          <w:tblCellSpacing w:w="15" w:type="dxa"/>
        </w:trPr>
        <w:tc>
          <w:tcPr>
            <w:tcW w:w="0" w:type="auto"/>
            <w:vAlign w:val="center"/>
            <w:hideMark/>
          </w:tcPr>
          <w:p w:rsidR="005E0E9D" w:rsidRPr="0005019D" w:rsidRDefault="00E35EF3">
            <w:pPr>
              <w:divId w:val="372966534"/>
              <w:rPr>
                <w:rFonts w:ascii="Barlow" w:eastAsia="Times New Roman" w:hAnsi="Barlow"/>
                <w:color w:val="000000"/>
                <w:sz w:val="20"/>
                <w:szCs w:val="20"/>
              </w:rPr>
            </w:pPr>
            <w:r w:rsidRPr="0005019D">
              <w:rPr>
                <w:rFonts w:ascii="Barlow" w:eastAsia="Times New Roman" w:hAnsi="Barlow"/>
                <w:color w:val="000000"/>
                <w:sz w:val="20"/>
                <w:szCs w:val="20"/>
              </w:rPr>
              <w:t>AYUDAS SOCIALES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166,725,379.32</w:t>
            </w:r>
          </w:p>
        </w:tc>
      </w:tr>
      <w:tr w:rsidR="005E0E9D" w:rsidRPr="0005019D">
        <w:trPr>
          <w:divId w:val="2123380453"/>
          <w:tblCellSpacing w:w="15" w:type="dxa"/>
        </w:trPr>
        <w:tc>
          <w:tcPr>
            <w:tcW w:w="0" w:type="auto"/>
            <w:vAlign w:val="center"/>
            <w:hideMark/>
          </w:tcPr>
          <w:p w:rsidR="005E0E9D" w:rsidRPr="0005019D" w:rsidRDefault="00E35EF3">
            <w:pPr>
              <w:divId w:val="108284621"/>
              <w:rPr>
                <w:rFonts w:ascii="Barlow" w:eastAsia="Times New Roman" w:hAnsi="Barlow"/>
                <w:color w:val="000000"/>
                <w:sz w:val="20"/>
                <w:szCs w:val="20"/>
              </w:rPr>
            </w:pPr>
            <w:r w:rsidRPr="0005019D">
              <w:rPr>
                <w:rFonts w:ascii="Barlow" w:eastAsia="Times New Roman" w:hAnsi="Barlow"/>
                <w:color w:val="000000"/>
                <w:sz w:val="20"/>
                <w:szCs w:val="20"/>
              </w:rPr>
              <w:t>PENSIONES Y JUBILACIONES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332,079,430.41</w:t>
            </w:r>
          </w:p>
        </w:tc>
      </w:tr>
      <w:tr w:rsidR="005E0E9D" w:rsidRPr="0005019D">
        <w:trPr>
          <w:divId w:val="2123380453"/>
          <w:tblCellSpacing w:w="15" w:type="dxa"/>
        </w:trPr>
        <w:tc>
          <w:tcPr>
            <w:tcW w:w="0" w:type="auto"/>
            <w:vAlign w:val="center"/>
            <w:hideMark/>
          </w:tcPr>
          <w:p w:rsidR="005E0E9D" w:rsidRPr="0005019D" w:rsidRDefault="00E35EF3">
            <w:pPr>
              <w:divId w:val="1155727437"/>
              <w:rPr>
                <w:rFonts w:ascii="Barlow" w:eastAsia="Times New Roman" w:hAnsi="Barlow"/>
                <w:color w:val="000000"/>
                <w:sz w:val="20"/>
                <w:szCs w:val="20"/>
              </w:rPr>
            </w:pPr>
            <w:r w:rsidRPr="0005019D">
              <w:rPr>
                <w:rFonts w:ascii="Barlow" w:eastAsia="Times New Roman" w:hAnsi="Barlow"/>
                <w:color w:val="000000"/>
                <w:sz w:val="20"/>
                <w:szCs w:val="20"/>
              </w:rPr>
              <w:t>TRANSFERENCIAS A FIDEICOMISOS, MANDATOS Y OTROS ANÁLOGOS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36,875,672.41</w:t>
            </w:r>
          </w:p>
        </w:tc>
      </w:tr>
      <w:tr w:rsidR="005E0E9D" w:rsidRPr="0005019D">
        <w:trPr>
          <w:divId w:val="2123380453"/>
          <w:tblCellSpacing w:w="15" w:type="dxa"/>
        </w:trPr>
        <w:tc>
          <w:tcPr>
            <w:tcW w:w="0" w:type="auto"/>
            <w:vAlign w:val="center"/>
            <w:hideMark/>
          </w:tcPr>
          <w:p w:rsidR="005E0E9D" w:rsidRPr="0005019D" w:rsidRDefault="00E35EF3">
            <w:pPr>
              <w:divId w:val="546069847"/>
              <w:rPr>
                <w:rFonts w:ascii="Barlow" w:eastAsia="Times New Roman" w:hAnsi="Barlow"/>
                <w:color w:val="000000"/>
                <w:sz w:val="20"/>
                <w:szCs w:val="20"/>
              </w:rPr>
            </w:pPr>
            <w:r w:rsidRPr="0005019D">
              <w:rPr>
                <w:rFonts w:ascii="Barlow" w:eastAsia="Times New Roman" w:hAnsi="Barlow"/>
                <w:color w:val="000000"/>
                <w:sz w:val="20"/>
                <w:szCs w:val="20"/>
              </w:rPr>
              <w:t>DONATIVOS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6,243,000.00</w:t>
            </w:r>
          </w:p>
        </w:tc>
      </w:tr>
      <w:tr w:rsidR="005E0E9D" w:rsidRPr="0005019D">
        <w:trPr>
          <w:divId w:val="2123380453"/>
          <w:tblCellSpacing w:w="15" w:type="dxa"/>
        </w:trPr>
        <w:tc>
          <w:tcPr>
            <w:tcW w:w="0" w:type="auto"/>
            <w:vAlign w:val="center"/>
            <w:hideMark/>
          </w:tcPr>
          <w:p w:rsidR="005E0E9D" w:rsidRPr="0005019D" w:rsidRDefault="00E35EF3">
            <w:pPr>
              <w:divId w:val="1971282512"/>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6,048,197,985.33</w:t>
            </w:r>
          </w:p>
        </w:tc>
      </w:tr>
    </w:tbl>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316"/>
        <w:gridCol w:w="2460"/>
      </w:tblGrid>
      <w:tr w:rsidR="005E0E9D" w:rsidRPr="0005019D">
        <w:trPr>
          <w:divId w:val="1014191253"/>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PARTICIPACIONES Y APORTACIONES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014191253"/>
          <w:tblCellSpacing w:w="15" w:type="dxa"/>
        </w:trPr>
        <w:tc>
          <w:tcPr>
            <w:tcW w:w="0" w:type="auto"/>
            <w:vAlign w:val="center"/>
            <w:hideMark/>
          </w:tcPr>
          <w:p w:rsidR="005E0E9D" w:rsidRPr="0005019D" w:rsidRDefault="00E35EF3">
            <w:pPr>
              <w:divId w:val="1325933318"/>
              <w:rPr>
                <w:rFonts w:ascii="Barlow" w:eastAsia="Times New Roman" w:hAnsi="Barlow"/>
                <w:color w:val="000000"/>
                <w:sz w:val="20"/>
                <w:szCs w:val="20"/>
              </w:rPr>
            </w:pPr>
            <w:r w:rsidRPr="0005019D">
              <w:rPr>
                <w:rFonts w:ascii="Barlow" w:eastAsia="Times New Roman" w:hAnsi="Barlow"/>
                <w:color w:val="000000"/>
                <w:sz w:val="20"/>
                <w:szCs w:val="20"/>
              </w:rPr>
              <w:t>PARTICIPACIONES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1,411,314,307.73</w:t>
            </w:r>
          </w:p>
        </w:tc>
      </w:tr>
      <w:tr w:rsidR="005E0E9D" w:rsidRPr="0005019D">
        <w:trPr>
          <w:divId w:val="1014191253"/>
          <w:tblCellSpacing w:w="15" w:type="dxa"/>
        </w:trPr>
        <w:tc>
          <w:tcPr>
            <w:tcW w:w="0" w:type="auto"/>
            <w:vAlign w:val="center"/>
            <w:hideMark/>
          </w:tcPr>
          <w:p w:rsidR="005E0E9D" w:rsidRPr="0005019D" w:rsidRDefault="00E35EF3">
            <w:pPr>
              <w:divId w:val="648362733"/>
              <w:rPr>
                <w:rFonts w:ascii="Barlow" w:eastAsia="Times New Roman" w:hAnsi="Barlow"/>
                <w:color w:val="000000"/>
                <w:sz w:val="20"/>
                <w:szCs w:val="20"/>
              </w:rPr>
            </w:pPr>
            <w:r w:rsidRPr="0005019D">
              <w:rPr>
                <w:rFonts w:ascii="Barlow" w:eastAsia="Times New Roman" w:hAnsi="Barlow"/>
                <w:color w:val="000000"/>
                <w:sz w:val="20"/>
                <w:szCs w:val="20"/>
              </w:rPr>
              <w:t>APORTACIONES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792,823,056.00</w:t>
            </w:r>
          </w:p>
        </w:tc>
      </w:tr>
      <w:tr w:rsidR="005E0E9D" w:rsidRPr="0005019D">
        <w:trPr>
          <w:divId w:val="1014191253"/>
          <w:tblCellSpacing w:w="15" w:type="dxa"/>
        </w:trPr>
        <w:tc>
          <w:tcPr>
            <w:tcW w:w="0" w:type="auto"/>
            <w:vAlign w:val="center"/>
            <w:hideMark/>
          </w:tcPr>
          <w:p w:rsidR="005E0E9D" w:rsidRPr="0005019D" w:rsidRDefault="00E35EF3">
            <w:pPr>
              <w:divId w:val="642462187"/>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2,204,137,363.73</w:t>
            </w:r>
          </w:p>
        </w:tc>
      </w:tr>
    </w:tbl>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03"/>
        <w:gridCol w:w="1473"/>
      </w:tblGrid>
      <w:tr w:rsidR="005E0E9D" w:rsidRPr="0005019D">
        <w:trPr>
          <w:divId w:val="273095557"/>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INTERESES, COMISIONES Y OTROS GASTOS DE LA DEUDA PUBLICA</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73095557"/>
          <w:tblCellSpacing w:w="15" w:type="dxa"/>
        </w:trPr>
        <w:tc>
          <w:tcPr>
            <w:tcW w:w="0" w:type="auto"/>
            <w:vAlign w:val="center"/>
            <w:hideMark/>
          </w:tcPr>
          <w:p w:rsidR="005E0E9D" w:rsidRPr="0005019D" w:rsidRDefault="00E35EF3">
            <w:pPr>
              <w:divId w:val="1002929382"/>
              <w:rPr>
                <w:rFonts w:ascii="Barlow" w:eastAsia="Times New Roman" w:hAnsi="Barlow"/>
                <w:color w:val="000000"/>
                <w:sz w:val="20"/>
                <w:szCs w:val="20"/>
              </w:rPr>
            </w:pPr>
            <w:r w:rsidRPr="0005019D">
              <w:rPr>
                <w:rFonts w:ascii="Barlow" w:eastAsia="Times New Roman" w:hAnsi="Barlow"/>
                <w:color w:val="000000"/>
                <w:sz w:val="20"/>
                <w:szCs w:val="20"/>
              </w:rPr>
              <w:t>INTERESES DE LA DEUDA PÚBLICA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238,525,803.15</w:t>
            </w:r>
          </w:p>
        </w:tc>
      </w:tr>
      <w:tr w:rsidR="005E0E9D" w:rsidRPr="0005019D">
        <w:trPr>
          <w:divId w:val="273095557"/>
          <w:tblCellSpacing w:w="15" w:type="dxa"/>
        </w:trPr>
        <w:tc>
          <w:tcPr>
            <w:tcW w:w="0" w:type="auto"/>
            <w:vAlign w:val="center"/>
            <w:hideMark/>
          </w:tcPr>
          <w:p w:rsidR="005E0E9D" w:rsidRPr="0005019D" w:rsidRDefault="00E35EF3">
            <w:pPr>
              <w:divId w:val="568151841"/>
              <w:rPr>
                <w:rFonts w:ascii="Barlow" w:eastAsia="Times New Roman" w:hAnsi="Barlow"/>
                <w:color w:val="000000"/>
                <w:sz w:val="20"/>
                <w:szCs w:val="20"/>
              </w:rPr>
            </w:pPr>
            <w:r w:rsidRPr="0005019D">
              <w:rPr>
                <w:rFonts w:ascii="Barlow" w:eastAsia="Times New Roman" w:hAnsi="Barlow"/>
                <w:color w:val="000000"/>
                <w:sz w:val="20"/>
                <w:szCs w:val="20"/>
              </w:rPr>
              <w:t>GASTOS DE LA DEUDA PÚBLICA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73,258.38</w:t>
            </w:r>
          </w:p>
        </w:tc>
      </w:tr>
      <w:tr w:rsidR="005E0E9D" w:rsidRPr="0005019D">
        <w:trPr>
          <w:divId w:val="273095557"/>
          <w:tblCellSpacing w:w="15" w:type="dxa"/>
        </w:trPr>
        <w:tc>
          <w:tcPr>
            <w:tcW w:w="0" w:type="auto"/>
            <w:vAlign w:val="center"/>
            <w:hideMark/>
          </w:tcPr>
          <w:p w:rsidR="005E0E9D" w:rsidRPr="0005019D" w:rsidRDefault="00E35EF3">
            <w:pPr>
              <w:divId w:val="924807150"/>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238,599,061.53</w:t>
            </w:r>
          </w:p>
        </w:tc>
      </w:tr>
    </w:tbl>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943"/>
        <w:gridCol w:w="1425"/>
      </w:tblGrid>
      <w:tr w:rsidR="005E0E9D" w:rsidRPr="0005019D">
        <w:trPr>
          <w:divId w:val="1797798459"/>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OTROS GASTOS Y PERDIDAS EXTRAORDINARIAS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797798459"/>
          <w:tblCellSpacing w:w="15" w:type="dxa"/>
        </w:trPr>
        <w:tc>
          <w:tcPr>
            <w:tcW w:w="0" w:type="auto"/>
            <w:vAlign w:val="center"/>
            <w:hideMark/>
          </w:tcPr>
          <w:p w:rsidR="005E0E9D" w:rsidRPr="0005019D" w:rsidRDefault="00E35EF3">
            <w:pPr>
              <w:divId w:val="663238053"/>
              <w:rPr>
                <w:rFonts w:ascii="Barlow" w:eastAsia="Times New Roman" w:hAnsi="Barlow"/>
                <w:color w:val="000000"/>
                <w:sz w:val="20"/>
                <w:szCs w:val="20"/>
              </w:rPr>
            </w:pPr>
            <w:r w:rsidRPr="0005019D">
              <w:rPr>
                <w:rFonts w:ascii="Barlow" w:eastAsia="Times New Roman" w:hAnsi="Barlow"/>
                <w:color w:val="000000"/>
                <w:sz w:val="20"/>
                <w:szCs w:val="20"/>
              </w:rPr>
              <w:t>ESTIMACIONES, DEPRECIACIONES, DETERIOROS, OBSOLESCENCIA Y AMORTIZACIONES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93,517,125.32</w:t>
            </w:r>
          </w:p>
        </w:tc>
      </w:tr>
      <w:tr w:rsidR="005E0E9D" w:rsidRPr="0005019D">
        <w:trPr>
          <w:divId w:val="1797798459"/>
          <w:tblCellSpacing w:w="15" w:type="dxa"/>
        </w:trPr>
        <w:tc>
          <w:tcPr>
            <w:tcW w:w="0" w:type="auto"/>
            <w:vAlign w:val="center"/>
            <w:hideMark/>
          </w:tcPr>
          <w:p w:rsidR="005E0E9D" w:rsidRPr="0005019D" w:rsidRDefault="00E35EF3">
            <w:pPr>
              <w:divId w:val="394622655"/>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93,517,125.32</w:t>
            </w:r>
          </w:p>
        </w:tc>
      </w:tr>
    </w:tbl>
    <w:p w:rsidR="005E0E9D" w:rsidRPr="0005019D" w:rsidRDefault="005E0E9D">
      <w:pPr>
        <w:divId w:val="2011327699"/>
        <w:rPr>
          <w:rFonts w:ascii="Barlow" w:eastAsia="Times New Roman" w:hAnsi="Barlow"/>
          <w:sz w:val="20"/>
          <w:szCs w:val="20"/>
        </w:rPr>
      </w:pPr>
    </w:p>
    <w:p w:rsidR="005E0E9D" w:rsidRPr="0005019D" w:rsidRDefault="00E35EF3">
      <w:pPr>
        <w:divId w:val="228811934"/>
        <w:rPr>
          <w:rFonts w:ascii="Barlow" w:eastAsia="Times New Roman" w:hAnsi="Barlow"/>
          <w:sz w:val="20"/>
          <w:szCs w:val="20"/>
        </w:rPr>
      </w:pPr>
      <w:r w:rsidRPr="0005019D">
        <w:rPr>
          <w:rFonts w:ascii="Barlow" w:eastAsia="Times New Roman" w:hAnsi="Barlow"/>
          <w:sz w:val="20"/>
          <w:szCs w:val="20"/>
        </w:rPr>
        <w:lastRenderedPageBreak/>
        <w:t>A. La cuenta de “Servicios Personales” represen</w:t>
      </w:r>
      <w:r w:rsidR="00DD01A4" w:rsidRPr="0005019D">
        <w:rPr>
          <w:rFonts w:ascii="Barlow" w:eastAsia="Times New Roman" w:hAnsi="Barlow"/>
          <w:sz w:val="20"/>
          <w:szCs w:val="20"/>
        </w:rPr>
        <w:t>ta el 27.34</w:t>
      </w:r>
      <w:r w:rsidRPr="0005019D">
        <w:rPr>
          <w:rFonts w:ascii="Barlow" w:eastAsia="Times New Roman" w:hAnsi="Barlow"/>
          <w:sz w:val="20"/>
          <w:szCs w:val="20"/>
        </w:rPr>
        <w:t xml:space="preserve">%, el cual corresponde al pago el capítulo 1000 de </w:t>
      </w:r>
      <w:r w:rsidR="00CF2081" w:rsidRPr="0005019D">
        <w:rPr>
          <w:rFonts w:ascii="Barlow" w:eastAsia="Times New Roman" w:hAnsi="Barlow"/>
          <w:sz w:val="20"/>
          <w:szCs w:val="20"/>
        </w:rPr>
        <w:t>17</w:t>
      </w:r>
      <w:r w:rsidRPr="0005019D">
        <w:rPr>
          <w:rFonts w:ascii="Barlow" w:eastAsia="Times New Roman" w:hAnsi="Barlow"/>
          <w:sz w:val="20"/>
          <w:szCs w:val="20"/>
        </w:rPr>
        <w:t xml:space="preserve"> dependencias centralizadas del Poder Ejecutivo. </w:t>
      </w:r>
    </w:p>
    <w:p w:rsidR="005E0E9D" w:rsidRPr="0005019D" w:rsidRDefault="00E35EF3">
      <w:pPr>
        <w:divId w:val="380330996"/>
        <w:rPr>
          <w:rFonts w:ascii="Barlow" w:eastAsia="Times New Roman" w:hAnsi="Barlow"/>
          <w:sz w:val="20"/>
          <w:szCs w:val="20"/>
        </w:rPr>
      </w:pPr>
      <w:r w:rsidRPr="0005019D">
        <w:rPr>
          <w:rFonts w:ascii="Barlow" w:eastAsia="Times New Roman" w:hAnsi="Barlow"/>
          <w:sz w:val="20"/>
          <w:szCs w:val="20"/>
        </w:rPr>
        <w:t>Son los recursos empleados para cubrir las remuneraciones del personal al servicio de las Dependencias y Órganos Desconcentrados, que integran el Poder Ejecutivo, encargados de ofrecer a la ciudadanía servicios de seguridad pública y justicia, salud, educación, entre otros.</w:t>
      </w:r>
    </w:p>
    <w:p w:rsidR="005E0E9D" w:rsidRPr="0005019D" w:rsidRDefault="00E35EF3">
      <w:pPr>
        <w:divId w:val="766123639"/>
        <w:rPr>
          <w:rFonts w:ascii="Barlow" w:eastAsia="Times New Roman" w:hAnsi="Barlow"/>
          <w:sz w:val="20"/>
          <w:szCs w:val="20"/>
        </w:rPr>
      </w:pPr>
      <w:r w:rsidRPr="0005019D">
        <w:rPr>
          <w:rFonts w:ascii="Barlow" w:eastAsia="Times New Roman" w:hAnsi="Barlow"/>
          <w:sz w:val="20"/>
          <w:szCs w:val="20"/>
        </w:rPr>
        <w:t>B. Las cuentas de “Transferencias, Asignaciones, Subsidios</w:t>
      </w:r>
      <w:r w:rsidR="00DD01A4" w:rsidRPr="0005019D">
        <w:rPr>
          <w:rFonts w:ascii="Barlow" w:eastAsia="Times New Roman" w:hAnsi="Barlow"/>
          <w:sz w:val="20"/>
          <w:szCs w:val="20"/>
        </w:rPr>
        <w:t xml:space="preserve"> y Ayudas”, representa el 46.98</w:t>
      </w:r>
      <w:r w:rsidRPr="0005019D">
        <w:rPr>
          <w:rFonts w:ascii="Barlow" w:eastAsia="Times New Roman" w:hAnsi="Barlow"/>
          <w:sz w:val="20"/>
          <w:szCs w:val="20"/>
        </w:rPr>
        <w:t>% del total de otros gastos, dicho importe corresponde a los recursos transferidos a las demás entidades del sector público.</w:t>
      </w:r>
    </w:p>
    <w:p w:rsidR="005E0E9D" w:rsidRPr="0005019D" w:rsidRDefault="00E35EF3">
      <w:pPr>
        <w:divId w:val="1433286512"/>
        <w:rPr>
          <w:rFonts w:ascii="Barlow" w:eastAsia="Times New Roman" w:hAnsi="Barlow"/>
          <w:sz w:val="20"/>
          <w:szCs w:val="20"/>
        </w:rPr>
      </w:pPr>
      <w:r w:rsidRPr="0005019D">
        <w:rPr>
          <w:rFonts w:ascii="Barlow" w:eastAsia="Times New Roman" w:hAnsi="Barlow"/>
          <w:sz w:val="20"/>
          <w:szCs w:val="20"/>
        </w:rPr>
        <w:t>C. Las cuentas de “Participaciones y Ap</w:t>
      </w:r>
      <w:r w:rsidR="00DD01A4" w:rsidRPr="0005019D">
        <w:rPr>
          <w:rFonts w:ascii="Barlow" w:eastAsia="Times New Roman" w:hAnsi="Barlow"/>
          <w:sz w:val="20"/>
          <w:szCs w:val="20"/>
        </w:rPr>
        <w:t>ortaciones”, representa el 17.12</w:t>
      </w:r>
      <w:r w:rsidRPr="0005019D">
        <w:rPr>
          <w:rFonts w:ascii="Barlow" w:eastAsia="Times New Roman" w:hAnsi="Barlow"/>
          <w:sz w:val="20"/>
          <w:szCs w:val="20"/>
        </w:rPr>
        <w:t>% del total de los recursos transferidos a los municipios.</w:t>
      </w:r>
    </w:p>
    <w:p w:rsidR="005E0E9D" w:rsidRPr="0005019D" w:rsidRDefault="005E0E9D">
      <w:pPr>
        <w:divId w:val="1365014276"/>
        <w:rPr>
          <w:rFonts w:ascii="Barlow" w:eastAsia="Times New Roman" w:hAnsi="Barlow"/>
          <w:sz w:val="20"/>
          <w:szCs w:val="20"/>
        </w:rPr>
      </w:pPr>
    </w:p>
    <w:p w:rsidR="005E0E9D" w:rsidRPr="0005019D" w:rsidRDefault="00E35EF3">
      <w:pPr>
        <w:divId w:val="259139747"/>
        <w:rPr>
          <w:rFonts w:ascii="Barlow" w:eastAsia="Times New Roman" w:hAnsi="Barlow"/>
          <w:sz w:val="20"/>
          <w:szCs w:val="20"/>
        </w:rPr>
      </w:pPr>
      <w:r w:rsidRPr="0005019D">
        <w:rPr>
          <w:rStyle w:val="Textoennegrita"/>
          <w:rFonts w:ascii="Barlow" w:eastAsia="Times New Roman" w:hAnsi="Barlow"/>
          <w:sz w:val="20"/>
          <w:szCs w:val="20"/>
        </w:rPr>
        <w:t>II) NOTAS AL ESTADO DE SITUACIÓN FINANCIERA.</w:t>
      </w:r>
    </w:p>
    <w:p w:rsidR="005E0E9D" w:rsidRPr="0005019D" w:rsidRDefault="00E35EF3">
      <w:pPr>
        <w:divId w:val="299961385"/>
        <w:rPr>
          <w:rFonts w:ascii="Barlow" w:eastAsia="Times New Roman" w:hAnsi="Barlow"/>
          <w:sz w:val="20"/>
          <w:szCs w:val="20"/>
        </w:rPr>
      </w:pPr>
      <w:r w:rsidRPr="0005019D">
        <w:rPr>
          <w:rStyle w:val="Textoennegrita"/>
          <w:rFonts w:ascii="Barlow" w:eastAsia="Times New Roman" w:hAnsi="Barlow"/>
          <w:sz w:val="20"/>
          <w:szCs w:val="20"/>
        </w:rPr>
        <w:t xml:space="preserve">Activo </w:t>
      </w:r>
    </w:p>
    <w:p w:rsidR="005E0E9D" w:rsidRPr="0005019D" w:rsidRDefault="00E35EF3">
      <w:pPr>
        <w:divId w:val="369259834"/>
        <w:rPr>
          <w:rFonts w:ascii="Barlow" w:eastAsia="Times New Roman" w:hAnsi="Barlow"/>
          <w:sz w:val="20"/>
          <w:szCs w:val="20"/>
        </w:rPr>
      </w:pPr>
      <w:r w:rsidRPr="0005019D">
        <w:rPr>
          <w:rStyle w:val="Textoennegrita"/>
          <w:rFonts w:ascii="Barlow" w:eastAsia="Times New Roman" w:hAnsi="Barlow"/>
          <w:sz w:val="20"/>
          <w:szCs w:val="20"/>
        </w:rPr>
        <w:t>Efectivo y Equivalentes</w:t>
      </w:r>
    </w:p>
    <w:p w:rsidR="005E0E9D" w:rsidRPr="0005019D" w:rsidRDefault="00E35EF3">
      <w:pPr>
        <w:divId w:val="1812286720"/>
        <w:rPr>
          <w:rFonts w:ascii="Barlow" w:eastAsia="Times New Roman" w:hAnsi="Barlow"/>
          <w:sz w:val="20"/>
          <w:szCs w:val="20"/>
        </w:rPr>
      </w:pPr>
      <w:r w:rsidRPr="0005019D">
        <w:rPr>
          <w:rFonts w:ascii="Barlow" w:eastAsia="Times New Roman" w:hAnsi="Barlow"/>
          <w:sz w:val="20"/>
          <w:szCs w:val="20"/>
        </w:rPr>
        <w:t>1.- La cuenta de bancos y la de inversiones</w:t>
      </w:r>
      <w:r w:rsidR="00EE12ED" w:rsidRPr="0005019D">
        <w:rPr>
          <w:rFonts w:ascii="Barlow" w:eastAsia="Times New Roman" w:hAnsi="Barlow"/>
          <w:sz w:val="20"/>
          <w:szCs w:val="20"/>
        </w:rPr>
        <w:t xml:space="preserve"> temporales que integra el 88.93</w:t>
      </w:r>
      <w:r w:rsidRPr="0005019D">
        <w:rPr>
          <w:rFonts w:ascii="Barlow" w:eastAsia="Times New Roman" w:hAnsi="Barlow"/>
          <w:sz w:val="20"/>
          <w:szCs w:val="20"/>
        </w:rPr>
        <w:t xml:space="preserve"> % de la cuenta de efectivo y equivalentes se encuentra integrada por tipo de cuenta bancaria de la siguiente manera:</w:t>
      </w:r>
    </w:p>
    <w:p w:rsidR="005E0E9D" w:rsidRPr="0005019D" w:rsidRDefault="005E0E9D">
      <w:pPr>
        <w:divId w:val="130483381"/>
        <w:rPr>
          <w:rFonts w:ascii="Barlow" w:eastAsia="Times New Roman" w:hAnsi="Barlow"/>
          <w:sz w:val="20"/>
          <w:szCs w:val="20"/>
        </w:rPr>
      </w:pP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341"/>
        <w:gridCol w:w="1608"/>
        <w:gridCol w:w="2235"/>
      </w:tblGrid>
      <w:tr w:rsidR="005E0E9D" w:rsidRPr="0005019D">
        <w:trPr>
          <w:divId w:val="1229879456"/>
          <w:tblCellSpacing w:w="15" w:type="dxa"/>
        </w:trPr>
        <w:tc>
          <w:tcPr>
            <w:tcW w:w="0" w:type="auto"/>
            <w:vAlign w:val="center"/>
            <w:hideMark/>
          </w:tcPr>
          <w:p w:rsidR="005E0E9D" w:rsidRPr="0005019D" w:rsidRDefault="00E35EF3">
            <w:pPr>
              <w:jc w:val="center"/>
              <w:rPr>
                <w:rFonts w:ascii="Times New Roman" w:eastAsia="Times New Roman" w:hAnsi="Times New Roman"/>
                <w:sz w:val="20"/>
                <w:szCs w:val="20"/>
              </w:rPr>
            </w:pPr>
            <w:r w:rsidRPr="0005019D">
              <w:rPr>
                <w:rStyle w:val="Textoennegrita"/>
                <w:rFonts w:ascii="Barlow" w:eastAsia="Times New Roman" w:hAnsi="Barlow"/>
                <w:color w:val="000000"/>
                <w:sz w:val="20"/>
                <w:szCs w:val="20"/>
              </w:rPr>
              <w:t>Tipo de Banco</w:t>
            </w:r>
          </w:p>
        </w:tc>
        <w:tc>
          <w:tcPr>
            <w:tcW w:w="0" w:type="auto"/>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color w:val="000000"/>
                <w:sz w:val="20"/>
                <w:szCs w:val="20"/>
              </w:rPr>
              <w:t>Bancos</w:t>
            </w:r>
          </w:p>
        </w:tc>
        <w:tc>
          <w:tcPr>
            <w:tcW w:w="0" w:type="auto"/>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color w:val="000000"/>
                <w:sz w:val="20"/>
                <w:szCs w:val="20"/>
              </w:rPr>
              <w:t>Inversiones Temporales</w:t>
            </w:r>
          </w:p>
        </w:tc>
      </w:tr>
      <w:tr w:rsidR="005E0E9D" w:rsidRPr="0005019D">
        <w:trPr>
          <w:divId w:val="1229879456"/>
          <w:tblCellSpacing w:w="15" w:type="dxa"/>
        </w:trPr>
        <w:tc>
          <w:tcPr>
            <w:tcW w:w="0" w:type="auto"/>
            <w:vAlign w:val="center"/>
            <w:hideMark/>
          </w:tcPr>
          <w:p w:rsidR="005E0E9D" w:rsidRPr="0005019D" w:rsidRDefault="00E35EF3">
            <w:pPr>
              <w:divId w:val="549653170"/>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Times New Roman" w:eastAsia="Times New Roman" w:hAnsi="Times New Roman"/>
                <w:sz w:val="20"/>
                <w:szCs w:val="20"/>
              </w:rPr>
            </w:pPr>
            <w:r w:rsidRPr="0005019D">
              <w:rPr>
                <w:rStyle w:val="Textoennegrita"/>
                <w:rFonts w:ascii="Barlow" w:eastAsia="Times New Roman" w:hAnsi="Barlow"/>
                <w:color w:val="000000"/>
                <w:sz w:val="20"/>
                <w:szCs w:val="20"/>
              </w:rPr>
              <w:t>2,566,493,388.03</w:t>
            </w:r>
          </w:p>
        </w:tc>
        <w:tc>
          <w:tcPr>
            <w:tcW w:w="0" w:type="auto"/>
            <w:tcBorders>
              <w:top w:val="single" w:sz="12" w:space="0" w:color="000000"/>
              <w:bottom w:val="single" w:sz="12" w:space="0" w:color="000000"/>
            </w:tcBorders>
            <w:vAlign w:val="center"/>
            <w:hideMark/>
          </w:tcPr>
          <w:p w:rsidR="005E0E9D" w:rsidRPr="0005019D" w:rsidRDefault="00E35EF3">
            <w:pPr>
              <w:jc w:val="right"/>
              <w:rPr>
                <w:rFonts w:eastAsia="Times New Roman"/>
                <w:sz w:val="20"/>
                <w:szCs w:val="20"/>
              </w:rPr>
            </w:pPr>
            <w:r w:rsidRPr="0005019D">
              <w:rPr>
                <w:rStyle w:val="Textoennegrita"/>
                <w:rFonts w:ascii="Barlow" w:eastAsia="Times New Roman" w:hAnsi="Barlow"/>
                <w:color w:val="000000"/>
                <w:sz w:val="20"/>
                <w:szCs w:val="20"/>
              </w:rPr>
              <w:t>373,667,779.70</w:t>
            </w:r>
          </w:p>
        </w:tc>
      </w:tr>
    </w:tbl>
    <w:p w:rsidR="005E0E9D" w:rsidRPr="0005019D" w:rsidRDefault="005E0E9D">
      <w:pPr>
        <w:divId w:val="837623264"/>
        <w:rPr>
          <w:rFonts w:ascii="Barlow" w:eastAsia="Times New Roman" w:hAnsi="Barlow"/>
          <w:sz w:val="20"/>
          <w:szCs w:val="20"/>
        </w:rPr>
      </w:pPr>
    </w:p>
    <w:p w:rsidR="005E0E9D" w:rsidRPr="0005019D" w:rsidRDefault="00E35EF3">
      <w:pPr>
        <w:divId w:val="570699991"/>
        <w:rPr>
          <w:rFonts w:ascii="Barlow" w:eastAsia="Times New Roman" w:hAnsi="Barlow"/>
          <w:sz w:val="20"/>
          <w:szCs w:val="20"/>
        </w:rPr>
      </w:pPr>
      <w:r w:rsidRPr="0005019D">
        <w:rPr>
          <w:rFonts w:ascii="Barlow" w:eastAsia="Times New Roman" w:hAnsi="Barlow"/>
          <w:sz w:val="20"/>
          <w:szCs w:val="20"/>
        </w:rPr>
        <w:t>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aquellos que están en poder de las Unidades Ejecutoras del Gasto del Sector Central.</w:t>
      </w:r>
    </w:p>
    <w:p w:rsidR="005E0E9D" w:rsidRPr="0005019D" w:rsidRDefault="005E0E9D">
      <w:pPr>
        <w:divId w:val="1155954667"/>
        <w:rPr>
          <w:rFonts w:ascii="Barlow" w:eastAsia="Times New Roman" w:hAnsi="Barlow"/>
          <w:sz w:val="20"/>
          <w:szCs w:val="20"/>
        </w:rPr>
      </w:pPr>
    </w:p>
    <w:p w:rsidR="005E0E9D" w:rsidRPr="0005019D" w:rsidRDefault="00E35EF3">
      <w:pPr>
        <w:divId w:val="531039353"/>
        <w:rPr>
          <w:rFonts w:ascii="Barlow" w:eastAsia="Times New Roman" w:hAnsi="Barlow"/>
          <w:sz w:val="20"/>
          <w:szCs w:val="20"/>
        </w:rPr>
      </w:pPr>
      <w:r w:rsidRPr="0005019D">
        <w:rPr>
          <w:rStyle w:val="Textoennegrita"/>
          <w:rFonts w:ascii="Barlow" w:eastAsia="Times New Roman" w:hAnsi="Barlow"/>
          <w:sz w:val="20"/>
          <w:szCs w:val="20"/>
        </w:rPr>
        <w:t>Derechos a Recibir Efectivo y Equivalentes y Bienes y Servicios a Recibir</w:t>
      </w:r>
    </w:p>
    <w:p w:rsidR="005E0E9D" w:rsidRPr="0005019D" w:rsidRDefault="00E35EF3">
      <w:pPr>
        <w:divId w:val="558135035"/>
        <w:rPr>
          <w:rFonts w:ascii="Barlow" w:eastAsia="Times New Roman" w:hAnsi="Barlow"/>
          <w:sz w:val="20"/>
          <w:szCs w:val="20"/>
        </w:rPr>
      </w:pPr>
      <w:r w:rsidRPr="0005019D">
        <w:rPr>
          <w:rFonts w:ascii="Barlow" w:eastAsia="Times New Roman" w:hAnsi="Barlow"/>
          <w:sz w:val="20"/>
          <w:szCs w:val="20"/>
        </w:rPr>
        <w:t>2.- El saldo final de la cuenta 1.1.2.4.1 Carteras Agencia de Administración Fiscal, es de $ 0.00</w:t>
      </w:r>
    </w:p>
    <w:p w:rsidR="005E0E9D" w:rsidRPr="0005019D" w:rsidRDefault="00E35EF3">
      <w:pPr>
        <w:divId w:val="642777443"/>
        <w:rPr>
          <w:rFonts w:ascii="Barlow" w:eastAsia="Times New Roman" w:hAnsi="Barlow"/>
          <w:sz w:val="20"/>
          <w:szCs w:val="20"/>
        </w:rPr>
      </w:pPr>
      <w:r w:rsidRPr="0005019D">
        <w:rPr>
          <w:rFonts w:ascii="Barlow" w:eastAsia="Times New Roman" w:hAnsi="Barlow"/>
          <w:sz w:val="20"/>
          <w:szCs w:val="20"/>
        </w:rPr>
        <w:t>3.- La cuenta derechos a recibir efectivo o equivalentes, presenta cuentas por cobrar las cuales, se encuentran integradas de la siguiente manera:</w:t>
      </w:r>
    </w:p>
    <w:p w:rsidR="005E0E9D" w:rsidRPr="0005019D" w:rsidRDefault="005E0E9D">
      <w:pPr>
        <w:divId w:val="706570382"/>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70"/>
        <w:gridCol w:w="1406"/>
      </w:tblGrid>
      <w:tr w:rsidR="005E0E9D" w:rsidRPr="0005019D">
        <w:trPr>
          <w:divId w:val="2061201218"/>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DERECHOS A RECIBIR EFECTIVO O EQUIVALENTES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061201218"/>
          <w:tblCellSpacing w:w="15" w:type="dxa"/>
        </w:trPr>
        <w:tc>
          <w:tcPr>
            <w:tcW w:w="0" w:type="auto"/>
            <w:vAlign w:val="center"/>
            <w:hideMark/>
          </w:tcPr>
          <w:p w:rsidR="005E0E9D" w:rsidRPr="0005019D" w:rsidRDefault="00E35EF3">
            <w:pPr>
              <w:divId w:val="751708000"/>
              <w:rPr>
                <w:rFonts w:ascii="Barlow" w:eastAsia="Times New Roman" w:hAnsi="Barlow"/>
                <w:sz w:val="20"/>
                <w:szCs w:val="20"/>
              </w:rPr>
            </w:pPr>
            <w:r w:rsidRPr="0005019D">
              <w:rPr>
                <w:rStyle w:val="Textoennegrita"/>
                <w:rFonts w:ascii="Barlow" w:eastAsia="Times New Roman" w:hAnsi="Barlow"/>
                <w:color w:val="000000"/>
                <w:sz w:val="20"/>
                <w:szCs w:val="20"/>
              </w:rPr>
              <w:t>CUENTAS POR COBRAR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061201218"/>
          <w:tblCellSpacing w:w="15" w:type="dxa"/>
        </w:trPr>
        <w:tc>
          <w:tcPr>
            <w:tcW w:w="0" w:type="auto"/>
            <w:vAlign w:val="center"/>
            <w:hideMark/>
          </w:tcPr>
          <w:p w:rsidR="005E0E9D" w:rsidRPr="0005019D" w:rsidRDefault="00E35EF3">
            <w:pPr>
              <w:divId w:val="649987730"/>
              <w:rPr>
                <w:rFonts w:ascii="Barlow" w:eastAsia="Times New Roman" w:hAnsi="Barlow"/>
                <w:color w:val="000000"/>
                <w:sz w:val="20"/>
                <w:szCs w:val="20"/>
              </w:rPr>
            </w:pPr>
            <w:r w:rsidRPr="0005019D">
              <w:rPr>
                <w:rFonts w:ascii="Barlow" w:eastAsia="Times New Roman" w:hAnsi="Barlow"/>
                <w:color w:val="000000"/>
                <w:sz w:val="20"/>
                <w:szCs w:val="20"/>
              </w:rPr>
              <w:t>CUENTAS POR COBRAR A MUNICIPIOS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750,000.00</w:t>
            </w:r>
          </w:p>
        </w:tc>
      </w:tr>
      <w:tr w:rsidR="005E0E9D" w:rsidRPr="0005019D">
        <w:trPr>
          <w:divId w:val="2061201218"/>
          <w:tblCellSpacing w:w="15" w:type="dxa"/>
        </w:trPr>
        <w:tc>
          <w:tcPr>
            <w:tcW w:w="0" w:type="auto"/>
            <w:vAlign w:val="center"/>
            <w:hideMark/>
          </w:tcPr>
          <w:p w:rsidR="005E0E9D" w:rsidRPr="0005019D" w:rsidRDefault="00E35EF3">
            <w:pPr>
              <w:divId w:val="578904350"/>
              <w:rPr>
                <w:rFonts w:ascii="Barlow" w:eastAsia="Times New Roman" w:hAnsi="Barlow"/>
                <w:color w:val="000000"/>
                <w:sz w:val="20"/>
                <w:szCs w:val="20"/>
              </w:rPr>
            </w:pPr>
            <w:r w:rsidRPr="0005019D">
              <w:rPr>
                <w:rFonts w:ascii="Barlow" w:eastAsia="Times New Roman" w:hAnsi="Barlow"/>
                <w:color w:val="000000"/>
                <w:sz w:val="20"/>
                <w:szCs w:val="20"/>
              </w:rPr>
              <w:t>CUENTAS POR COBRAR POR VENTA DE BIENES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-0.35</w:t>
            </w:r>
          </w:p>
        </w:tc>
      </w:tr>
      <w:tr w:rsidR="005E0E9D" w:rsidRPr="0005019D">
        <w:trPr>
          <w:divId w:val="2061201218"/>
          <w:tblCellSpacing w:w="15" w:type="dxa"/>
        </w:trPr>
        <w:tc>
          <w:tcPr>
            <w:tcW w:w="0" w:type="auto"/>
            <w:vAlign w:val="center"/>
            <w:hideMark/>
          </w:tcPr>
          <w:p w:rsidR="005E0E9D" w:rsidRPr="0005019D" w:rsidRDefault="00E35EF3">
            <w:pPr>
              <w:divId w:val="1588613139"/>
              <w:rPr>
                <w:rFonts w:ascii="Barlow" w:eastAsia="Times New Roman" w:hAnsi="Barlow"/>
                <w:sz w:val="20"/>
                <w:szCs w:val="20"/>
              </w:rPr>
            </w:pPr>
            <w:r w:rsidRPr="0005019D">
              <w:rPr>
                <w:rStyle w:val="Textoennegrita"/>
                <w:rFonts w:ascii="Barlow" w:eastAsia="Times New Roman" w:hAnsi="Barlow"/>
                <w:color w:val="000000"/>
                <w:sz w:val="20"/>
                <w:szCs w:val="20"/>
              </w:rPr>
              <w:t>DEUDORES DIVERSOS POR COBRAR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061201218"/>
          <w:tblCellSpacing w:w="15" w:type="dxa"/>
        </w:trPr>
        <w:tc>
          <w:tcPr>
            <w:tcW w:w="0" w:type="auto"/>
            <w:vAlign w:val="center"/>
            <w:hideMark/>
          </w:tcPr>
          <w:p w:rsidR="005E0E9D" w:rsidRPr="0005019D" w:rsidRDefault="00E35EF3">
            <w:pPr>
              <w:divId w:val="2083529444"/>
              <w:rPr>
                <w:rFonts w:ascii="Barlow" w:eastAsia="Times New Roman" w:hAnsi="Barlow"/>
                <w:color w:val="000000"/>
                <w:sz w:val="20"/>
                <w:szCs w:val="20"/>
              </w:rPr>
            </w:pPr>
            <w:r w:rsidRPr="0005019D">
              <w:rPr>
                <w:rFonts w:ascii="Barlow" w:eastAsia="Times New Roman" w:hAnsi="Barlow"/>
                <w:color w:val="000000"/>
                <w:sz w:val="20"/>
                <w:szCs w:val="20"/>
              </w:rPr>
              <w:t>CREDITOS PUENTE</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22,749,940.00</w:t>
            </w:r>
          </w:p>
        </w:tc>
      </w:tr>
      <w:tr w:rsidR="005E0E9D" w:rsidRPr="0005019D">
        <w:trPr>
          <w:divId w:val="2061201218"/>
          <w:tblCellSpacing w:w="15" w:type="dxa"/>
        </w:trPr>
        <w:tc>
          <w:tcPr>
            <w:tcW w:w="0" w:type="auto"/>
            <w:vAlign w:val="center"/>
            <w:hideMark/>
          </w:tcPr>
          <w:p w:rsidR="005E0E9D" w:rsidRPr="0005019D" w:rsidRDefault="00E35EF3">
            <w:pPr>
              <w:divId w:val="402338386"/>
              <w:rPr>
                <w:rFonts w:ascii="Barlow" w:eastAsia="Times New Roman" w:hAnsi="Barlow"/>
                <w:color w:val="000000"/>
                <w:sz w:val="20"/>
                <w:szCs w:val="20"/>
              </w:rPr>
            </w:pPr>
            <w:r w:rsidRPr="0005019D">
              <w:rPr>
                <w:rFonts w:ascii="Barlow" w:eastAsia="Times New Roman" w:hAnsi="Barlow"/>
                <w:color w:val="000000"/>
                <w:sz w:val="20"/>
                <w:szCs w:val="20"/>
              </w:rPr>
              <w:t>SUBSIDIO AL EMPLEO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529,500.88</w:t>
            </w:r>
          </w:p>
        </w:tc>
      </w:tr>
      <w:tr w:rsidR="005E0E9D" w:rsidRPr="0005019D">
        <w:trPr>
          <w:divId w:val="2061201218"/>
          <w:tblCellSpacing w:w="15" w:type="dxa"/>
        </w:trPr>
        <w:tc>
          <w:tcPr>
            <w:tcW w:w="0" w:type="auto"/>
            <w:vAlign w:val="center"/>
            <w:hideMark/>
          </w:tcPr>
          <w:p w:rsidR="005E0E9D" w:rsidRPr="0005019D" w:rsidRDefault="00E35EF3">
            <w:pPr>
              <w:divId w:val="362750345"/>
              <w:rPr>
                <w:rFonts w:ascii="Barlow" w:eastAsia="Times New Roman" w:hAnsi="Barlow"/>
                <w:color w:val="000000"/>
                <w:sz w:val="20"/>
                <w:szCs w:val="20"/>
              </w:rPr>
            </w:pPr>
            <w:r w:rsidRPr="0005019D">
              <w:rPr>
                <w:rFonts w:ascii="Barlow" w:eastAsia="Times New Roman" w:hAnsi="Barlow"/>
                <w:color w:val="000000"/>
                <w:sz w:val="20"/>
                <w:szCs w:val="20"/>
              </w:rPr>
              <w:t>DEUDORES DIVERSOS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30,711,148.26</w:t>
            </w:r>
          </w:p>
        </w:tc>
      </w:tr>
      <w:tr w:rsidR="005E0E9D" w:rsidRPr="0005019D">
        <w:trPr>
          <w:divId w:val="2061201218"/>
          <w:tblCellSpacing w:w="15" w:type="dxa"/>
        </w:trPr>
        <w:tc>
          <w:tcPr>
            <w:tcW w:w="0" w:type="auto"/>
            <w:vAlign w:val="center"/>
            <w:hideMark/>
          </w:tcPr>
          <w:p w:rsidR="005E0E9D" w:rsidRPr="0005019D" w:rsidRDefault="00E35EF3">
            <w:pPr>
              <w:divId w:val="686755878"/>
              <w:rPr>
                <w:rFonts w:ascii="Barlow" w:eastAsia="Times New Roman" w:hAnsi="Barlow"/>
                <w:color w:val="000000"/>
                <w:sz w:val="20"/>
                <w:szCs w:val="20"/>
              </w:rPr>
            </w:pPr>
            <w:r w:rsidRPr="0005019D">
              <w:rPr>
                <w:rFonts w:ascii="Barlow" w:eastAsia="Times New Roman" w:hAnsi="Barlow"/>
                <w:color w:val="000000"/>
                <w:sz w:val="20"/>
                <w:szCs w:val="20"/>
              </w:rPr>
              <w:t>OTROS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11,866,385.90</w:t>
            </w:r>
          </w:p>
        </w:tc>
      </w:tr>
      <w:tr w:rsidR="005E0E9D" w:rsidRPr="0005019D">
        <w:trPr>
          <w:divId w:val="2061201218"/>
          <w:tblCellSpacing w:w="15" w:type="dxa"/>
        </w:trPr>
        <w:tc>
          <w:tcPr>
            <w:tcW w:w="0" w:type="auto"/>
            <w:vAlign w:val="center"/>
            <w:hideMark/>
          </w:tcPr>
          <w:p w:rsidR="005E0E9D" w:rsidRPr="0005019D" w:rsidRDefault="00E35EF3">
            <w:pPr>
              <w:divId w:val="544413277"/>
              <w:rPr>
                <w:rFonts w:ascii="Barlow" w:eastAsia="Times New Roman" w:hAnsi="Barlow"/>
                <w:sz w:val="20"/>
                <w:szCs w:val="20"/>
              </w:rPr>
            </w:pPr>
            <w:r w:rsidRPr="0005019D">
              <w:rPr>
                <w:rStyle w:val="Textoennegrita"/>
                <w:rFonts w:ascii="Barlow" w:eastAsia="Times New Roman" w:hAnsi="Barlow"/>
                <w:color w:val="000000"/>
                <w:sz w:val="20"/>
                <w:szCs w:val="20"/>
              </w:rPr>
              <w:t>PRÉSTAMOS OTORGADOS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2061201218"/>
          <w:tblCellSpacing w:w="15" w:type="dxa"/>
        </w:trPr>
        <w:tc>
          <w:tcPr>
            <w:tcW w:w="0" w:type="auto"/>
            <w:vAlign w:val="center"/>
            <w:hideMark/>
          </w:tcPr>
          <w:p w:rsidR="005E0E9D" w:rsidRPr="0005019D" w:rsidRDefault="00E35EF3">
            <w:pPr>
              <w:divId w:val="1992172938"/>
              <w:rPr>
                <w:rFonts w:ascii="Barlow" w:eastAsia="Times New Roman" w:hAnsi="Barlow"/>
                <w:color w:val="000000"/>
                <w:sz w:val="20"/>
                <w:szCs w:val="20"/>
              </w:rPr>
            </w:pPr>
            <w:r w:rsidRPr="0005019D">
              <w:rPr>
                <w:rFonts w:ascii="Barlow" w:eastAsia="Times New Roman" w:hAnsi="Barlow"/>
                <w:color w:val="000000"/>
                <w:sz w:val="20"/>
                <w:szCs w:val="20"/>
              </w:rPr>
              <w:t>CRÉDITOS OTORGADOS POR ENTIDADES FEDERATIVAS Y MUNICIPIOS AL SECTOR SOCIAL Y PRIVADO PARA EL FOMENTO DE ACTIVIDADES PRODUCTIVAS.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77,294,000.00</w:t>
            </w:r>
          </w:p>
        </w:tc>
      </w:tr>
      <w:tr w:rsidR="005E0E9D" w:rsidRPr="0005019D">
        <w:trPr>
          <w:divId w:val="2061201218"/>
          <w:tblCellSpacing w:w="15" w:type="dxa"/>
        </w:trPr>
        <w:tc>
          <w:tcPr>
            <w:tcW w:w="0" w:type="auto"/>
            <w:vAlign w:val="center"/>
            <w:hideMark/>
          </w:tcPr>
          <w:p w:rsidR="005E0E9D" w:rsidRPr="0005019D" w:rsidRDefault="00E35EF3">
            <w:pPr>
              <w:divId w:val="1045448433"/>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143,900,974.69</w:t>
            </w:r>
          </w:p>
        </w:tc>
      </w:tr>
    </w:tbl>
    <w:p w:rsidR="005E0E9D" w:rsidRPr="0005019D" w:rsidRDefault="005E0E9D">
      <w:pPr>
        <w:divId w:val="1688828718"/>
        <w:rPr>
          <w:rFonts w:ascii="Barlow" w:eastAsia="Times New Roman" w:hAnsi="Barlow"/>
          <w:sz w:val="20"/>
          <w:szCs w:val="20"/>
        </w:rPr>
      </w:pPr>
    </w:p>
    <w:p w:rsidR="005E0E9D" w:rsidRPr="0005019D" w:rsidRDefault="00E35EF3">
      <w:pPr>
        <w:divId w:val="1307663347"/>
        <w:rPr>
          <w:rFonts w:ascii="Barlow" w:eastAsia="Times New Roman" w:hAnsi="Barlow"/>
          <w:sz w:val="20"/>
          <w:szCs w:val="20"/>
        </w:rPr>
      </w:pPr>
      <w:r w:rsidRPr="0005019D">
        <w:rPr>
          <w:rStyle w:val="Textoennegrita"/>
          <w:rFonts w:ascii="Barlow" w:eastAsia="Times New Roman" w:hAnsi="Barlow"/>
          <w:sz w:val="20"/>
          <w:szCs w:val="20"/>
        </w:rPr>
        <w:t>Bienes Disponibles para su Transformación o Consumo (Inventarios)</w:t>
      </w:r>
    </w:p>
    <w:p w:rsidR="005E0E9D" w:rsidRPr="0005019D" w:rsidRDefault="00E35EF3">
      <w:pPr>
        <w:divId w:val="783769716"/>
        <w:rPr>
          <w:rFonts w:ascii="Barlow" w:eastAsia="Times New Roman" w:hAnsi="Barlow"/>
          <w:sz w:val="20"/>
          <w:szCs w:val="20"/>
        </w:rPr>
      </w:pPr>
      <w:r w:rsidRPr="0005019D">
        <w:rPr>
          <w:rFonts w:ascii="Barlow" w:eastAsia="Times New Roman" w:hAnsi="Barlow"/>
          <w:sz w:val="20"/>
          <w:szCs w:val="20"/>
        </w:rPr>
        <w:t>4.- El Poder Ejecutivo no realiza ningún proceso de transformación y/o elaboración de bienes.</w:t>
      </w:r>
    </w:p>
    <w:p w:rsidR="005E0E9D" w:rsidRPr="0005019D" w:rsidRDefault="00E35EF3">
      <w:pPr>
        <w:divId w:val="1929188534"/>
        <w:rPr>
          <w:rFonts w:ascii="Barlow" w:eastAsia="Times New Roman" w:hAnsi="Barlow"/>
          <w:sz w:val="20"/>
          <w:szCs w:val="20"/>
        </w:rPr>
      </w:pPr>
      <w:r w:rsidRPr="0005019D">
        <w:rPr>
          <w:rFonts w:ascii="Barlow" w:eastAsia="Times New Roman" w:hAnsi="Barlow"/>
          <w:sz w:val="20"/>
          <w:szCs w:val="20"/>
        </w:rPr>
        <w:t>5.- El Poder Ejecutivo no maneja registros, ni bienes en la cuenta de almacén.</w:t>
      </w:r>
    </w:p>
    <w:p w:rsidR="005E0E9D" w:rsidRPr="0005019D" w:rsidRDefault="00E35EF3">
      <w:pPr>
        <w:divId w:val="131676863"/>
        <w:rPr>
          <w:rFonts w:ascii="Barlow" w:eastAsia="Times New Roman" w:hAnsi="Barlow"/>
          <w:sz w:val="20"/>
          <w:szCs w:val="20"/>
        </w:rPr>
      </w:pPr>
      <w:r w:rsidRPr="0005019D">
        <w:rPr>
          <w:rFonts w:ascii="Barlow" w:eastAsia="Times New Roman" w:hAnsi="Barlow"/>
          <w:sz w:val="20"/>
          <w:szCs w:val="20"/>
        </w:rPr>
        <w:t>6.- El saldo del rubro de Inversiones Financieras, se integra como sigue:</w:t>
      </w:r>
    </w:p>
    <w:p w:rsidR="005E0E9D" w:rsidRPr="0005019D" w:rsidRDefault="005E0E9D">
      <w:pPr>
        <w:divId w:val="1423918875"/>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09"/>
        <w:gridCol w:w="1567"/>
      </w:tblGrid>
      <w:tr w:rsidR="005E0E9D" w:rsidRPr="0005019D">
        <w:trPr>
          <w:divId w:val="1342507875"/>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lastRenderedPageBreak/>
              <w:t>INVERSIONES FINANCIERAS A LARGO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778917945"/>
              <w:rPr>
                <w:rFonts w:ascii="Barlow" w:eastAsia="Times New Roman" w:hAnsi="Barlow"/>
                <w:sz w:val="20"/>
                <w:szCs w:val="20"/>
              </w:rPr>
            </w:pPr>
            <w:r w:rsidRPr="0005019D">
              <w:rPr>
                <w:rStyle w:val="Textoennegrita"/>
                <w:rFonts w:ascii="Barlow" w:eastAsia="Times New Roman" w:hAnsi="Barlow"/>
                <w:color w:val="000000"/>
                <w:sz w:val="20"/>
                <w:szCs w:val="20"/>
              </w:rPr>
              <w:t>INVERSIONES A LARGO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560018242"/>
              <w:rPr>
                <w:rFonts w:ascii="Barlow" w:eastAsia="Times New Roman" w:hAnsi="Barlow"/>
                <w:sz w:val="20"/>
                <w:szCs w:val="20"/>
              </w:rPr>
            </w:pPr>
            <w:r w:rsidRPr="0005019D">
              <w:rPr>
                <w:rStyle w:val="Textoennegrita"/>
                <w:rFonts w:ascii="Barlow" w:eastAsia="Times New Roman" w:hAnsi="Barlow"/>
                <w:color w:val="000000"/>
                <w:sz w:val="20"/>
                <w:szCs w:val="20"/>
              </w:rPr>
              <w:t>INVERSIONES EN ACCIONES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1963339591"/>
              <w:rPr>
                <w:rFonts w:ascii="Barlow" w:eastAsia="Times New Roman" w:hAnsi="Barlow"/>
                <w:color w:val="000000"/>
                <w:sz w:val="20"/>
                <w:szCs w:val="20"/>
              </w:rPr>
            </w:pPr>
            <w:r w:rsidRPr="0005019D">
              <w:rPr>
                <w:rFonts w:ascii="Barlow" w:eastAsia="Times New Roman" w:hAnsi="Barlow"/>
                <w:color w:val="000000"/>
                <w:sz w:val="20"/>
                <w:szCs w:val="20"/>
              </w:rPr>
              <w:t>SOCIEDAD COOPERATIVA DE PROD. LECHERA S.C.L.</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453,748.92</w:t>
            </w:r>
          </w:p>
        </w:tc>
      </w:tr>
      <w:tr w:rsidR="005E0E9D" w:rsidRPr="0005019D">
        <w:trPr>
          <w:divId w:val="1342507875"/>
          <w:tblCellSpacing w:w="15" w:type="dxa"/>
        </w:trPr>
        <w:tc>
          <w:tcPr>
            <w:tcW w:w="0" w:type="auto"/>
            <w:vAlign w:val="center"/>
            <w:hideMark/>
          </w:tcPr>
          <w:p w:rsidR="005E0E9D" w:rsidRPr="0005019D" w:rsidRDefault="00E35EF3">
            <w:pPr>
              <w:divId w:val="1594314675"/>
              <w:rPr>
                <w:rFonts w:ascii="Barlow" w:eastAsia="Times New Roman" w:hAnsi="Barlow"/>
                <w:color w:val="000000"/>
                <w:sz w:val="20"/>
                <w:szCs w:val="20"/>
              </w:rPr>
            </w:pPr>
            <w:r w:rsidRPr="0005019D">
              <w:rPr>
                <w:rFonts w:ascii="Barlow" w:eastAsia="Times New Roman" w:hAnsi="Barlow"/>
                <w:color w:val="000000"/>
                <w:sz w:val="20"/>
                <w:szCs w:val="20"/>
              </w:rPr>
              <w:t>PROCESADORA DE BEBIDAS DE YUCATAN, SA DE CV.</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3,000,000.00</w:t>
            </w:r>
          </w:p>
        </w:tc>
      </w:tr>
      <w:tr w:rsidR="005E0E9D" w:rsidRPr="0005019D">
        <w:trPr>
          <w:divId w:val="1342507875"/>
          <w:tblCellSpacing w:w="15" w:type="dxa"/>
        </w:trPr>
        <w:tc>
          <w:tcPr>
            <w:tcW w:w="0" w:type="auto"/>
            <w:vAlign w:val="center"/>
            <w:hideMark/>
          </w:tcPr>
          <w:p w:rsidR="005E0E9D" w:rsidRPr="0005019D" w:rsidRDefault="00E35EF3">
            <w:pPr>
              <w:divId w:val="367874999"/>
              <w:rPr>
                <w:rFonts w:ascii="Barlow" w:eastAsia="Times New Roman" w:hAnsi="Barlow"/>
                <w:sz w:val="20"/>
                <w:szCs w:val="20"/>
              </w:rPr>
            </w:pPr>
            <w:r w:rsidRPr="0005019D">
              <w:rPr>
                <w:rStyle w:val="Textoennegrita"/>
                <w:rFonts w:ascii="Barlow" w:eastAsia="Times New Roman" w:hAnsi="Barlow"/>
                <w:color w:val="000000"/>
                <w:sz w:val="20"/>
                <w:szCs w:val="20"/>
              </w:rPr>
              <w:t>INVERSIONES EN FIDEICOMISOS Y FONDOS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908809769"/>
              <w:rPr>
                <w:rFonts w:ascii="Barlow" w:eastAsia="Times New Roman" w:hAnsi="Barlow"/>
                <w:color w:val="000000"/>
                <w:sz w:val="20"/>
                <w:szCs w:val="20"/>
              </w:rPr>
            </w:pPr>
            <w:r w:rsidRPr="0005019D">
              <w:rPr>
                <w:rFonts w:ascii="Barlow" w:eastAsia="Times New Roman" w:hAnsi="Barlow"/>
                <w:color w:val="000000"/>
                <w:sz w:val="20"/>
                <w:szCs w:val="20"/>
              </w:rPr>
              <w:t>FIDEICOMISO CONST-AUTOP.KANTUNIL-CANCUN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87,531,686.00</w:t>
            </w:r>
          </w:p>
        </w:tc>
      </w:tr>
      <w:tr w:rsidR="005E0E9D" w:rsidRPr="0005019D">
        <w:trPr>
          <w:divId w:val="1342507875"/>
          <w:tblCellSpacing w:w="15" w:type="dxa"/>
        </w:trPr>
        <w:tc>
          <w:tcPr>
            <w:tcW w:w="0" w:type="auto"/>
            <w:vAlign w:val="center"/>
            <w:hideMark/>
          </w:tcPr>
          <w:p w:rsidR="005E0E9D" w:rsidRPr="0005019D" w:rsidRDefault="00E35EF3">
            <w:pPr>
              <w:divId w:val="2007052466"/>
              <w:rPr>
                <w:rFonts w:ascii="Barlow" w:eastAsia="Times New Roman" w:hAnsi="Barlow"/>
                <w:color w:val="000000"/>
                <w:sz w:val="20"/>
                <w:szCs w:val="20"/>
              </w:rPr>
            </w:pPr>
            <w:r w:rsidRPr="0005019D">
              <w:rPr>
                <w:rFonts w:ascii="Barlow" w:eastAsia="Times New Roman" w:hAnsi="Barlow"/>
                <w:color w:val="000000"/>
                <w:sz w:val="20"/>
                <w:szCs w:val="20"/>
              </w:rPr>
              <w:t>FONDO ESTATAL PARA EL FOMENTO DEL EMPLEO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14,802,000.00</w:t>
            </w:r>
          </w:p>
        </w:tc>
      </w:tr>
      <w:tr w:rsidR="005E0E9D" w:rsidRPr="0005019D">
        <w:trPr>
          <w:divId w:val="1342507875"/>
          <w:tblCellSpacing w:w="15" w:type="dxa"/>
        </w:trPr>
        <w:tc>
          <w:tcPr>
            <w:tcW w:w="0" w:type="auto"/>
            <w:vAlign w:val="center"/>
            <w:hideMark/>
          </w:tcPr>
          <w:p w:rsidR="005E0E9D" w:rsidRPr="0005019D" w:rsidRDefault="00E35EF3">
            <w:pPr>
              <w:divId w:val="1051072191"/>
              <w:rPr>
                <w:rFonts w:ascii="Barlow" w:eastAsia="Times New Roman" w:hAnsi="Barlow"/>
                <w:color w:val="000000"/>
                <w:sz w:val="20"/>
                <w:szCs w:val="20"/>
              </w:rPr>
            </w:pPr>
            <w:r w:rsidRPr="0005019D">
              <w:rPr>
                <w:rFonts w:ascii="Barlow" w:eastAsia="Times New Roman" w:hAnsi="Barlow"/>
                <w:color w:val="000000"/>
                <w:sz w:val="20"/>
                <w:szCs w:val="20"/>
              </w:rPr>
              <w:t>FONDO DE APOYO PRODUCTIVIDAD AGROP. DEL ESTADO DE YUCATAN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11,695,336.26</w:t>
            </w:r>
          </w:p>
        </w:tc>
      </w:tr>
      <w:tr w:rsidR="005E0E9D" w:rsidRPr="0005019D">
        <w:trPr>
          <w:divId w:val="1342507875"/>
          <w:tblCellSpacing w:w="15" w:type="dxa"/>
        </w:trPr>
        <w:tc>
          <w:tcPr>
            <w:tcW w:w="0" w:type="auto"/>
            <w:vAlign w:val="center"/>
            <w:hideMark/>
          </w:tcPr>
          <w:p w:rsidR="005E0E9D" w:rsidRPr="0005019D" w:rsidRDefault="00E35EF3">
            <w:pPr>
              <w:divId w:val="952514758"/>
              <w:rPr>
                <w:rFonts w:ascii="Barlow" w:eastAsia="Times New Roman" w:hAnsi="Barlow"/>
                <w:sz w:val="20"/>
                <w:szCs w:val="20"/>
              </w:rPr>
            </w:pPr>
            <w:r w:rsidRPr="0005019D">
              <w:rPr>
                <w:rStyle w:val="Textoennegrita"/>
                <w:rFonts w:ascii="Barlow" w:eastAsia="Times New Roman" w:hAnsi="Barlow"/>
                <w:color w:val="000000"/>
                <w:sz w:val="20"/>
                <w:szCs w:val="20"/>
              </w:rPr>
              <w:t>FIDEICOMISOS, MANDATOS Y CONTRATOS ANÁLOGOS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369691391"/>
              <w:rPr>
                <w:rFonts w:ascii="Barlow" w:eastAsia="Times New Roman" w:hAnsi="Barlow"/>
                <w:sz w:val="20"/>
                <w:szCs w:val="20"/>
              </w:rPr>
            </w:pPr>
            <w:r w:rsidRPr="0005019D">
              <w:rPr>
                <w:rStyle w:val="Textoennegrita"/>
                <w:rFonts w:ascii="Barlow" w:eastAsia="Times New Roman" w:hAnsi="Barlow"/>
                <w:color w:val="000000"/>
                <w:sz w:val="20"/>
                <w:szCs w:val="20"/>
              </w:rPr>
              <w:t>FIDEICOMISOS, MANDATOS Y CONTRATIOS ÁNALOGOS DEL PODER EJECUTIVO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1639650551"/>
              <w:rPr>
                <w:rFonts w:ascii="Barlow" w:eastAsia="Times New Roman" w:hAnsi="Barlow"/>
                <w:color w:val="000000"/>
                <w:sz w:val="20"/>
                <w:szCs w:val="20"/>
              </w:rPr>
            </w:pPr>
            <w:r w:rsidRPr="0005019D">
              <w:rPr>
                <w:rFonts w:ascii="Barlow" w:eastAsia="Times New Roman" w:hAnsi="Barlow"/>
                <w:color w:val="000000"/>
                <w:sz w:val="20"/>
                <w:szCs w:val="20"/>
              </w:rPr>
              <w:t>SECRETARIA DE DESARROLLO RURAL</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725,917.20</w:t>
            </w:r>
          </w:p>
        </w:tc>
      </w:tr>
      <w:tr w:rsidR="005E0E9D" w:rsidRPr="0005019D">
        <w:trPr>
          <w:divId w:val="1342507875"/>
          <w:tblCellSpacing w:w="15" w:type="dxa"/>
        </w:trPr>
        <w:tc>
          <w:tcPr>
            <w:tcW w:w="0" w:type="auto"/>
            <w:vAlign w:val="center"/>
            <w:hideMark/>
          </w:tcPr>
          <w:p w:rsidR="005E0E9D" w:rsidRPr="0005019D" w:rsidRDefault="00E35EF3">
            <w:pPr>
              <w:divId w:val="1521896303"/>
              <w:rPr>
                <w:rFonts w:ascii="Barlow" w:eastAsia="Times New Roman" w:hAnsi="Barlow"/>
                <w:color w:val="000000"/>
                <w:sz w:val="20"/>
                <w:szCs w:val="20"/>
              </w:rPr>
            </w:pPr>
            <w:r w:rsidRPr="0005019D">
              <w:rPr>
                <w:rFonts w:ascii="Barlow" w:eastAsia="Times New Roman" w:hAnsi="Barlow"/>
                <w:color w:val="000000"/>
                <w:sz w:val="20"/>
                <w:szCs w:val="20"/>
              </w:rPr>
              <w:t>SECRETARIA DE FOMENTO ECONOMICO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76,948,425.56</w:t>
            </w:r>
          </w:p>
        </w:tc>
      </w:tr>
      <w:tr w:rsidR="005E0E9D" w:rsidRPr="0005019D">
        <w:trPr>
          <w:divId w:val="1342507875"/>
          <w:tblCellSpacing w:w="15" w:type="dxa"/>
        </w:trPr>
        <w:tc>
          <w:tcPr>
            <w:tcW w:w="0" w:type="auto"/>
            <w:vAlign w:val="center"/>
            <w:hideMark/>
          </w:tcPr>
          <w:p w:rsidR="005E0E9D" w:rsidRPr="0005019D" w:rsidRDefault="00E35EF3">
            <w:pPr>
              <w:divId w:val="2078740274"/>
              <w:rPr>
                <w:rFonts w:ascii="Barlow" w:eastAsia="Times New Roman" w:hAnsi="Barlow"/>
                <w:color w:val="000000"/>
                <w:sz w:val="20"/>
                <w:szCs w:val="20"/>
              </w:rPr>
            </w:pPr>
            <w:r w:rsidRPr="0005019D">
              <w:rPr>
                <w:rFonts w:ascii="Barlow" w:eastAsia="Times New Roman" w:hAnsi="Barlow"/>
                <w:color w:val="000000"/>
                <w:sz w:val="20"/>
                <w:szCs w:val="20"/>
              </w:rPr>
              <w:t>SECRETARIA DE FOMENTO TURISTICO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75,709,377.23</w:t>
            </w:r>
          </w:p>
        </w:tc>
      </w:tr>
      <w:tr w:rsidR="005E0E9D" w:rsidRPr="0005019D">
        <w:trPr>
          <w:divId w:val="1342507875"/>
          <w:tblCellSpacing w:w="15" w:type="dxa"/>
        </w:trPr>
        <w:tc>
          <w:tcPr>
            <w:tcW w:w="0" w:type="auto"/>
            <w:vAlign w:val="center"/>
            <w:hideMark/>
          </w:tcPr>
          <w:p w:rsidR="005E0E9D" w:rsidRPr="0005019D" w:rsidRDefault="00E35EF3">
            <w:pPr>
              <w:divId w:val="1994215682"/>
              <w:rPr>
                <w:rFonts w:ascii="Barlow" w:eastAsia="Times New Roman" w:hAnsi="Barlow"/>
                <w:color w:val="000000"/>
                <w:sz w:val="20"/>
                <w:szCs w:val="20"/>
              </w:rPr>
            </w:pPr>
            <w:r w:rsidRPr="0005019D">
              <w:rPr>
                <w:rFonts w:ascii="Barlow" w:eastAsia="Times New Roman" w:hAnsi="Barlow"/>
                <w:color w:val="000000"/>
                <w:sz w:val="20"/>
                <w:szCs w:val="20"/>
              </w:rPr>
              <w:t>SECRETARIA DE DESARROLLO SUSTENTABLE</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709,157,864.60</w:t>
            </w:r>
          </w:p>
        </w:tc>
      </w:tr>
      <w:tr w:rsidR="005E0E9D" w:rsidRPr="0005019D">
        <w:trPr>
          <w:divId w:val="1342507875"/>
          <w:tblCellSpacing w:w="15" w:type="dxa"/>
        </w:trPr>
        <w:tc>
          <w:tcPr>
            <w:tcW w:w="0" w:type="auto"/>
            <w:vAlign w:val="center"/>
            <w:hideMark/>
          </w:tcPr>
          <w:p w:rsidR="005E0E9D" w:rsidRPr="0005019D" w:rsidRDefault="00E35EF3">
            <w:pPr>
              <w:divId w:val="1299073167"/>
              <w:rPr>
                <w:rFonts w:ascii="Barlow" w:eastAsia="Times New Roman" w:hAnsi="Barlow"/>
                <w:color w:val="000000"/>
                <w:sz w:val="20"/>
                <w:szCs w:val="20"/>
              </w:rPr>
            </w:pPr>
            <w:r w:rsidRPr="0005019D">
              <w:rPr>
                <w:rFonts w:ascii="Barlow" w:eastAsia="Times New Roman" w:hAnsi="Barlow"/>
                <w:color w:val="000000"/>
                <w:sz w:val="20"/>
                <w:szCs w:val="20"/>
              </w:rPr>
              <w:t>SECRETARIA GENERAL DE GOBIERNO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18,714,571.04</w:t>
            </w:r>
          </w:p>
        </w:tc>
      </w:tr>
      <w:tr w:rsidR="005E0E9D" w:rsidRPr="0005019D">
        <w:trPr>
          <w:divId w:val="1342507875"/>
          <w:tblCellSpacing w:w="15" w:type="dxa"/>
        </w:trPr>
        <w:tc>
          <w:tcPr>
            <w:tcW w:w="0" w:type="auto"/>
            <w:vAlign w:val="center"/>
            <w:hideMark/>
          </w:tcPr>
          <w:p w:rsidR="005E0E9D" w:rsidRPr="0005019D" w:rsidRDefault="00E35EF3">
            <w:pPr>
              <w:divId w:val="607153211"/>
              <w:rPr>
                <w:rFonts w:ascii="Barlow" w:eastAsia="Times New Roman" w:hAnsi="Barlow"/>
                <w:color w:val="000000"/>
                <w:sz w:val="20"/>
                <w:szCs w:val="20"/>
              </w:rPr>
            </w:pPr>
            <w:r w:rsidRPr="0005019D">
              <w:rPr>
                <w:rFonts w:ascii="Barlow" w:eastAsia="Times New Roman" w:hAnsi="Barlow"/>
                <w:color w:val="000000"/>
                <w:sz w:val="20"/>
                <w:szCs w:val="20"/>
              </w:rPr>
              <w:t>SECRETARIA DE ADMINISTRACIÓN Y FINANZAS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1,059,692,788.46</w:t>
            </w:r>
          </w:p>
        </w:tc>
      </w:tr>
      <w:tr w:rsidR="005E0E9D" w:rsidRPr="0005019D">
        <w:trPr>
          <w:divId w:val="1342507875"/>
          <w:tblCellSpacing w:w="15" w:type="dxa"/>
        </w:trPr>
        <w:tc>
          <w:tcPr>
            <w:tcW w:w="0" w:type="auto"/>
            <w:vAlign w:val="center"/>
            <w:hideMark/>
          </w:tcPr>
          <w:p w:rsidR="005E0E9D" w:rsidRPr="0005019D" w:rsidRDefault="00E35EF3">
            <w:pPr>
              <w:divId w:val="843738661"/>
              <w:rPr>
                <w:rFonts w:ascii="Barlow" w:eastAsia="Times New Roman" w:hAnsi="Barlow"/>
                <w:color w:val="000000"/>
                <w:sz w:val="20"/>
                <w:szCs w:val="20"/>
              </w:rPr>
            </w:pPr>
            <w:r w:rsidRPr="0005019D">
              <w:rPr>
                <w:rFonts w:ascii="Barlow" w:eastAsia="Times New Roman" w:hAnsi="Barlow"/>
                <w:color w:val="000000"/>
                <w:sz w:val="20"/>
                <w:szCs w:val="20"/>
              </w:rPr>
              <w:t>SECRETARIA DE OBRAS PUBLICAS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34,084,171.27</w:t>
            </w:r>
          </w:p>
        </w:tc>
      </w:tr>
      <w:tr w:rsidR="005E0E9D" w:rsidRPr="0005019D">
        <w:trPr>
          <w:divId w:val="1342507875"/>
          <w:tblCellSpacing w:w="15" w:type="dxa"/>
        </w:trPr>
        <w:tc>
          <w:tcPr>
            <w:tcW w:w="0" w:type="auto"/>
            <w:vAlign w:val="center"/>
            <w:hideMark/>
          </w:tcPr>
          <w:p w:rsidR="005E0E9D" w:rsidRPr="0005019D" w:rsidRDefault="00E35EF3">
            <w:pPr>
              <w:divId w:val="590238323"/>
              <w:rPr>
                <w:rFonts w:ascii="Barlow" w:eastAsia="Times New Roman" w:hAnsi="Barlow"/>
                <w:color w:val="000000"/>
                <w:sz w:val="20"/>
                <w:szCs w:val="20"/>
              </w:rPr>
            </w:pPr>
            <w:r w:rsidRPr="0005019D">
              <w:rPr>
                <w:rFonts w:ascii="Barlow" w:eastAsia="Times New Roman" w:hAnsi="Barlow"/>
                <w:color w:val="000000"/>
                <w:sz w:val="20"/>
                <w:szCs w:val="20"/>
              </w:rPr>
              <w:lastRenderedPageBreak/>
              <w:t>SECRETARIA DE EDUCACIÓN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29,477,824.90</w:t>
            </w:r>
          </w:p>
        </w:tc>
      </w:tr>
      <w:tr w:rsidR="005E0E9D" w:rsidRPr="0005019D">
        <w:trPr>
          <w:divId w:val="1342507875"/>
          <w:tblCellSpacing w:w="15" w:type="dxa"/>
        </w:trPr>
        <w:tc>
          <w:tcPr>
            <w:tcW w:w="0" w:type="auto"/>
            <w:vAlign w:val="center"/>
            <w:hideMark/>
          </w:tcPr>
          <w:p w:rsidR="005E0E9D" w:rsidRPr="0005019D" w:rsidRDefault="00E35EF3">
            <w:pPr>
              <w:divId w:val="607858911"/>
              <w:rPr>
                <w:rFonts w:ascii="Barlow" w:eastAsia="Times New Roman" w:hAnsi="Barlow"/>
                <w:color w:val="000000"/>
                <w:sz w:val="20"/>
                <w:szCs w:val="20"/>
              </w:rPr>
            </w:pPr>
            <w:r w:rsidRPr="0005019D">
              <w:rPr>
                <w:rFonts w:ascii="Barlow" w:eastAsia="Times New Roman" w:hAnsi="Barlow"/>
                <w:color w:val="000000"/>
                <w:sz w:val="20"/>
                <w:szCs w:val="20"/>
              </w:rPr>
              <w:t>PERIODO 2022</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206.64</w:t>
            </w:r>
          </w:p>
        </w:tc>
      </w:tr>
      <w:tr w:rsidR="005E0E9D" w:rsidRPr="0005019D">
        <w:trPr>
          <w:divId w:val="1342507875"/>
          <w:tblCellSpacing w:w="15" w:type="dxa"/>
        </w:trPr>
        <w:tc>
          <w:tcPr>
            <w:tcW w:w="0" w:type="auto"/>
            <w:vAlign w:val="center"/>
            <w:hideMark/>
          </w:tcPr>
          <w:p w:rsidR="005E0E9D" w:rsidRPr="0005019D" w:rsidRDefault="00E35EF3">
            <w:pPr>
              <w:divId w:val="1651860160"/>
              <w:rPr>
                <w:rFonts w:ascii="Barlow" w:eastAsia="Times New Roman" w:hAnsi="Barlow"/>
                <w:sz w:val="20"/>
                <w:szCs w:val="20"/>
              </w:rPr>
            </w:pPr>
            <w:r w:rsidRPr="0005019D">
              <w:rPr>
                <w:rStyle w:val="Textoennegrita"/>
                <w:rFonts w:ascii="Barlow" w:eastAsia="Times New Roman" w:hAnsi="Barlow"/>
                <w:color w:val="000000"/>
                <w:sz w:val="20"/>
                <w:szCs w:val="20"/>
              </w:rPr>
              <w:t>FIDEICOMISOS, MANDATOS Y CONTRATOS ANALOGOS PÚBLICOS NO EMPRESARIALES Y NO FINANCIEROS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342507875"/>
          <w:tblCellSpacing w:w="15" w:type="dxa"/>
        </w:trPr>
        <w:tc>
          <w:tcPr>
            <w:tcW w:w="0" w:type="auto"/>
            <w:vAlign w:val="center"/>
            <w:hideMark/>
          </w:tcPr>
          <w:p w:rsidR="005E0E9D" w:rsidRPr="0005019D" w:rsidRDefault="00E35EF3">
            <w:pPr>
              <w:divId w:val="289169352"/>
              <w:rPr>
                <w:rFonts w:ascii="Barlow" w:eastAsia="Times New Roman" w:hAnsi="Barlow"/>
                <w:color w:val="000000"/>
                <w:sz w:val="20"/>
                <w:szCs w:val="20"/>
              </w:rPr>
            </w:pPr>
            <w:r w:rsidRPr="0005019D">
              <w:rPr>
                <w:rFonts w:ascii="Barlow" w:eastAsia="Times New Roman" w:hAnsi="Barlow"/>
                <w:color w:val="000000"/>
                <w:sz w:val="20"/>
                <w:szCs w:val="20"/>
              </w:rPr>
              <w:t>INSTITUTO DE PROCEDIMIENTOS ELECTORALES Y PARTICIPACIÓN CIUDADANA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6,270,257.66</w:t>
            </w:r>
          </w:p>
        </w:tc>
      </w:tr>
      <w:tr w:rsidR="005E0E9D" w:rsidRPr="0005019D">
        <w:trPr>
          <w:divId w:val="1342507875"/>
          <w:tblCellSpacing w:w="15" w:type="dxa"/>
        </w:trPr>
        <w:tc>
          <w:tcPr>
            <w:tcW w:w="0" w:type="auto"/>
            <w:vAlign w:val="center"/>
            <w:hideMark/>
          </w:tcPr>
          <w:p w:rsidR="005E0E9D" w:rsidRPr="0005019D" w:rsidRDefault="00E35EF3">
            <w:pPr>
              <w:divId w:val="818502705"/>
              <w:rPr>
                <w:rFonts w:ascii="Barlow" w:eastAsia="Times New Roman" w:hAnsi="Barlow"/>
                <w:color w:val="000000"/>
                <w:sz w:val="20"/>
                <w:szCs w:val="20"/>
              </w:rPr>
            </w:pPr>
            <w:r w:rsidRPr="0005019D">
              <w:rPr>
                <w:rFonts w:ascii="Barlow" w:eastAsia="Times New Roman" w:hAnsi="Barlow"/>
                <w:color w:val="000000"/>
                <w:sz w:val="20"/>
                <w:szCs w:val="20"/>
              </w:rPr>
              <w:t>UNIVERSIDAD AUTÓNOMA DE YUCATÁN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730,791.50</w:t>
            </w:r>
          </w:p>
        </w:tc>
      </w:tr>
      <w:tr w:rsidR="005E0E9D" w:rsidRPr="0005019D">
        <w:trPr>
          <w:divId w:val="1342507875"/>
          <w:tblCellSpacing w:w="15" w:type="dxa"/>
        </w:trPr>
        <w:tc>
          <w:tcPr>
            <w:tcW w:w="0" w:type="auto"/>
            <w:vAlign w:val="center"/>
            <w:hideMark/>
          </w:tcPr>
          <w:p w:rsidR="005E0E9D" w:rsidRPr="0005019D" w:rsidRDefault="00E35EF3">
            <w:pPr>
              <w:divId w:val="1583678922"/>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2,128,994,967.24</w:t>
            </w:r>
          </w:p>
        </w:tc>
      </w:tr>
    </w:tbl>
    <w:p w:rsidR="005E0E9D" w:rsidRPr="0005019D" w:rsidRDefault="00E35EF3">
      <w:pPr>
        <w:divId w:val="1878078729"/>
        <w:rPr>
          <w:rFonts w:ascii="Barlow" w:eastAsia="Times New Roman" w:hAnsi="Barlow"/>
          <w:sz w:val="20"/>
          <w:szCs w:val="20"/>
        </w:rPr>
      </w:pPr>
      <w:r w:rsidRPr="0005019D">
        <w:rPr>
          <w:rFonts w:ascii="Barlow" w:eastAsia="Times New Roman" w:hAnsi="Barlow"/>
          <w:sz w:val="20"/>
          <w:szCs w:val="20"/>
        </w:rPr>
        <w:t>7.- El saldo del rubro de Participaciones y aportaciones de capital:</w:t>
      </w:r>
    </w:p>
    <w:p w:rsidR="005E0E9D" w:rsidRPr="0005019D" w:rsidRDefault="005E0E9D">
      <w:pPr>
        <w:divId w:val="921989453"/>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51"/>
        <w:gridCol w:w="1425"/>
      </w:tblGrid>
      <w:tr w:rsidR="005E0E9D" w:rsidRPr="0005019D">
        <w:trPr>
          <w:divId w:val="1718969829"/>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PARTICIPACIONES Y APORTACIONES DE CAPITAL</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divId w:val="1718969829"/>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PARTICIPACIONES Y APORTACIONES DE CAPITAL A LP EN EL SECTOR PÚBLICO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426,827,401.00</w:t>
            </w:r>
          </w:p>
        </w:tc>
      </w:tr>
      <w:tr w:rsidR="005E0E9D" w:rsidRPr="0005019D">
        <w:trPr>
          <w:divId w:val="1718969829"/>
          <w:tblCellSpacing w:w="15" w:type="dxa"/>
        </w:trPr>
        <w:tc>
          <w:tcPr>
            <w:tcW w:w="0" w:type="auto"/>
            <w:vAlign w:val="center"/>
            <w:hideMark/>
          </w:tcPr>
          <w:p w:rsidR="005E0E9D" w:rsidRPr="0005019D" w:rsidRDefault="00E35EF3">
            <w:pPr>
              <w:divId w:val="767769732"/>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426,827,401.00</w:t>
            </w:r>
          </w:p>
        </w:tc>
      </w:tr>
    </w:tbl>
    <w:p w:rsidR="005E0E9D" w:rsidRPr="0005019D" w:rsidRDefault="005E0E9D">
      <w:pPr>
        <w:divId w:val="647787304"/>
        <w:rPr>
          <w:rFonts w:ascii="Barlow" w:eastAsia="Times New Roman" w:hAnsi="Barlow"/>
          <w:sz w:val="20"/>
          <w:szCs w:val="20"/>
        </w:rPr>
      </w:pPr>
    </w:p>
    <w:p w:rsidR="005E0E9D" w:rsidRPr="0005019D" w:rsidRDefault="00E35EF3">
      <w:pPr>
        <w:divId w:val="1579751764"/>
        <w:rPr>
          <w:rFonts w:ascii="Barlow" w:eastAsia="Times New Roman" w:hAnsi="Barlow"/>
          <w:sz w:val="20"/>
          <w:szCs w:val="20"/>
        </w:rPr>
      </w:pPr>
      <w:r w:rsidRPr="0005019D">
        <w:rPr>
          <w:rFonts w:ascii="Barlow" w:eastAsia="Times New Roman" w:hAnsi="Barlow"/>
          <w:sz w:val="20"/>
          <w:szCs w:val="20"/>
        </w:rPr>
        <w:t>8.- El saldo del rubro Bienes muebles e inmuebles que figura en el Estado de situación financiera, se integra como sigue:</w:t>
      </w:r>
    </w:p>
    <w:tbl>
      <w:tblPr>
        <w:tblW w:w="11600" w:type="dxa"/>
        <w:tblCellMar>
          <w:left w:w="70" w:type="dxa"/>
          <w:right w:w="70" w:type="dxa"/>
        </w:tblCellMar>
        <w:tblLook w:val="04A0" w:firstRow="1" w:lastRow="0" w:firstColumn="1" w:lastColumn="0" w:noHBand="0" w:noVBand="1"/>
      </w:tblPr>
      <w:tblGrid>
        <w:gridCol w:w="5140"/>
        <w:gridCol w:w="2060"/>
        <w:gridCol w:w="1820"/>
        <w:gridCol w:w="2580"/>
      </w:tblGrid>
      <w:tr w:rsidR="00E35D41" w:rsidRPr="0005019D" w:rsidTr="00E35D41">
        <w:trPr>
          <w:divId w:val="389379063"/>
          <w:trHeight w:val="435"/>
        </w:trPr>
        <w:tc>
          <w:tcPr>
            <w:tcW w:w="514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BIENES MUEBLES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IMPORTE</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DEPRECIACIÓN DEL EJERCICIO</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DEPRECIACIÓN ACUMULADA</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MOBILIARIO Y EQUIPO DE ADMINISTRACIÓN</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MUEBLES DE OFICINA Y ESTANTERÍA</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605,403,292.52</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2,188,288.90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113,336,158.20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MUEBLES, EXCEPTO DE OFICINA Y ESTANTERÍA</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11,450,337.25</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162,885.55</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5,301,637.04</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 DE CÓMPUTO Y DE TECNOLOGÍAS DE LA INFORMACIÓN</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963,284,234.74</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24,917,124.41</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604,804,611.18</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OTROS MOBILIARIOS Y EQUIPOS DE ADMINISTRACIÓN</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51,171,046.61</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766,009.61</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30,157,452.25</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MOBILIARIO Y EQUIPO EDUCACIONAL Y RECREATIVO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EQUIPOS Y APARATOS AUDIOVISUALES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420,097,641.16</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18,644,219.83</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232,730,141.73</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lastRenderedPageBreak/>
              <w:t>APARATOS DEPORTIVOS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1,657,563.51</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5,269.28</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1,785,424.24</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CÁMARAS FOTOGRÁFICAS Y DE VIDEO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29,068,451.73</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453,281.97</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27,567,926.49</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OTRO MOBILIARIO Y EQUIPO EDUCACIONAL Y RECREATIVO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148,115,016.51</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1,440,862.29</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39,752,540.22</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EQUIPO E INSTRUMENTAL MÉDICO Y DE LABORATORIO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 MÉDICO Y DE LABORATORIO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35,027,612.50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1,116,549.51</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51,530,708.30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INSTRUMENTAL MÉDICO Y DE LABORATORIO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9,237,074.24</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197,062.24</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13,635,725.22</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VEHÍCULOS Y EQUIPO DE TRANSPORTE</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VEHÍCULOS Y EQUIPO DE TERRESTRE</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499,137,633.27</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2,576,436.40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499,729,448.05</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CARROCERÍAS Y REMOLQUES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34,723,903.19</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116,077.60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27,060,481.75</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 AEROESPACIAL</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17,767,074.16</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8,613.00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17,606,298.16</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 FERROVIARIO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EMBARCACIONES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85,023,283.04</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2,164,939.88</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37,217,954.31</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OTROS EQUIPOS DE TRANSPORTE</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83,768,299.25</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2,607,000.87</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35,166,745.67</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EQUIPO DE DEFENSA Y SEGURIDAD</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61,229,280.14</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2,022,349.80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38,324,214.42</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MAQUINARIA, OTROS EQUIPOS Y HERRAMIENTAS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MAQUINARIA Y EQUIPO AGROPECUARIO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4,915,055.59</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118,355.62</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1,227,869.38</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MAQUINARIA Y EQUIPO INDUSTRIAL</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17,211,022.87</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230,895.40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11,104,110.97</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MAQUINARIA Y EQUIPO DE CONSTRUCCIÓN</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5,535,931.13</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1,600.42</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2,666,413.69</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SISTEMAS DE AIRE ACONDICIONADO, CALEFACCIÓN Y DE REFRIGERACIÓN INDUSTRIAL Y COMERCIAL</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80,502,805.72</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806,241.61</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22,089,946.08</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 DE COMUNICACIÓN Y TELECOMUNICACIÓN</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121,423,397.10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1,668,399.47</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82,428,836.14</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EQUIPOS DE GENERACIÓN ELÉCTRICA, APARATOS Y ACCESORIOS ELÉCTRICOS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70,609,341.65</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1,238,131.39</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35,317,915.68</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HERRAMIENTAS Y MÁQUINAS-HERRAMIENTA</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21,748,189.58</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315,098.89</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6,375,744.92</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OTROS EQUIPOS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28,856,920.67</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554,035.03</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11,882,249.56</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COLECCIONES, OBRAS DE ARTE Y OBJETOS VALIOSOS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BIENES ARTÍSTICOS, CULTURALES Y CIENTÍFICOS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25,310,260.02</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OBJETOS DE VALOR</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7,111,730.82</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30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ACTIVOS BIOLÓGICOS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OVINOS Y CAPRINOS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PECES Y ACUICULTURA</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9,960.00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498.00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8,466.00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ESPECIES MENORES Y DE ZOOLÓGICO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1,140,280.00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27,434.00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956,652.00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TOTAL</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3,440,536,638.97</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64,347,660.97</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1,949,781,325.46</w:t>
            </w:r>
          </w:p>
        </w:tc>
      </w:tr>
      <w:tr w:rsidR="00E35D41" w:rsidRPr="0005019D" w:rsidTr="00E35D41">
        <w:trPr>
          <w:divId w:val="389379063"/>
          <w:trHeight w:val="27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p>
          <w:p w:rsidR="00E35D41" w:rsidRPr="0005019D" w:rsidRDefault="00E35D41" w:rsidP="00E35D41">
            <w:pPr>
              <w:spacing w:after="0" w:line="240" w:lineRule="auto"/>
              <w:jc w:val="right"/>
              <w:rPr>
                <w:rFonts w:ascii="Barlow" w:eastAsia="Times New Roman" w:hAnsi="Barlow" w:cs="Arial"/>
                <w:b/>
                <w:bCs/>
                <w:color w:val="000000"/>
                <w:sz w:val="18"/>
                <w:szCs w:val="18"/>
              </w:rPr>
            </w:pPr>
          </w:p>
          <w:p w:rsidR="00E35D41" w:rsidRPr="0005019D" w:rsidRDefault="00E35D41" w:rsidP="00E35D41">
            <w:pPr>
              <w:spacing w:after="0" w:line="240" w:lineRule="auto"/>
              <w:jc w:val="right"/>
              <w:rPr>
                <w:rFonts w:ascii="Barlow" w:eastAsia="Times New Roman" w:hAnsi="Barlow" w:cs="Arial"/>
                <w:b/>
                <w:bCs/>
                <w:color w:val="000000"/>
                <w:sz w:val="18"/>
                <w:szCs w:val="18"/>
              </w:rPr>
            </w:pPr>
          </w:p>
        </w:tc>
        <w:tc>
          <w:tcPr>
            <w:tcW w:w="2060" w:type="dxa"/>
            <w:tcBorders>
              <w:top w:val="nil"/>
              <w:left w:val="nil"/>
              <w:bottom w:val="nil"/>
              <w:right w:val="nil"/>
            </w:tcBorders>
            <w:shd w:val="clear" w:color="auto" w:fill="auto"/>
            <w:noWrap/>
            <w:vAlign w:val="bottom"/>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rsidR="00E35D41" w:rsidRPr="0005019D" w:rsidRDefault="00E35D41" w:rsidP="00E35D41">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noWrap/>
            <w:vAlign w:val="bottom"/>
            <w:hideMark/>
          </w:tcPr>
          <w:p w:rsidR="00E35D41" w:rsidRPr="0005019D" w:rsidRDefault="00E35D41" w:rsidP="00E35D41">
            <w:pPr>
              <w:spacing w:after="0" w:line="240" w:lineRule="auto"/>
              <w:rPr>
                <w:rFonts w:ascii="Times New Roman" w:eastAsia="Times New Roman" w:hAnsi="Times New Roman" w:cs="Times New Roman"/>
                <w:sz w:val="20"/>
                <w:szCs w:val="20"/>
              </w:rPr>
            </w:pPr>
          </w:p>
        </w:tc>
      </w:tr>
      <w:tr w:rsidR="00E35D41" w:rsidRPr="0005019D" w:rsidTr="00E35D41">
        <w:trPr>
          <w:divId w:val="389379063"/>
          <w:trHeight w:val="43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lastRenderedPageBreak/>
              <w:t>BIENES INMUEBLES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IMPORTE</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DEPRECIACIÓN DEL EJERCICIO</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DEPRECICIACIÓN ACUMULADA</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TERRENOS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3,899,188,813.71</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VIVIENDAS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6,865,954.49</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621.32</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4,142.08</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EDIFICIOS NO HABITACIONALES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1,696,853,671.95</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26,354,441.18</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1,259,373,833.52</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INFRAESTRUCTURA</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66,320,664.92</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5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CONSTRUCCIONES EN PROCESO EN BIENES DE DOMINIO PÚBLICO</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2,692,622,588.69</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70"/>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CONSTRUCCIONES EN PROCESO EN BIENES PROPIOS</w:t>
            </w:r>
          </w:p>
        </w:tc>
        <w:tc>
          <w:tcPr>
            <w:tcW w:w="206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0.30</w:t>
            </w:r>
          </w:p>
        </w:tc>
        <w:tc>
          <w:tcPr>
            <w:tcW w:w="182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35D41" w:rsidRPr="0005019D" w:rsidTr="00E35D41">
        <w:trPr>
          <w:divId w:val="389379063"/>
          <w:trHeight w:val="285"/>
        </w:trPr>
        <w:tc>
          <w:tcPr>
            <w:tcW w:w="5140" w:type="dxa"/>
            <w:tcBorders>
              <w:top w:val="nil"/>
              <w:left w:val="nil"/>
              <w:bottom w:val="nil"/>
              <w:right w:val="nil"/>
            </w:tcBorders>
            <w:shd w:val="clear" w:color="auto" w:fill="auto"/>
            <w:noWrap/>
            <w:vAlign w:val="center"/>
            <w:hideMark/>
          </w:tcPr>
          <w:p w:rsidR="00E35D41" w:rsidRPr="0005019D" w:rsidRDefault="00E35D41" w:rsidP="00E35D41">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TOTAL</w:t>
            </w:r>
          </w:p>
        </w:tc>
        <w:tc>
          <w:tcPr>
            <w:tcW w:w="2060" w:type="dxa"/>
            <w:tcBorders>
              <w:top w:val="single" w:sz="12" w:space="0" w:color="000000"/>
              <w:left w:val="nil"/>
              <w:bottom w:val="single" w:sz="12" w:space="0" w:color="000000"/>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8,361,851,694.06</w:t>
            </w:r>
          </w:p>
        </w:tc>
        <w:tc>
          <w:tcPr>
            <w:tcW w:w="1820" w:type="dxa"/>
            <w:tcBorders>
              <w:top w:val="single" w:sz="12" w:space="0" w:color="000000"/>
              <w:left w:val="nil"/>
              <w:bottom w:val="single" w:sz="12" w:space="0" w:color="000000"/>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26,355,062.50</w:t>
            </w:r>
          </w:p>
        </w:tc>
        <w:tc>
          <w:tcPr>
            <w:tcW w:w="2580" w:type="dxa"/>
            <w:tcBorders>
              <w:top w:val="single" w:sz="12" w:space="0" w:color="000000"/>
              <w:left w:val="nil"/>
              <w:bottom w:val="single" w:sz="12" w:space="0" w:color="000000"/>
              <w:right w:val="nil"/>
            </w:tcBorders>
            <w:shd w:val="clear" w:color="auto" w:fill="auto"/>
            <w:vAlign w:val="center"/>
            <w:hideMark/>
          </w:tcPr>
          <w:p w:rsidR="00E35D41" w:rsidRPr="0005019D" w:rsidRDefault="00E35D41" w:rsidP="00E35D41">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1,259,377,975.60</w:t>
            </w:r>
          </w:p>
        </w:tc>
      </w:tr>
    </w:tbl>
    <w:p w:rsidR="005E0E9D" w:rsidRPr="0005019D" w:rsidRDefault="005E0E9D">
      <w:pPr>
        <w:divId w:val="1405570172"/>
        <w:rPr>
          <w:rFonts w:ascii="Barlow" w:eastAsia="Times New Roman" w:hAnsi="Barlow"/>
          <w:sz w:val="20"/>
          <w:szCs w:val="20"/>
        </w:rPr>
      </w:pPr>
    </w:p>
    <w:p w:rsidR="005E0E9D" w:rsidRPr="0005019D" w:rsidRDefault="00E35EF3">
      <w:pPr>
        <w:divId w:val="1120955586"/>
        <w:rPr>
          <w:rFonts w:ascii="Barlow" w:eastAsia="Times New Roman" w:hAnsi="Barlow"/>
          <w:sz w:val="20"/>
          <w:szCs w:val="20"/>
        </w:rPr>
      </w:pPr>
      <w:r w:rsidRPr="0005019D">
        <w:rPr>
          <w:rFonts w:ascii="Barlow" w:eastAsia="Times New Roman" w:hAnsi="Barlow"/>
          <w:sz w:val="20"/>
          <w:szCs w:val="20"/>
        </w:rPr>
        <w:t xml:space="preserve">Los saldos registrados en el rubro de Bienes Muebles e Inmuebles, representan el monto de la inversión realizada por el Poder Ejecutivo en Propiedades, Mobiliario y Equipo, para el desempeño de sus actividades administrativas, así como para la prestación de bienes y servicios a los habitantes del Estado de Yucatán. </w:t>
      </w:r>
    </w:p>
    <w:p w:rsidR="005E0E9D" w:rsidRPr="0005019D" w:rsidRDefault="005E0E9D">
      <w:pPr>
        <w:divId w:val="2135705952"/>
        <w:rPr>
          <w:rFonts w:ascii="Barlow" w:eastAsia="Times New Roman" w:hAnsi="Barlow"/>
          <w:sz w:val="20"/>
          <w:szCs w:val="20"/>
        </w:rPr>
      </w:pPr>
    </w:p>
    <w:p w:rsidR="005E0E9D" w:rsidRPr="0005019D" w:rsidRDefault="00E35EF3">
      <w:pPr>
        <w:divId w:val="2102868618"/>
        <w:rPr>
          <w:rFonts w:ascii="Barlow" w:eastAsia="Times New Roman" w:hAnsi="Barlow"/>
          <w:sz w:val="20"/>
          <w:szCs w:val="20"/>
        </w:rPr>
      </w:pPr>
      <w:r w:rsidRPr="0005019D">
        <w:rPr>
          <w:rFonts w:ascii="Barlow" w:eastAsia="Times New Roman" w:hAnsi="Barlow"/>
          <w:sz w:val="20"/>
          <w:szCs w:val="20"/>
        </w:rPr>
        <w:t>Respecto a la depreciación se indica lo siguiente:</w:t>
      </w:r>
    </w:p>
    <w:p w:rsidR="005E0E9D" w:rsidRPr="0005019D" w:rsidRDefault="00E35EF3">
      <w:pPr>
        <w:divId w:val="1597445928"/>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Para el c</w:t>
      </w:r>
      <w:r w:rsidRPr="0005019D">
        <w:rPr>
          <w:rFonts w:ascii="Barlow" w:eastAsia="Times New Roman" w:hAnsi="Barlow" w:cs="Barlow"/>
          <w:sz w:val="20"/>
          <w:szCs w:val="20"/>
        </w:rPr>
        <w:t>á</w:t>
      </w:r>
      <w:r w:rsidRPr="0005019D">
        <w:rPr>
          <w:rFonts w:ascii="Barlow" w:eastAsia="Times New Roman" w:hAnsi="Barlow"/>
          <w:sz w:val="20"/>
          <w:szCs w:val="20"/>
        </w:rPr>
        <w:t>lculo de la depreciaci</w:t>
      </w:r>
      <w:r w:rsidRPr="0005019D">
        <w:rPr>
          <w:rFonts w:ascii="Barlow" w:eastAsia="Times New Roman" w:hAnsi="Barlow" w:cs="Barlow"/>
          <w:sz w:val="20"/>
          <w:szCs w:val="20"/>
        </w:rPr>
        <w:t>ó</w:t>
      </w:r>
      <w:r w:rsidRPr="0005019D">
        <w:rPr>
          <w:rFonts w:ascii="Barlow" w:eastAsia="Times New Roman" w:hAnsi="Barlow"/>
          <w:sz w:val="20"/>
          <w:szCs w:val="20"/>
        </w:rPr>
        <w:t>n se utiliza el m</w:t>
      </w:r>
      <w:r w:rsidRPr="0005019D">
        <w:rPr>
          <w:rFonts w:ascii="Barlow" w:eastAsia="Times New Roman" w:hAnsi="Barlow" w:cs="Barlow"/>
          <w:sz w:val="20"/>
          <w:szCs w:val="20"/>
        </w:rPr>
        <w:t>é</w:t>
      </w:r>
      <w:r w:rsidRPr="0005019D">
        <w:rPr>
          <w:rFonts w:ascii="Barlow" w:eastAsia="Times New Roman" w:hAnsi="Barlow"/>
          <w:sz w:val="20"/>
          <w:szCs w:val="20"/>
        </w:rPr>
        <w:t>todo establecido por el CONAC mediante las Reglas Espec</w:t>
      </w:r>
      <w:r w:rsidRPr="0005019D">
        <w:rPr>
          <w:rFonts w:ascii="Barlow" w:eastAsia="Times New Roman" w:hAnsi="Barlow" w:cs="Barlow"/>
          <w:sz w:val="20"/>
          <w:szCs w:val="20"/>
        </w:rPr>
        <w:t>í</w:t>
      </w:r>
      <w:r w:rsidRPr="0005019D">
        <w:rPr>
          <w:rFonts w:ascii="Barlow" w:eastAsia="Times New Roman" w:hAnsi="Barlow"/>
          <w:sz w:val="20"/>
          <w:szCs w:val="20"/>
        </w:rPr>
        <w:t>ficas del Registro y Valoraci</w:t>
      </w:r>
      <w:r w:rsidRPr="0005019D">
        <w:rPr>
          <w:rFonts w:ascii="Barlow" w:eastAsia="Times New Roman" w:hAnsi="Barlow" w:cs="Barlow"/>
          <w:sz w:val="20"/>
          <w:szCs w:val="20"/>
        </w:rPr>
        <w:t>ó</w:t>
      </w:r>
      <w:r w:rsidRPr="0005019D">
        <w:rPr>
          <w:rFonts w:ascii="Barlow" w:eastAsia="Times New Roman" w:hAnsi="Barlow"/>
          <w:sz w:val="20"/>
          <w:szCs w:val="20"/>
        </w:rPr>
        <w:t>n del Activo.</w:t>
      </w:r>
    </w:p>
    <w:p w:rsidR="005E0E9D" w:rsidRPr="0005019D" w:rsidRDefault="00E35EF3">
      <w:pPr>
        <w:divId w:val="1433280958"/>
        <w:rPr>
          <w:rFonts w:ascii="Barlow" w:eastAsia="Times New Roman" w:hAnsi="Barlow"/>
          <w:sz w:val="20"/>
          <w:szCs w:val="20"/>
        </w:rPr>
      </w:pPr>
      <w:r w:rsidRPr="0005019D">
        <w:rPr>
          <w:rFonts w:ascii="Barlow" w:eastAsia="Times New Roman" w:hAnsi="Barlow"/>
          <w:sz w:val="20"/>
          <w:szCs w:val="20"/>
        </w:rPr>
        <w:t>9.- El saldo en Bienes Intangibles y diferidos se integra como sigue:</w:t>
      </w:r>
    </w:p>
    <w:tbl>
      <w:tblPr>
        <w:tblW w:w="11600" w:type="dxa"/>
        <w:tblCellMar>
          <w:left w:w="70" w:type="dxa"/>
          <w:right w:w="70" w:type="dxa"/>
        </w:tblCellMar>
        <w:tblLook w:val="04A0" w:firstRow="1" w:lastRow="0" w:firstColumn="1" w:lastColumn="0" w:noHBand="0" w:noVBand="1"/>
      </w:tblPr>
      <w:tblGrid>
        <w:gridCol w:w="5140"/>
        <w:gridCol w:w="2060"/>
        <w:gridCol w:w="1820"/>
        <w:gridCol w:w="2580"/>
      </w:tblGrid>
      <w:tr w:rsidR="00EE4A98" w:rsidRPr="0005019D" w:rsidTr="00EE4A98">
        <w:trPr>
          <w:trHeight w:val="480"/>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ACTIVOS INTANGIBLES Y DIFERIDOS</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IMPORTE</w:t>
            </w: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DEPRECIACIÓN DLE EJERCICIO</w:t>
            </w: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center"/>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DEPRECIACIÓN ACUMULADA</w:t>
            </w:r>
          </w:p>
        </w:tc>
      </w:tr>
      <w:tr w:rsidR="00EE4A98" w:rsidRPr="0005019D" w:rsidTr="00EE4A98">
        <w:trPr>
          <w:trHeight w:val="300"/>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ACTIVOS INTANGIBLES</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r>
      <w:tr w:rsidR="00EE4A98" w:rsidRPr="0005019D" w:rsidTr="00EE4A98">
        <w:trPr>
          <w:trHeight w:val="255"/>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SOFTWARE</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46,272,293.19</w:t>
            </w: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435,114.05</w:t>
            </w: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67,034,171.53</w:t>
            </w:r>
          </w:p>
        </w:tc>
      </w:tr>
      <w:tr w:rsidR="00EE4A98" w:rsidRPr="0005019D" w:rsidTr="00EE4A98">
        <w:trPr>
          <w:trHeight w:val="300"/>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LICENCIAS</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r>
      <w:tr w:rsidR="00EE4A98" w:rsidRPr="0005019D" w:rsidTr="00EE4A98">
        <w:trPr>
          <w:trHeight w:val="255"/>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LICENCIAS INFORMATICAS E INTELECTULES</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153,726,746.42</w:t>
            </w: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2,379,287.80</w:t>
            </w: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146,334,818.12</w:t>
            </w:r>
          </w:p>
        </w:tc>
      </w:tr>
      <w:tr w:rsidR="00EE4A98" w:rsidRPr="0005019D" w:rsidTr="00EE4A98">
        <w:trPr>
          <w:trHeight w:val="300"/>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ACTIVOS DIFERIDOS</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Times New Roman" w:eastAsia="Times New Roman" w:hAnsi="Times New Roman" w:cs="Times New Roman"/>
                <w:sz w:val="20"/>
                <w:szCs w:val="20"/>
              </w:rPr>
            </w:pPr>
          </w:p>
        </w:tc>
      </w:tr>
      <w:tr w:rsidR="00EE4A98" w:rsidRPr="0005019D" w:rsidTr="00EE4A98">
        <w:trPr>
          <w:trHeight w:val="255"/>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color w:val="000000"/>
                <w:sz w:val="18"/>
                <w:szCs w:val="18"/>
              </w:rPr>
            </w:pPr>
            <w:r w:rsidRPr="0005019D">
              <w:rPr>
                <w:rFonts w:ascii="Barlow" w:eastAsia="Times New Roman" w:hAnsi="Barlow" w:cs="Arial"/>
                <w:color w:val="000000"/>
                <w:sz w:val="18"/>
                <w:szCs w:val="18"/>
              </w:rPr>
              <w:t>GASTOS PAGADOS POR ADELANTADO A LARGO PLAZO</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1,808,855.07</w:t>
            </w: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color w:val="000000"/>
                <w:sz w:val="18"/>
                <w:szCs w:val="18"/>
              </w:rPr>
            </w:pPr>
            <w:r w:rsidRPr="0005019D">
              <w:rPr>
                <w:rFonts w:ascii="Barlow" w:eastAsia="Times New Roman" w:hAnsi="Barlow" w:cs="Arial"/>
                <w:color w:val="000000"/>
                <w:sz w:val="18"/>
                <w:szCs w:val="18"/>
              </w:rPr>
              <w:t>0.00</w:t>
            </w:r>
          </w:p>
        </w:tc>
      </w:tr>
      <w:tr w:rsidR="00EE4A98" w:rsidRPr="0005019D" w:rsidTr="00EE4A98">
        <w:trPr>
          <w:trHeight w:val="255"/>
        </w:trPr>
        <w:tc>
          <w:tcPr>
            <w:tcW w:w="514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TOTAL</w:t>
            </w:r>
          </w:p>
        </w:tc>
        <w:tc>
          <w:tcPr>
            <w:tcW w:w="206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201,807,894.68</w:t>
            </w:r>
          </w:p>
        </w:tc>
        <w:tc>
          <w:tcPr>
            <w:tcW w:w="182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2,814,401.85</w:t>
            </w:r>
          </w:p>
        </w:tc>
        <w:tc>
          <w:tcPr>
            <w:tcW w:w="2580" w:type="dxa"/>
            <w:tcBorders>
              <w:top w:val="nil"/>
              <w:left w:val="nil"/>
              <w:bottom w:val="nil"/>
              <w:right w:val="nil"/>
            </w:tcBorders>
            <w:shd w:val="clear" w:color="auto" w:fill="auto"/>
            <w:vAlign w:val="center"/>
            <w:hideMark/>
          </w:tcPr>
          <w:p w:rsidR="00EE4A98" w:rsidRPr="0005019D" w:rsidRDefault="00EE4A98" w:rsidP="00EE4A98">
            <w:pPr>
              <w:spacing w:after="0" w:line="240" w:lineRule="auto"/>
              <w:jc w:val="right"/>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213,368,989.65</w:t>
            </w:r>
          </w:p>
        </w:tc>
      </w:tr>
    </w:tbl>
    <w:p w:rsidR="005E0E9D" w:rsidRPr="0005019D" w:rsidRDefault="005E0E9D">
      <w:pPr>
        <w:rPr>
          <w:rFonts w:ascii="Barlow" w:eastAsia="Times New Roman" w:hAnsi="Barlow"/>
          <w:sz w:val="20"/>
          <w:szCs w:val="20"/>
        </w:rPr>
      </w:pPr>
    </w:p>
    <w:p w:rsidR="00EE4A98" w:rsidRPr="0005019D" w:rsidRDefault="00EE4A98">
      <w:pPr>
        <w:rPr>
          <w:rFonts w:ascii="Barlow" w:eastAsia="Times New Roman" w:hAnsi="Barlow"/>
          <w:sz w:val="20"/>
          <w:szCs w:val="20"/>
        </w:rPr>
      </w:pP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lastRenderedPageBreak/>
        <w:t>Estimaciones y Deterioros</w:t>
      </w: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10.- El Poder Ejecutivo no realizó al 31 de marzo de 2024, la determinación de estimaciones de cuentas incobrables, inversiones deterioro de activos biológicos, etc.</w:t>
      </w: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Otros Activos</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 xml:space="preserve">11.- El Poder Ejecutivo registra en este rubro activo circulante derivado de embargos realizados por la agencia de administración fiscal. </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620"/>
        <w:gridCol w:w="1156"/>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OTROS ACTIVOS CIRCULANTES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BIENES DERIVADOS DE EMBARGOS, DECOMISOS, ASEGURAMIENTOS Y DACIÓN EN PAGO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BIENES INMUEBLES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TERRENOS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2,871,360.00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VIVIENDAS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2,180,679.00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BIENES MUEBLES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MOBILIARIO Y EQUIPO DE ADMINISTRACIÓN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303,540.21</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MOBILIARIO Y EQUIPO EDUCACIONAL Y RECREATIVO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112,353.42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EQUIPO E INSTRUMENTAL MÉDICO Y DE LABORATORIO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2,673.00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VEHÍCULOS Y EQUIPOS DE TRANSPORTE</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96,556.00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MAQUINARIA, OTROS EQUIPOS Y HERRAMIENTAS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24,612.00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5,591,773.63</w:t>
            </w:r>
          </w:p>
        </w:tc>
      </w:tr>
    </w:tbl>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Pasivos</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lastRenderedPageBreak/>
        <w:t>1.- La Cuenta de Proveedores, Retenciones y Deuda Publica se integran como sigue:</w:t>
      </w:r>
    </w:p>
    <w:p w:rsidR="005E0E9D" w:rsidRPr="0005019D" w:rsidRDefault="005E0E9D">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726"/>
        <w:gridCol w:w="2050"/>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PROVEEDORES POR PAGAR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2014</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133,560.04</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2015</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72,790.32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2016</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139,058.58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2017</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144,607.32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2018</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52,454,192.93</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2019</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173,296.12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2020</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693,730.89</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2021</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199,455.42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2022</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1,291,113.39</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2023</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4,706,338.35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EJERCICIO 2024</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227,927,060.59</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287,935,203.95</w:t>
            </w:r>
          </w:p>
        </w:tc>
      </w:tr>
    </w:tbl>
    <w:p w:rsidR="005E0E9D" w:rsidRPr="0005019D" w:rsidRDefault="005E0E9D">
      <w:pPr>
        <w:rPr>
          <w:rFonts w:ascii="Barlow" w:eastAsia="Times New Roman" w:hAnsi="Barlow"/>
          <w:sz w:val="20"/>
          <w:szCs w:val="20"/>
        </w:rPr>
      </w:pPr>
    </w:p>
    <w:p w:rsidR="00423215" w:rsidRPr="0005019D" w:rsidRDefault="00423215">
      <w:pPr>
        <w:rPr>
          <w:rFonts w:ascii="Barlow" w:eastAsia="Times New Roman" w:hAnsi="Barlow"/>
          <w:sz w:val="20"/>
          <w:szCs w:val="20"/>
        </w:rPr>
      </w:pPr>
    </w:p>
    <w:p w:rsidR="00423215" w:rsidRPr="0005019D" w:rsidRDefault="00423215">
      <w:pPr>
        <w:rPr>
          <w:rFonts w:ascii="Barlow" w:eastAsia="Times New Roman" w:hAnsi="Barlow"/>
          <w:sz w:val="20"/>
          <w:szCs w:val="20"/>
        </w:rPr>
      </w:pPr>
    </w:p>
    <w:p w:rsidR="00423215" w:rsidRPr="0005019D" w:rsidRDefault="00423215">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64"/>
        <w:gridCol w:w="1412"/>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RETENCIONES Y CONTRIBUCIONES POR PAGAR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lastRenderedPageBreak/>
              <w:t>RETENCIONES DE IMPUESTOS SOBRE LA RENTA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70,608,845.95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RETENCIONES DIVERSAS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32,024,007.69</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RETENCIONES A FAVOR DEL ISSTEY</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51,834,057.15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CMIC</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776,538.43</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ORGANO TÉCNICO DE FISCALIZACIÓN A LA LEGISLATURA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10,845.71</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INSPECCIÓN Y VIGILANCIA POR CONVENIO DE COLABORACIÓN ADMINISTRATIVA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197,968.25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IMPUESTO ESTATAL SOBRE NÓMINA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429,493.26</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IMPUESTO AL VALOR AGREGADO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8,800.00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155,890,556.44</w:t>
            </w:r>
          </w:p>
        </w:tc>
      </w:tr>
    </w:tbl>
    <w:p w:rsidR="005E0E9D" w:rsidRPr="0005019D" w:rsidRDefault="005E0E9D">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24"/>
        <w:gridCol w:w="1752"/>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PORCIÓN A CORTO PLAZO DE LA DEUDA PÚBLICA INTERNA</w:t>
            </w:r>
          </w:p>
        </w:tc>
        <w:tc>
          <w:tcPr>
            <w:tcW w:w="0" w:type="auto"/>
            <w:vAlign w:val="center"/>
            <w:hideMark/>
          </w:tcPr>
          <w:p w:rsidR="005E0E9D" w:rsidRPr="0005019D" w:rsidRDefault="005E0E9D">
            <w:pPr>
              <w:rPr>
                <w:rFonts w:ascii="Barlow" w:eastAsia="Times New Roman" w:hAnsi="Barlow"/>
                <w:sz w:val="18"/>
                <w:szCs w:val="18"/>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BANAMEX YUCATÁN SEGURO(2019)</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31,866,664.13</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BANOBRAS REFINANCIAMIENTO 2020/C1</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8,519,931.20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BANOBRAS REFINANCIAMIENTO 2020/C2</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12,774,824.22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BANOBRAS REFINANCIAMIENTO 2020/C3</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14,704,082.30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FINANCIAMIENTO BBVA IE-TRAM 2022</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14,004,777.81</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4"/>
                <w:szCs w:val="24"/>
              </w:rPr>
            </w:pPr>
            <w:r w:rsidRPr="0005019D">
              <w:rPr>
                <w:rStyle w:val="Textoennegrita"/>
                <w:rFonts w:ascii="Barlow" w:eastAsia="Times New Roman" w:hAnsi="Barlow"/>
                <w:color w:val="000000"/>
              </w:rPr>
              <w:t>81,870,279.66</w:t>
            </w:r>
          </w:p>
        </w:tc>
      </w:tr>
    </w:tbl>
    <w:p w:rsidR="005E0E9D" w:rsidRPr="0005019D" w:rsidRDefault="005E0E9D">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01"/>
        <w:gridCol w:w="1575"/>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DEUDA PÚBLICA A LARGO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lastRenderedPageBreak/>
              <w:t>PRÉSTAMOS DE LA DEUDA PÚBLICA INTERNA POR PAGAR A LARGO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BANAMEX YUCATAN SEGURO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2,482,598,637.32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BANOBRAS PROFISE</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306,931,762.00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BANOBRAS REFINANCIAMIENTO 2020/C1</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762,735,251.20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BANOBRAS REFINANCIAMIENTO 2020/C2</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1,144,459,934.28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BANOBRAS REFINANCIAMIENTO 2020/C3</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1,316,362,965.04</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EMPRÉSTITOS CON FUENTE DE PAGO PARTICIPACIONES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1,711,054,319.40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7,724,142,869.24</w:t>
            </w:r>
          </w:p>
        </w:tc>
      </w:tr>
    </w:tbl>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El Pasivo Circulante, representa aquellas obligaciones en las que la exigibilidad de pago es menor a un año y lo constituyen las fuentes principales de financiamiento, se incluyen principalmente las cuentas por pagar de operaciones contabilizadas al 31 de marzo de 2024.</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Asimismo, dentro de este rubro se realizó la provisión de las operaciones de pasivo circulante que las Unidades Responsables del Gasto integran al Sistema como parte del gasto al cierre del mes de marzo.</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 xml:space="preserve">En cuanto al rubro de Pasivo no Circulante, este se constituye por las obligaciones del Poder Ejecutivo, cuyo vencimiento será posterior a doce meses, tal es el caso de la cuenta denominada “Deuda Pública a Largo Plazo”. </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2.- En la cuenta de fondos y bienes de terceros en garantía y/o administración a corto plazo, se integra por las cauciones de terceros depositados por las que se emiten recibos oficiales, estas son recuperadas por los terceros en el momento en que la acción jurídica iniciada en su contra haya sido resuelta en su favor y mediante solicitud por parte del beneficiario, generándose la cuenta por pagar respectiva.</w:t>
      </w:r>
    </w:p>
    <w:p w:rsidR="005E0E9D" w:rsidRPr="0005019D" w:rsidRDefault="005E0E9D">
      <w:pPr>
        <w:rPr>
          <w:rFonts w:ascii="Barlow" w:eastAsia="Times New Roman" w:hAnsi="Barlow"/>
          <w:sz w:val="20"/>
          <w:szCs w:val="20"/>
        </w:rPr>
      </w:pPr>
    </w:p>
    <w:p w:rsidR="00423215" w:rsidRPr="0005019D" w:rsidRDefault="00423215">
      <w:pPr>
        <w:rPr>
          <w:rFonts w:ascii="Barlow" w:eastAsia="Times New Roman" w:hAnsi="Barlow"/>
          <w:sz w:val="20"/>
          <w:szCs w:val="20"/>
        </w:rPr>
      </w:pPr>
    </w:p>
    <w:p w:rsidR="00423215" w:rsidRPr="0005019D" w:rsidRDefault="00423215">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448"/>
        <w:gridCol w:w="1328"/>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FONDOS EN GARANTÍA A CORTO PLAZO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lastRenderedPageBreak/>
              <w:t>PODER JUDICIAL DEL ESTADO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209,272.38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MINISTERIO PUBLICO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51,899,219.62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DEP. JUDICIALES REGIMEN ANTERIOR</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9,990,743.12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CONSEJO TUTELAR MENORES INFRACTORES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122,320.71</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AGENCIA DE ADMINISTRACIÓN FISCAL DE YUCATÁN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525,368.93</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VICEFISCALIA ESPECIALIZADA EN COMBATE A LA CORRUPCION DE LA FGE</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2,550.00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62,749,474.76</w:t>
            </w:r>
          </w:p>
        </w:tc>
      </w:tr>
    </w:tbl>
    <w:p w:rsidR="005E0E9D" w:rsidRPr="0005019D" w:rsidRDefault="005E0E9D">
      <w:pPr>
        <w:rPr>
          <w:rFonts w:ascii="Barlow" w:eastAsia="Times New Roman" w:hAnsi="Barlow"/>
          <w:sz w:val="20"/>
          <w:szCs w:val="20"/>
        </w:rPr>
      </w:pPr>
    </w:p>
    <w:tbl>
      <w:tblPr>
        <w:tblW w:w="7797" w:type="dxa"/>
        <w:tblLayout w:type="fixed"/>
        <w:tblCellMar>
          <w:left w:w="70" w:type="dxa"/>
          <w:right w:w="70" w:type="dxa"/>
        </w:tblCellMar>
        <w:tblLook w:val="04A0" w:firstRow="1" w:lastRow="0" w:firstColumn="1" w:lastColumn="0" w:noHBand="0" w:noVBand="1"/>
      </w:tblPr>
      <w:tblGrid>
        <w:gridCol w:w="6096"/>
        <w:gridCol w:w="1701"/>
      </w:tblGrid>
      <w:tr w:rsidR="00FF077C" w:rsidRPr="0005019D" w:rsidTr="00B14866">
        <w:trPr>
          <w:trHeight w:val="300"/>
        </w:trPr>
        <w:tc>
          <w:tcPr>
            <w:tcW w:w="6096" w:type="dxa"/>
            <w:tcBorders>
              <w:top w:val="nil"/>
              <w:left w:val="nil"/>
              <w:bottom w:val="nil"/>
              <w:right w:val="nil"/>
            </w:tcBorders>
            <w:shd w:val="clear" w:color="auto" w:fill="auto"/>
            <w:vAlign w:val="center"/>
            <w:hideMark/>
          </w:tcPr>
          <w:p w:rsidR="00FF077C" w:rsidRPr="0005019D" w:rsidRDefault="00FF077C" w:rsidP="00FF077C">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OTROS PASIVOS A CORTO PLAZO</w:t>
            </w:r>
          </w:p>
        </w:tc>
        <w:tc>
          <w:tcPr>
            <w:tcW w:w="1701" w:type="dxa"/>
            <w:tcBorders>
              <w:top w:val="nil"/>
              <w:left w:val="nil"/>
              <w:bottom w:val="nil"/>
              <w:right w:val="nil"/>
            </w:tcBorders>
            <w:shd w:val="clear" w:color="auto" w:fill="auto"/>
            <w:vAlign w:val="center"/>
            <w:hideMark/>
          </w:tcPr>
          <w:p w:rsidR="00FF077C" w:rsidRPr="0005019D" w:rsidRDefault="00FF077C" w:rsidP="00FF077C">
            <w:pPr>
              <w:spacing w:after="0" w:line="240" w:lineRule="auto"/>
              <w:rPr>
                <w:rFonts w:ascii="Barlow" w:eastAsia="Times New Roman" w:hAnsi="Barlow" w:cs="Arial"/>
                <w:b/>
                <w:bCs/>
                <w:color w:val="000000"/>
                <w:sz w:val="18"/>
                <w:szCs w:val="18"/>
              </w:rPr>
            </w:pPr>
          </w:p>
        </w:tc>
      </w:tr>
      <w:tr w:rsidR="00FF077C" w:rsidRPr="0005019D" w:rsidTr="00B14866">
        <w:trPr>
          <w:trHeight w:val="285"/>
        </w:trPr>
        <w:tc>
          <w:tcPr>
            <w:tcW w:w="6096" w:type="dxa"/>
            <w:tcBorders>
              <w:top w:val="nil"/>
              <w:left w:val="nil"/>
              <w:bottom w:val="nil"/>
              <w:right w:val="nil"/>
            </w:tcBorders>
            <w:shd w:val="clear" w:color="auto" w:fill="auto"/>
            <w:vAlign w:val="center"/>
            <w:hideMark/>
          </w:tcPr>
          <w:p w:rsidR="00FF077C" w:rsidRPr="0005019D" w:rsidRDefault="00FF077C" w:rsidP="00FF077C">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Ingresos por Clasificar</w:t>
            </w:r>
          </w:p>
        </w:tc>
        <w:tc>
          <w:tcPr>
            <w:tcW w:w="1701" w:type="dxa"/>
            <w:tcBorders>
              <w:top w:val="nil"/>
              <w:left w:val="nil"/>
              <w:bottom w:val="nil"/>
              <w:right w:val="nil"/>
            </w:tcBorders>
            <w:shd w:val="clear" w:color="auto" w:fill="auto"/>
            <w:vAlign w:val="center"/>
            <w:hideMark/>
          </w:tcPr>
          <w:p w:rsidR="00FF077C" w:rsidRPr="0005019D" w:rsidRDefault="00FF077C" w:rsidP="00FF077C">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75,321,071.56</w:t>
            </w:r>
          </w:p>
        </w:tc>
      </w:tr>
      <w:tr w:rsidR="00FF077C" w:rsidRPr="0005019D" w:rsidTr="00B14866">
        <w:trPr>
          <w:trHeight w:val="300"/>
        </w:trPr>
        <w:tc>
          <w:tcPr>
            <w:tcW w:w="6096" w:type="dxa"/>
            <w:tcBorders>
              <w:top w:val="nil"/>
              <w:left w:val="nil"/>
              <w:bottom w:val="nil"/>
              <w:right w:val="nil"/>
            </w:tcBorders>
            <w:shd w:val="clear" w:color="auto" w:fill="auto"/>
            <w:vAlign w:val="center"/>
            <w:hideMark/>
          </w:tcPr>
          <w:p w:rsidR="00FF077C" w:rsidRPr="0005019D" w:rsidRDefault="00FF077C" w:rsidP="00FF077C">
            <w:pPr>
              <w:spacing w:after="0" w:line="240" w:lineRule="auto"/>
              <w:rPr>
                <w:rFonts w:ascii="Barlow" w:eastAsia="Times New Roman" w:hAnsi="Barlow" w:cs="Arial"/>
                <w:b/>
                <w:bCs/>
                <w:color w:val="000000"/>
                <w:sz w:val="18"/>
                <w:szCs w:val="18"/>
              </w:rPr>
            </w:pPr>
            <w:r w:rsidRPr="0005019D">
              <w:rPr>
                <w:rFonts w:ascii="Barlow" w:eastAsia="Times New Roman" w:hAnsi="Barlow" w:cs="Arial"/>
                <w:b/>
                <w:bCs/>
                <w:color w:val="000000"/>
                <w:sz w:val="18"/>
                <w:szCs w:val="18"/>
              </w:rPr>
              <w:t>TOTAL</w:t>
            </w:r>
          </w:p>
        </w:tc>
        <w:tc>
          <w:tcPr>
            <w:tcW w:w="1701" w:type="dxa"/>
            <w:tcBorders>
              <w:top w:val="single" w:sz="12" w:space="0" w:color="000000"/>
              <w:left w:val="nil"/>
              <w:bottom w:val="single" w:sz="12" w:space="0" w:color="000000"/>
              <w:right w:val="nil"/>
            </w:tcBorders>
            <w:shd w:val="clear" w:color="auto" w:fill="auto"/>
            <w:vAlign w:val="center"/>
            <w:hideMark/>
          </w:tcPr>
          <w:p w:rsidR="00FF077C" w:rsidRPr="0005019D" w:rsidRDefault="00FF077C" w:rsidP="00FF077C">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75,321,071.56</w:t>
            </w:r>
          </w:p>
        </w:tc>
      </w:tr>
    </w:tbl>
    <w:p w:rsidR="00FF077C" w:rsidRPr="0005019D" w:rsidRDefault="00FF077C">
      <w:pPr>
        <w:rPr>
          <w:rFonts w:ascii="Barlow" w:eastAsia="Times New Roman" w:hAnsi="Barlow"/>
          <w:sz w:val="20"/>
          <w:szCs w:val="20"/>
        </w:rPr>
      </w:pP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3.- El Poder Ejecutivo no tiene registro de pasivos diferidos de corto o largo plazo.</w:t>
      </w:r>
    </w:p>
    <w:p w:rsidR="005E0E9D" w:rsidRPr="0005019D" w:rsidRDefault="005E0E9D">
      <w:pPr>
        <w:rPr>
          <w:rFonts w:ascii="Barlow" w:eastAsia="Times New Roman" w:hAnsi="Barlow"/>
          <w:sz w:val="20"/>
          <w:szCs w:val="20"/>
        </w:rPr>
      </w:pPr>
    </w:p>
    <w:p w:rsidR="005E0E9D" w:rsidRPr="0005019D" w:rsidRDefault="005E0E9D">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III) NOTAS AL ESTADO DE VARIACIONES EN LA HACIENDA PÚBLICA.</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lastRenderedPageBreak/>
        <w:t>1.- En la cuenta de patrimonio contribuido presenta las siguientes variaciones:</w:t>
      </w:r>
    </w:p>
    <w:p w:rsidR="005E0E9D" w:rsidRPr="0005019D" w:rsidRDefault="005E0E9D">
      <w:pPr>
        <w:rPr>
          <w:rFonts w:ascii="Barlow" w:eastAsia="Times New Roman" w:hAnsi="Barlo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25"/>
        <w:gridCol w:w="2140"/>
        <w:gridCol w:w="1740"/>
        <w:gridCol w:w="2155"/>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HACIENDA PUBLICA/PATRIMONIO CONTRIBUIDO</w:t>
            </w:r>
          </w:p>
        </w:tc>
        <w:tc>
          <w:tcPr>
            <w:tcW w:w="0" w:type="auto"/>
            <w:vAlign w:val="center"/>
            <w:hideMark/>
          </w:tcPr>
          <w:p w:rsidR="005E0E9D" w:rsidRPr="0005019D" w:rsidRDefault="00E35EF3">
            <w:pPr>
              <w:jc w:val="center"/>
              <w:rPr>
                <w:rFonts w:ascii="Times New Roman" w:eastAsia="Times New Roman" w:hAnsi="Times New Roman"/>
                <w:sz w:val="24"/>
                <w:szCs w:val="24"/>
              </w:rPr>
            </w:pPr>
            <w:r w:rsidRPr="0005019D">
              <w:rPr>
                <w:rStyle w:val="Textoennegrita"/>
                <w:rFonts w:ascii="Barlow" w:eastAsia="Times New Roman" w:hAnsi="Barlow"/>
                <w:color w:val="000000"/>
                <w:sz w:val="18"/>
                <w:szCs w:val="18"/>
              </w:rPr>
              <w:t>SALDO INICIAL</w:t>
            </w:r>
          </w:p>
        </w:tc>
        <w:tc>
          <w:tcPr>
            <w:tcW w:w="0" w:type="auto"/>
            <w:vAlign w:val="center"/>
            <w:hideMark/>
          </w:tcPr>
          <w:p w:rsidR="005E0E9D" w:rsidRPr="0005019D" w:rsidRDefault="00E35EF3">
            <w:pPr>
              <w:jc w:val="center"/>
              <w:rPr>
                <w:rFonts w:eastAsia="Times New Roman"/>
              </w:rPr>
            </w:pPr>
            <w:r w:rsidRPr="0005019D">
              <w:rPr>
                <w:rStyle w:val="Textoennegrita"/>
                <w:rFonts w:ascii="Barlow" w:eastAsia="Times New Roman" w:hAnsi="Barlow"/>
                <w:color w:val="000000"/>
                <w:sz w:val="18"/>
                <w:szCs w:val="18"/>
              </w:rPr>
              <w:t>VARIACIONES</w:t>
            </w:r>
          </w:p>
        </w:tc>
        <w:tc>
          <w:tcPr>
            <w:tcW w:w="0" w:type="auto"/>
            <w:vAlign w:val="center"/>
            <w:hideMark/>
          </w:tcPr>
          <w:p w:rsidR="005E0E9D" w:rsidRPr="0005019D" w:rsidRDefault="00E35EF3">
            <w:pPr>
              <w:jc w:val="center"/>
              <w:rPr>
                <w:rFonts w:eastAsia="Times New Roman"/>
              </w:rPr>
            </w:pPr>
            <w:r w:rsidRPr="0005019D">
              <w:rPr>
                <w:rStyle w:val="Textoennegrita"/>
                <w:rFonts w:ascii="Barlow" w:eastAsia="Times New Roman" w:hAnsi="Barlow"/>
                <w:color w:val="000000"/>
                <w:sz w:val="18"/>
                <w:szCs w:val="18"/>
              </w:rPr>
              <w:t>SALDO FINAL</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b/>
                <w:bCs/>
                <w:color w:val="000000"/>
                <w:sz w:val="18"/>
                <w:szCs w:val="18"/>
              </w:rPr>
            </w:pPr>
            <w:r w:rsidRPr="0005019D">
              <w:rPr>
                <w:rFonts w:ascii="Barlow" w:eastAsia="Times New Roman" w:hAnsi="Barlow"/>
                <w:b/>
                <w:bCs/>
                <w:color w:val="000000"/>
                <w:sz w:val="18"/>
                <w:szCs w:val="18"/>
              </w:rPr>
              <w:t>APORTACIONES</w:t>
            </w:r>
          </w:p>
        </w:tc>
        <w:tc>
          <w:tcPr>
            <w:tcW w:w="0" w:type="auto"/>
            <w:vAlign w:val="center"/>
            <w:hideMark/>
          </w:tcPr>
          <w:p w:rsidR="005E0E9D" w:rsidRPr="0005019D" w:rsidRDefault="005E0E9D">
            <w:pPr>
              <w:jc w:val="center"/>
              <w:rPr>
                <w:rFonts w:ascii="Barlow" w:eastAsia="Times New Roman" w:hAnsi="Barlow"/>
                <w:sz w:val="18"/>
                <w:szCs w:val="18"/>
              </w:rPr>
            </w:pPr>
          </w:p>
        </w:tc>
        <w:tc>
          <w:tcPr>
            <w:tcW w:w="0" w:type="auto"/>
            <w:vAlign w:val="center"/>
            <w:hideMark/>
          </w:tcPr>
          <w:p w:rsidR="005E0E9D" w:rsidRPr="0005019D" w:rsidRDefault="005E0E9D">
            <w:pPr>
              <w:jc w:val="center"/>
              <w:rPr>
                <w:rFonts w:ascii="Barlow" w:eastAsia="Times New Roman" w:hAnsi="Barlow"/>
                <w:sz w:val="18"/>
                <w:szCs w:val="18"/>
              </w:rPr>
            </w:pPr>
          </w:p>
        </w:tc>
        <w:tc>
          <w:tcPr>
            <w:tcW w:w="0" w:type="auto"/>
            <w:vAlign w:val="center"/>
            <w:hideMark/>
          </w:tcPr>
          <w:p w:rsidR="005E0E9D" w:rsidRPr="0005019D" w:rsidRDefault="005E0E9D">
            <w:pPr>
              <w:jc w:val="center"/>
              <w:rPr>
                <w:rFonts w:ascii="Barlow" w:eastAsia="Times New Roman" w:hAnsi="Barlow"/>
                <w:sz w:val="18"/>
                <w:szCs w:val="18"/>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PATRIMONIO NO RESTRINGIDO</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790,828,509.67</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790,828,509.67</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b/>
                <w:bCs/>
                <w:color w:val="000000"/>
                <w:sz w:val="18"/>
                <w:szCs w:val="18"/>
              </w:rPr>
            </w:pPr>
            <w:r w:rsidRPr="0005019D">
              <w:rPr>
                <w:rFonts w:ascii="Barlow" w:eastAsia="Times New Roman" w:hAnsi="Barlow"/>
                <w:b/>
                <w:bCs/>
                <w:color w:val="000000"/>
                <w:sz w:val="18"/>
                <w:szCs w:val="18"/>
              </w:rPr>
              <w:t>DONACIONES DE CAPITAL</w:t>
            </w:r>
          </w:p>
        </w:tc>
        <w:tc>
          <w:tcPr>
            <w:tcW w:w="0" w:type="auto"/>
            <w:vAlign w:val="center"/>
            <w:hideMark/>
          </w:tcPr>
          <w:p w:rsidR="005E0E9D" w:rsidRPr="0005019D" w:rsidRDefault="005E0E9D" w:rsidP="00B14866">
            <w:pPr>
              <w:jc w:val="right"/>
              <w:rPr>
                <w:rFonts w:ascii="Barlow" w:eastAsia="Times New Roman" w:hAnsi="Barlow"/>
                <w:sz w:val="18"/>
                <w:szCs w:val="18"/>
              </w:rPr>
            </w:pPr>
          </w:p>
        </w:tc>
        <w:tc>
          <w:tcPr>
            <w:tcW w:w="0" w:type="auto"/>
            <w:vAlign w:val="center"/>
            <w:hideMark/>
          </w:tcPr>
          <w:p w:rsidR="005E0E9D" w:rsidRPr="0005019D" w:rsidRDefault="005E0E9D" w:rsidP="00B14866">
            <w:pPr>
              <w:jc w:val="right"/>
              <w:rPr>
                <w:rFonts w:ascii="Barlow" w:eastAsia="Times New Roman" w:hAnsi="Barlow"/>
                <w:sz w:val="18"/>
                <w:szCs w:val="18"/>
              </w:rPr>
            </w:pPr>
          </w:p>
        </w:tc>
        <w:tc>
          <w:tcPr>
            <w:tcW w:w="0" w:type="auto"/>
            <w:vAlign w:val="center"/>
            <w:hideMark/>
          </w:tcPr>
          <w:p w:rsidR="005E0E9D" w:rsidRPr="0005019D" w:rsidRDefault="005E0E9D" w:rsidP="00B14866">
            <w:pPr>
              <w:jc w:val="right"/>
              <w:rPr>
                <w:rFonts w:ascii="Barlow" w:eastAsia="Times New Roman" w:hAnsi="Barlow"/>
                <w:sz w:val="18"/>
                <w:szCs w:val="18"/>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PATRIMONIO DONADO</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346,628,098.89</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346,628,098.89</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b/>
                <w:bCs/>
                <w:color w:val="000000"/>
                <w:sz w:val="18"/>
                <w:szCs w:val="18"/>
              </w:rPr>
            </w:pPr>
            <w:r w:rsidRPr="0005019D">
              <w:rPr>
                <w:rFonts w:ascii="Barlow" w:eastAsia="Times New Roman" w:hAnsi="Barlow"/>
                <w:b/>
                <w:bCs/>
                <w:color w:val="000000"/>
                <w:sz w:val="18"/>
                <w:szCs w:val="18"/>
              </w:rPr>
              <w:t>ACTUALIZACIÓN DE LA HACIENDA PÚBLICA/PATRIMONIO</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3,312,636,725.85</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3,312,636,725.85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b/>
                <w:bCs/>
                <w:color w:val="000000"/>
                <w:sz w:val="18"/>
                <w:szCs w:val="18"/>
              </w:rPr>
              <w:t>4,450,093,334.41</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b/>
                <w:bCs/>
                <w:color w:val="000000"/>
                <w:sz w:val="18"/>
                <w:szCs w:val="18"/>
              </w:rPr>
              <w:t>0.00</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b/>
                <w:bCs/>
                <w:color w:val="000000"/>
                <w:sz w:val="18"/>
                <w:szCs w:val="18"/>
              </w:rPr>
              <w:t>4,450,093,334.41</w:t>
            </w:r>
          </w:p>
        </w:tc>
      </w:tr>
    </w:tbl>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2.- En la cuenta de patrimonio generado se acumula el resultado de ejercicios anteriores y se integran de la siguiente forma:</w:t>
      </w:r>
    </w:p>
    <w:p w:rsidR="005E0E9D" w:rsidRPr="0005019D" w:rsidRDefault="005E0E9D">
      <w:pPr>
        <w:rPr>
          <w:rFonts w:ascii="Barlow" w:eastAsia="Times New Roman" w:hAnsi="Barlo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14"/>
        <w:gridCol w:w="1949"/>
        <w:gridCol w:w="1900"/>
        <w:gridCol w:w="1997"/>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HACIENDA PUBLICA/PATRIMONIO GENERADO</w:t>
            </w:r>
          </w:p>
        </w:tc>
        <w:tc>
          <w:tcPr>
            <w:tcW w:w="0" w:type="auto"/>
            <w:vAlign w:val="center"/>
            <w:hideMark/>
          </w:tcPr>
          <w:p w:rsidR="005E0E9D" w:rsidRPr="0005019D" w:rsidRDefault="00E35EF3">
            <w:pPr>
              <w:jc w:val="center"/>
              <w:rPr>
                <w:rFonts w:ascii="Times New Roman" w:eastAsia="Times New Roman" w:hAnsi="Times New Roman"/>
                <w:sz w:val="24"/>
                <w:szCs w:val="24"/>
              </w:rPr>
            </w:pPr>
            <w:r w:rsidRPr="0005019D">
              <w:rPr>
                <w:rStyle w:val="Textoennegrita"/>
                <w:rFonts w:ascii="Barlow" w:eastAsia="Times New Roman" w:hAnsi="Barlow"/>
                <w:color w:val="000000"/>
                <w:sz w:val="18"/>
                <w:szCs w:val="18"/>
              </w:rPr>
              <w:t>SALDO INICIAL</w:t>
            </w:r>
          </w:p>
        </w:tc>
        <w:tc>
          <w:tcPr>
            <w:tcW w:w="0" w:type="auto"/>
            <w:vAlign w:val="center"/>
            <w:hideMark/>
          </w:tcPr>
          <w:p w:rsidR="005E0E9D" w:rsidRPr="0005019D" w:rsidRDefault="00E35EF3">
            <w:pPr>
              <w:jc w:val="center"/>
              <w:rPr>
                <w:rFonts w:eastAsia="Times New Roman"/>
              </w:rPr>
            </w:pPr>
            <w:r w:rsidRPr="0005019D">
              <w:rPr>
                <w:rStyle w:val="Textoennegrita"/>
                <w:rFonts w:ascii="Barlow" w:eastAsia="Times New Roman" w:hAnsi="Barlow"/>
                <w:color w:val="000000"/>
                <w:sz w:val="18"/>
                <w:szCs w:val="18"/>
              </w:rPr>
              <w:t>VARIACIONES</w:t>
            </w:r>
          </w:p>
        </w:tc>
        <w:tc>
          <w:tcPr>
            <w:tcW w:w="0" w:type="auto"/>
            <w:vAlign w:val="center"/>
            <w:hideMark/>
          </w:tcPr>
          <w:p w:rsidR="005E0E9D" w:rsidRPr="0005019D" w:rsidRDefault="00E35EF3">
            <w:pPr>
              <w:jc w:val="center"/>
              <w:rPr>
                <w:rFonts w:eastAsia="Times New Roman"/>
              </w:rPr>
            </w:pPr>
            <w:r w:rsidRPr="0005019D">
              <w:rPr>
                <w:rStyle w:val="Textoennegrita"/>
                <w:rFonts w:ascii="Barlow" w:eastAsia="Times New Roman" w:hAnsi="Barlow"/>
                <w:color w:val="000000"/>
                <w:sz w:val="18"/>
                <w:szCs w:val="18"/>
              </w:rPr>
              <w:t>SALDO FINAL</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RESULTADOS DE EJERCICIOS ANTERIORES</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1,188,975,218.50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1,188,975,218.50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REVALÚOS</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2,895,758,532.75</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0.00</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2,895,758,532.75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RECTIFICACIONES DE RESULTADOS DE EJERCICIOS ANTERIORES</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-2,432,867,687.55</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231,618,682.47</w:t>
            </w:r>
          </w:p>
        </w:tc>
        <w:tc>
          <w:tcPr>
            <w:tcW w:w="0" w:type="auto"/>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color w:val="000000"/>
                <w:sz w:val="18"/>
                <w:szCs w:val="18"/>
              </w:rPr>
              <w:t>-2,201,249,005.08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b/>
                <w:bCs/>
                <w:color w:val="000000"/>
                <w:sz w:val="18"/>
                <w:szCs w:val="18"/>
              </w:rPr>
              <w:t>462,890,845.20</w:t>
            </w:r>
          </w:p>
        </w:tc>
        <w:tc>
          <w:tcPr>
            <w:tcW w:w="0" w:type="auto"/>
            <w:tcBorders>
              <w:top w:val="single" w:sz="12" w:space="0" w:color="000000"/>
              <w:bottom w:val="single" w:sz="12" w:space="0" w:color="000000"/>
            </w:tcBorders>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b/>
                <w:bCs/>
                <w:color w:val="000000"/>
                <w:sz w:val="18"/>
                <w:szCs w:val="18"/>
              </w:rPr>
              <w:t>1,420,593,900.97</w:t>
            </w:r>
          </w:p>
        </w:tc>
        <w:tc>
          <w:tcPr>
            <w:tcW w:w="0" w:type="auto"/>
            <w:tcBorders>
              <w:top w:val="single" w:sz="12" w:space="0" w:color="000000"/>
              <w:bottom w:val="single" w:sz="12" w:space="0" w:color="000000"/>
            </w:tcBorders>
            <w:vAlign w:val="center"/>
            <w:hideMark/>
          </w:tcPr>
          <w:p w:rsidR="005E0E9D" w:rsidRPr="0005019D" w:rsidRDefault="00E35EF3" w:rsidP="00B14866">
            <w:pPr>
              <w:jc w:val="right"/>
              <w:rPr>
                <w:rFonts w:ascii="Barlow" w:eastAsia="Times New Roman" w:hAnsi="Barlow"/>
                <w:sz w:val="18"/>
                <w:szCs w:val="18"/>
              </w:rPr>
            </w:pPr>
            <w:r w:rsidRPr="0005019D">
              <w:rPr>
                <w:rFonts w:ascii="Barlow" w:eastAsia="Times New Roman" w:hAnsi="Barlow"/>
                <w:b/>
                <w:bCs/>
                <w:color w:val="000000"/>
                <w:sz w:val="18"/>
                <w:szCs w:val="18"/>
              </w:rPr>
              <w:t>1,883,484,746.17</w:t>
            </w:r>
          </w:p>
        </w:tc>
      </w:tr>
    </w:tbl>
    <w:p w:rsidR="005E0E9D" w:rsidRPr="0005019D" w:rsidRDefault="005E0E9D">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B14866" w:rsidRPr="0005019D" w:rsidRDefault="00B14866">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Dentro de la cuenta de Hacienda pública/patrimonio generado se acumulan los resultados de ejercicios anteriores y se integran de la siguiente forma:</w:t>
      </w:r>
    </w:p>
    <w:p w:rsidR="005E0E9D" w:rsidRPr="0005019D" w:rsidRDefault="005E0E9D">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731"/>
        <w:gridCol w:w="2045"/>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RESULTADOS DE EJERCICIOS ANTERIORES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RESULTADO DEL EJERCICIO 2000 Y ANTERIORES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-231,164,966.76</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RESULTADO DEL EJERCICIO ADMON 2001-2007</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614,663,307.26</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RESULTADO DEL EJERCICIO ADMON. 2007-2012</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-1,808,717,174.47</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RESULTADO DEL EJERCICIO ADMON. 2012-2018</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3,283,904,066.24</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RESULTADO DEL EJERCICIO ADMON. 2018-2024</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-669,710,013.77</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1,188,975,218.50</w:t>
            </w:r>
          </w:p>
        </w:tc>
      </w:tr>
    </w:tbl>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IV) NOTAS AL ESTADO DE FLUJO DE EFECTIVO</w:t>
      </w: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1.- Al Final del Ejercicio del Estado de Flujos de Efectivo, respecto a la composición del rubro de Efectivo y Equivalentes es como sigue:</w:t>
      </w:r>
    </w:p>
    <w:p w:rsidR="005E0E9D" w:rsidRPr="0005019D" w:rsidRDefault="005E0E9D">
      <w:pPr>
        <w:rPr>
          <w:rFonts w:ascii="Barlow" w:eastAsia="Times New Roman" w:hAnsi="Barlow"/>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20"/>
        <w:gridCol w:w="2358"/>
        <w:gridCol w:w="2366"/>
      </w:tblGrid>
      <w:tr w:rsidR="005E0E9D" w:rsidRPr="0005019D">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center"/>
              <w:rPr>
                <w:rFonts w:ascii="Times New Roman" w:eastAsia="Times New Roman" w:hAnsi="Times New Roman"/>
                <w:sz w:val="20"/>
                <w:szCs w:val="20"/>
              </w:rPr>
            </w:pPr>
            <w:r w:rsidRPr="0005019D">
              <w:rPr>
                <w:rStyle w:val="Textoennegrita"/>
                <w:rFonts w:ascii="Barlow" w:eastAsia="Times New Roman" w:hAnsi="Barlow"/>
                <w:sz w:val="20"/>
                <w:szCs w:val="20"/>
              </w:rPr>
              <w:t>Efectivo y Equivalentes</w:t>
            </w:r>
          </w:p>
        </w:tc>
      </w:tr>
      <w:tr w:rsidR="005E0E9D" w:rsidRPr="0005019D">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sz w:val="20"/>
                <w:szCs w:val="20"/>
              </w:rPr>
              <w:t>Concepto</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sz w:val="20"/>
                <w:szCs w:val="20"/>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sz w:val="20"/>
                <w:szCs w:val="20"/>
              </w:rPr>
              <w:t>2023</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Efectivo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$142,167,238.68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$46,417,286.99</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Bancos/Tesorería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$2,566,493,388.03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$1,851,192,183.49</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Bancos/Dependencias Y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$0.00</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Inversiones Temporales (Hasta 3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$373,667,779.70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$226,741.65</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Fondos Con Afectación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$185,617,661.19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$180,418,925.76</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lastRenderedPageBreak/>
              <w:t>Depósitos De Fondos De Terceros En Garantía Y/O Administración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$37,904,550.89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$1,174,076.80</w:t>
            </w:r>
          </w:p>
        </w:tc>
      </w:tr>
      <w:tr w:rsidR="005E0E9D" w:rsidRPr="0005019D">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both"/>
              <w:rPr>
                <w:rFonts w:eastAsia="Times New Roman"/>
                <w:sz w:val="20"/>
                <w:szCs w:val="20"/>
              </w:rPr>
            </w:pPr>
            <w:r w:rsidRPr="0005019D">
              <w:rPr>
                <w:rFonts w:ascii="Barlow" w:eastAsia="Times New Roman" w:hAnsi="Barlow"/>
                <w:sz w:val="20"/>
                <w:szCs w:val="20"/>
              </w:rPr>
              <w:t>Otros Efectivos Y Equivalentes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0E9D" w:rsidRPr="0005019D" w:rsidRDefault="00E35EF3">
            <w:pPr>
              <w:jc w:val="right"/>
              <w:rPr>
                <w:rFonts w:eastAsia="Times New Roman"/>
                <w:sz w:val="20"/>
                <w:szCs w:val="20"/>
              </w:rPr>
            </w:pPr>
            <w:r w:rsidRPr="0005019D">
              <w:rPr>
                <w:rFonts w:ascii="Barlow" w:eastAsia="Times New Roman" w:hAnsi="Barlow"/>
                <w:sz w:val="20"/>
                <w:szCs w:val="20"/>
              </w:rPr>
              <w:t>$0.00</w:t>
            </w:r>
          </w:p>
        </w:tc>
      </w:tr>
      <w:tr w:rsidR="005E0E9D" w:rsidRPr="0005019D">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center"/>
              <w:rPr>
                <w:rFonts w:eastAsia="Times New Roman"/>
                <w:sz w:val="20"/>
                <w:szCs w:val="20"/>
              </w:rPr>
            </w:pPr>
            <w:r w:rsidRPr="0005019D">
              <w:rPr>
                <w:rStyle w:val="Textoennegrita"/>
                <w:rFonts w:ascii="Barlow" w:eastAsia="Times New Roman" w:hAnsi="Barlow"/>
                <w:sz w:val="20"/>
                <w:szCs w:val="2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right"/>
              <w:rPr>
                <w:rFonts w:eastAsia="Times New Roman"/>
                <w:sz w:val="20"/>
                <w:szCs w:val="20"/>
              </w:rPr>
            </w:pPr>
            <w:r w:rsidRPr="0005019D">
              <w:rPr>
                <w:rStyle w:val="Textoennegrita"/>
                <w:rFonts w:ascii="Barlow" w:eastAsia="Times New Roman" w:hAnsi="Barlow"/>
                <w:sz w:val="20"/>
                <w:szCs w:val="20"/>
              </w:rPr>
              <w:t>$3,305,850,618.49</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5E0E9D" w:rsidRPr="0005019D" w:rsidRDefault="00E35EF3">
            <w:pPr>
              <w:jc w:val="right"/>
              <w:rPr>
                <w:rFonts w:eastAsia="Times New Roman"/>
                <w:sz w:val="20"/>
                <w:szCs w:val="20"/>
              </w:rPr>
            </w:pPr>
            <w:r w:rsidRPr="0005019D">
              <w:rPr>
                <w:rStyle w:val="Textoennegrita"/>
                <w:rFonts w:ascii="Barlow" w:eastAsia="Times New Roman" w:hAnsi="Barlow"/>
                <w:sz w:val="20"/>
                <w:szCs w:val="20"/>
              </w:rPr>
              <w:t>$2,079,429,214.69</w:t>
            </w:r>
          </w:p>
        </w:tc>
      </w:tr>
    </w:tbl>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2. Se detallan las adquisiciones de las Actividades de Inversión efectivamente pagadas, respecto del apartado de aplicación.</w:t>
      </w:r>
    </w:p>
    <w:tbl>
      <w:tblPr>
        <w:tblW w:w="12950" w:type="dxa"/>
        <w:tblInd w:w="-10" w:type="dxa"/>
        <w:tblCellMar>
          <w:left w:w="70" w:type="dxa"/>
          <w:right w:w="70" w:type="dxa"/>
        </w:tblCellMar>
        <w:tblLook w:val="04A0" w:firstRow="1" w:lastRow="0" w:firstColumn="1" w:lastColumn="0" w:noHBand="0" w:noVBand="1"/>
      </w:tblPr>
      <w:tblGrid>
        <w:gridCol w:w="8212"/>
        <w:gridCol w:w="2420"/>
        <w:gridCol w:w="2318"/>
      </w:tblGrid>
      <w:tr w:rsidR="00FC5C5B" w:rsidRPr="0005019D" w:rsidTr="00FC5C5B">
        <w:trPr>
          <w:trHeight w:val="285"/>
        </w:trPr>
        <w:tc>
          <w:tcPr>
            <w:tcW w:w="1295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C5C5B" w:rsidRPr="0005019D" w:rsidRDefault="00FC5C5B" w:rsidP="00FC5C5B">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Adquisiciones de Actividades de Inversión efectivamente pagadas</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000000" w:fill="D9D9D9"/>
            <w:noWrap/>
            <w:vAlign w:val="center"/>
            <w:hideMark/>
          </w:tcPr>
          <w:p w:rsidR="00FC5C5B" w:rsidRPr="0005019D" w:rsidRDefault="00FC5C5B" w:rsidP="00FC5C5B">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Concepto</w:t>
            </w:r>
          </w:p>
        </w:tc>
        <w:tc>
          <w:tcPr>
            <w:tcW w:w="2420" w:type="dxa"/>
            <w:tcBorders>
              <w:top w:val="nil"/>
              <w:left w:val="nil"/>
              <w:bottom w:val="single" w:sz="8" w:space="0" w:color="auto"/>
              <w:right w:val="single" w:sz="8" w:space="0" w:color="auto"/>
            </w:tcBorders>
            <w:shd w:val="clear" w:color="000000" w:fill="D9D9D9"/>
            <w:noWrap/>
            <w:vAlign w:val="center"/>
            <w:hideMark/>
          </w:tcPr>
          <w:p w:rsidR="00FC5C5B" w:rsidRPr="0005019D" w:rsidRDefault="00FC5C5B" w:rsidP="00FC5C5B">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2024</w:t>
            </w:r>
          </w:p>
        </w:tc>
        <w:tc>
          <w:tcPr>
            <w:tcW w:w="2318" w:type="dxa"/>
            <w:tcBorders>
              <w:top w:val="nil"/>
              <w:left w:val="nil"/>
              <w:bottom w:val="single" w:sz="8" w:space="0" w:color="auto"/>
              <w:right w:val="single" w:sz="8" w:space="0" w:color="auto"/>
            </w:tcBorders>
            <w:shd w:val="clear" w:color="000000" w:fill="D9D9D9"/>
            <w:noWrap/>
            <w:vAlign w:val="center"/>
            <w:hideMark/>
          </w:tcPr>
          <w:p w:rsidR="00FC5C5B" w:rsidRPr="0005019D" w:rsidRDefault="00FC5C5B" w:rsidP="00FC5C5B">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2023</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Bienes Inmuebles, Infraestructura y Construcciones en Proceso.</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84,899,272.67</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277,329,342.25</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Construcciones en Proceso en Bienes de Dominio Público</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84,899,272.67</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277,329,342.25</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Construcciones en Proceso en Bienes Propios</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Bienes Muebles</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2,722,759.19</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212,690,254.34</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Bienes Informáticos</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1,688,955.77</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57,987,008.75</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Mobiliario y Equipo de Administración</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39,829,754.05</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Mobiliario y Equipo Educacional y Recreativo</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138,602.04</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10,202,926.06</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Equipo e Instrumental Médico y de Laboratorio</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65,598,369.33</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Vehículos y Equipo de Transporte</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7,924,009.17</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Equipo de Defensa y Seguridad</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31,724,573.20</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 xml:space="preserve">Maquinaria, Otros Equipos y Herramientas </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895,201.38</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37,734,637.43</w:t>
            </w:r>
          </w:p>
        </w:tc>
      </w:tr>
      <w:tr w:rsidR="00FC5C5B" w:rsidRPr="0005019D" w:rsidTr="00FC5C5B">
        <w:trPr>
          <w:trHeight w:val="285"/>
        </w:trPr>
        <w:tc>
          <w:tcPr>
            <w:tcW w:w="8212" w:type="dxa"/>
            <w:tcBorders>
              <w:top w:val="nil"/>
              <w:left w:val="single" w:sz="8" w:space="0" w:color="auto"/>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Otras Inversiones</w:t>
            </w:r>
          </w:p>
        </w:tc>
        <w:tc>
          <w:tcPr>
            <w:tcW w:w="2420"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4,638,400.00</w:t>
            </w:r>
          </w:p>
        </w:tc>
        <w:tc>
          <w:tcPr>
            <w:tcW w:w="2318" w:type="dxa"/>
            <w:tcBorders>
              <w:top w:val="nil"/>
              <w:left w:val="nil"/>
              <w:bottom w:val="single" w:sz="8" w:space="0" w:color="auto"/>
              <w:right w:val="single" w:sz="8" w:space="0" w:color="auto"/>
            </w:tcBorders>
            <w:shd w:val="clear" w:color="auto" w:fill="auto"/>
            <w:noWrap/>
            <w:vAlign w:val="center"/>
            <w:hideMark/>
          </w:tcPr>
          <w:p w:rsidR="00FC5C5B" w:rsidRPr="0005019D" w:rsidRDefault="00FC5C5B" w:rsidP="00FC5C5B">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28,942,849.55</w:t>
            </w:r>
          </w:p>
        </w:tc>
      </w:tr>
    </w:tbl>
    <w:p w:rsidR="00FC5C5B" w:rsidRPr="0005019D" w:rsidRDefault="00FC5C5B">
      <w:pPr>
        <w:rPr>
          <w:rFonts w:ascii="Barlow" w:eastAsia="Times New Roman" w:hAnsi="Barlow"/>
          <w:sz w:val="20"/>
          <w:szCs w:val="20"/>
        </w:rPr>
      </w:pPr>
    </w:p>
    <w:p w:rsidR="00FC5C5B" w:rsidRPr="0005019D" w:rsidRDefault="00FC5C5B">
      <w:pPr>
        <w:rPr>
          <w:rFonts w:ascii="Barlow" w:eastAsia="Times New Roman" w:hAnsi="Barlow"/>
          <w:sz w:val="20"/>
          <w:szCs w:val="20"/>
        </w:rPr>
      </w:pPr>
    </w:p>
    <w:p w:rsidR="00FC5C5B" w:rsidRPr="0005019D" w:rsidRDefault="00FC5C5B">
      <w:pPr>
        <w:rPr>
          <w:rFonts w:ascii="Barlow" w:eastAsia="Times New Roman" w:hAnsi="Barlow"/>
          <w:sz w:val="20"/>
          <w:szCs w:val="20"/>
        </w:rPr>
      </w:pPr>
    </w:p>
    <w:p w:rsidR="00FC5C5B" w:rsidRPr="0005019D" w:rsidRDefault="00FC5C5B">
      <w:pPr>
        <w:rPr>
          <w:rFonts w:ascii="Barlow" w:eastAsia="Times New Roman" w:hAnsi="Barlow"/>
          <w:sz w:val="20"/>
          <w:szCs w:val="20"/>
        </w:rPr>
      </w:pP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3.- Se presenta la Conciliación de los Flujos de Efectivo Netos de las Actividades de Operación y los saldos de Resultados del Ejercicio (Ahorro/Desahorro), en el siguiente cuadro:</w:t>
      </w:r>
    </w:p>
    <w:p w:rsidR="00487956" w:rsidRPr="0005019D" w:rsidRDefault="00487956">
      <w:r w:rsidRPr="0005019D">
        <w:rPr>
          <w:rFonts w:eastAsia="Times New Roman"/>
        </w:rPr>
        <w:lastRenderedPageBreak/>
        <w:fldChar w:fldCharType="begin"/>
      </w:r>
      <w:r w:rsidRPr="0005019D">
        <w:rPr>
          <w:rFonts w:eastAsia="Times New Roman"/>
        </w:rPr>
        <w:instrText xml:space="preserve"> LINK </w:instrText>
      </w:r>
      <w:r w:rsidR="00C1261B" w:rsidRPr="0005019D">
        <w:rPr>
          <w:rFonts w:eastAsia="Times New Roman"/>
        </w:rPr>
        <w:instrText xml:space="preserve">Excel.Sheet.12 "D:\\Documents\\2024\\1er trimestre 2024\\SIGGY\\NOTAS\\Saldos balanza fideicomisos nivel 7 31 mzo 2024.xlsx" Hoja5!F75C2:F88C4 </w:instrText>
      </w:r>
      <w:r w:rsidRPr="0005019D">
        <w:rPr>
          <w:rFonts w:eastAsia="Times New Roman"/>
        </w:rPr>
        <w:instrText xml:space="preserve">\a \f 4 \h  \* MERGEFORMAT </w:instrText>
      </w:r>
      <w:r w:rsidRPr="0005019D">
        <w:rPr>
          <w:rFonts w:eastAsia="Times New Roman"/>
        </w:rPr>
        <w:fldChar w:fldCharType="separate"/>
      </w:r>
    </w:p>
    <w:tbl>
      <w:tblPr>
        <w:tblW w:w="10220" w:type="dxa"/>
        <w:tblCellMar>
          <w:left w:w="70" w:type="dxa"/>
          <w:right w:w="70" w:type="dxa"/>
        </w:tblCellMar>
        <w:tblLook w:val="04A0" w:firstRow="1" w:lastRow="0" w:firstColumn="1" w:lastColumn="0" w:noHBand="0" w:noVBand="1"/>
      </w:tblPr>
      <w:tblGrid>
        <w:gridCol w:w="5820"/>
        <w:gridCol w:w="2400"/>
        <w:gridCol w:w="2000"/>
      </w:tblGrid>
      <w:tr w:rsidR="00487956" w:rsidRPr="0005019D" w:rsidTr="00487956">
        <w:trPr>
          <w:trHeight w:val="285"/>
        </w:trPr>
        <w:tc>
          <w:tcPr>
            <w:tcW w:w="1022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487956" w:rsidRPr="0005019D" w:rsidRDefault="00487956" w:rsidP="00487956">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CONCILIACION DE FLUJOS DE EFECTIVO NETOS.</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000000" w:fill="D9D9D9"/>
            <w:noWrap/>
            <w:vAlign w:val="center"/>
            <w:hideMark/>
          </w:tcPr>
          <w:p w:rsidR="00487956" w:rsidRPr="0005019D" w:rsidRDefault="00487956" w:rsidP="00487956">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Concepto</w:t>
            </w:r>
          </w:p>
        </w:tc>
        <w:tc>
          <w:tcPr>
            <w:tcW w:w="2400" w:type="dxa"/>
            <w:tcBorders>
              <w:top w:val="nil"/>
              <w:left w:val="nil"/>
              <w:bottom w:val="single" w:sz="8" w:space="0" w:color="auto"/>
              <w:right w:val="single" w:sz="8" w:space="0" w:color="auto"/>
            </w:tcBorders>
            <w:shd w:val="clear" w:color="000000" w:fill="D9D9D9"/>
            <w:noWrap/>
            <w:vAlign w:val="center"/>
            <w:hideMark/>
          </w:tcPr>
          <w:p w:rsidR="00487956" w:rsidRPr="0005019D" w:rsidRDefault="00487956" w:rsidP="00487956">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2024</w:t>
            </w:r>
          </w:p>
        </w:tc>
        <w:tc>
          <w:tcPr>
            <w:tcW w:w="2000" w:type="dxa"/>
            <w:tcBorders>
              <w:top w:val="nil"/>
              <w:left w:val="nil"/>
              <w:bottom w:val="single" w:sz="8" w:space="0" w:color="auto"/>
              <w:right w:val="single" w:sz="8" w:space="0" w:color="auto"/>
            </w:tcBorders>
            <w:shd w:val="clear" w:color="000000" w:fill="D9D9D9"/>
            <w:noWrap/>
            <w:vAlign w:val="center"/>
            <w:hideMark/>
          </w:tcPr>
          <w:p w:rsidR="00487956" w:rsidRPr="0005019D" w:rsidRDefault="00487956" w:rsidP="00487956">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2023</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Resultado del Ejercicio Ahorro/Desahorro</w:t>
            </w:r>
          </w:p>
        </w:tc>
        <w:tc>
          <w:tcPr>
            <w:tcW w:w="24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b/>
                <w:bCs/>
                <w:sz w:val="20"/>
                <w:szCs w:val="20"/>
              </w:rPr>
            </w:pPr>
            <w:r w:rsidRPr="0005019D">
              <w:rPr>
                <w:rFonts w:ascii="Barlow" w:eastAsia="Times New Roman" w:hAnsi="Barlow" w:cs="Arial"/>
                <w:b/>
                <w:bCs/>
                <w:sz w:val="20"/>
                <w:szCs w:val="20"/>
              </w:rPr>
              <w:t>$776,628,572.82</w:t>
            </w:r>
          </w:p>
        </w:tc>
        <w:tc>
          <w:tcPr>
            <w:tcW w:w="20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b/>
                <w:bCs/>
                <w:color w:val="FF0000"/>
                <w:sz w:val="20"/>
                <w:szCs w:val="20"/>
              </w:rPr>
            </w:pPr>
            <w:r w:rsidRPr="0005019D">
              <w:rPr>
                <w:rFonts w:ascii="Barlow" w:eastAsia="Times New Roman" w:hAnsi="Barlow" w:cs="Arial"/>
                <w:b/>
                <w:bCs/>
                <w:color w:val="FF0000"/>
                <w:sz w:val="20"/>
                <w:szCs w:val="20"/>
              </w:rPr>
              <w:t>-$1,937,429,505.33</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Movimientos de partidas (o rubros) que no afectan al efectivo</w:t>
            </w:r>
          </w:p>
        </w:tc>
        <w:tc>
          <w:tcPr>
            <w:tcW w:w="24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$1,103,474,539.80</w:t>
            </w:r>
          </w:p>
        </w:tc>
        <w:tc>
          <w:tcPr>
            <w:tcW w:w="20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$2,974,672,052.59</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Depreciación</w:t>
            </w:r>
          </w:p>
        </w:tc>
        <w:tc>
          <w:tcPr>
            <w:tcW w:w="24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$90,702,723.47</w:t>
            </w:r>
          </w:p>
        </w:tc>
        <w:tc>
          <w:tcPr>
            <w:tcW w:w="20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$401,952,155.72</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Amortización</w:t>
            </w:r>
          </w:p>
        </w:tc>
        <w:tc>
          <w:tcPr>
            <w:tcW w:w="24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$2,814,401.85</w:t>
            </w:r>
          </w:p>
        </w:tc>
        <w:tc>
          <w:tcPr>
            <w:tcW w:w="20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Gastos</w:t>
            </w:r>
          </w:p>
        </w:tc>
        <w:tc>
          <w:tcPr>
            <w:tcW w:w="24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000" w:type="dxa"/>
            <w:tcBorders>
              <w:top w:val="nil"/>
              <w:left w:val="nil"/>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$326,116,922.36</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Aprovechamientos patrimoniales</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$161,293.92</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$4,962,596.27</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Inversión Pública No Capitalizable</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$119,261.00</w:t>
            </w:r>
          </w:p>
        </w:tc>
      </w:tr>
      <w:tr w:rsidR="00487956" w:rsidRPr="0005019D" w:rsidTr="00487956">
        <w:trPr>
          <w:trHeight w:val="55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Ganancia/pérdida en venta de bienes muebles, inmuebles e intangibles</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sz w:val="20"/>
                <w:szCs w:val="20"/>
              </w:rPr>
            </w:pPr>
            <w:r w:rsidRPr="0005019D">
              <w:rPr>
                <w:rFonts w:ascii="Barlow" w:eastAsia="Times New Roman" w:hAnsi="Barlow" w:cs="Arial"/>
                <w:sz w:val="20"/>
                <w:szCs w:val="20"/>
              </w:rPr>
              <w:t xml:space="preserve">0.00 </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FF0000"/>
                <w:sz w:val="20"/>
                <w:szCs w:val="20"/>
              </w:rPr>
            </w:pPr>
            <w:r w:rsidRPr="0005019D">
              <w:rPr>
                <w:rFonts w:ascii="Barlow" w:eastAsia="Times New Roman" w:hAnsi="Barlow" w:cs="Arial"/>
                <w:color w:val="FF0000"/>
                <w:sz w:val="20"/>
                <w:szCs w:val="20"/>
              </w:rPr>
              <w:t>-$519,142.30</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Variación del devengo al pagado de gastos</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$741,190,346.09</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$1,247,715,160.16</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Origenes de operación</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$268,605,774.47</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$994,325,099.38</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auto" w:fill="auto"/>
            <w:vAlign w:val="center"/>
            <w:hideMark/>
          </w:tcPr>
          <w:p w:rsidR="00487956" w:rsidRPr="0005019D" w:rsidRDefault="00487956" w:rsidP="00487956">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Otras aplicaciones de operación</w:t>
            </w:r>
          </w:p>
        </w:tc>
        <w:tc>
          <w:tcPr>
            <w:tcW w:w="24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 </w:t>
            </w:r>
          </w:p>
        </w:tc>
        <w:tc>
          <w:tcPr>
            <w:tcW w:w="2000" w:type="dxa"/>
            <w:tcBorders>
              <w:top w:val="nil"/>
              <w:left w:val="nil"/>
              <w:bottom w:val="single" w:sz="8" w:space="0" w:color="auto"/>
              <w:right w:val="single" w:sz="8" w:space="0" w:color="auto"/>
            </w:tcBorders>
            <w:shd w:val="clear" w:color="auto" w:fill="auto"/>
            <w:noWrap/>
            <w:vAlign w:val="center"/>
            <w:hideMark/>
          </w:tcPr>
          <w:p w:rsidR="00487956" w:rsidRPr="0005019D" w:rsidRDefault="00487956" w:rsidP="00487956">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 </w:t>
            </w:r>
          </w:p>
        </w:tc>
      </w:tr>
      <w:tr w:rsidR="00487956" w:rsidRPr="0005019D" w:rsidTr="00487956">
        <w:trPr>
          <w:trHeight w:val="285"/>
        </w:trPr>
        <w:tc>
          <w:tcPr>
            <w:tcW w:w="5820" w:type="dxa"/>
            <w:tcBorders>
              <w:top w:val="nil"/>
              <w:left w:val="single" w:sz="8" w:space="0" w:color="auto"/>
              <w:bottom w:val="single" w:sz="8" w:space="0" w:color="auto"/>
              <w:right w:val="single" w:sz="8" w:space="0" w:color="auto"/>
            </w:tcBorders>
            <w:shd w:val="clear" w:color="000000" w:fill="D9D9D9"/>
            <w:vAlign w:val="center"/>
            <w:hideMark/>
          </w:tcPr>
          <w:p w:rsidR="00487956" w:rsidRPr="0005019D" w:rsidRDefault="00487956" w:rsidP="00487956">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Flujos de Efectivo Netos de las Actividades de Operación</w:t>
            </w:r>
          </w:p>
        </w:tc>
        <w:tc>
          <w:tcPr>
            <w:tcW w:w="2400" w:type="dxa"/>
            <w:tcBorders>
              <w:top w:val="nil"/>
              <w:left w:val="nil"/>
              <w:bottom w:val="single" w:sz="8" w:space="0" w:color="auto"/>
              <w:right w:val="single" w:sz="8" w:space="0" w:color="auto"/>
            </w:tcBorders>
            <w:shd w:val="clear" w:color="000000" w:fill="D9D9D9"/>
            <w:noWrap/>
            <w:vAlign w:val="center"/>
            <w:hideMark/>
          </w:tcPr>
          <w:p w:rsidR="00487956" w:rsidRPr="0005019D" w:rsidRDefault="00487956" w:rsidP="00487956">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$1,880,103,112.62</w:t>
            </w:r>
          </w:p>
        </w:tc>
        <w:tc>
          <w:tcPr>
            <w:tcW w:w="2000" w:type="dxa"/>
            <w:tcBorders>
              <w:top w:val="nil"/>
              <w:left w:val="nil"/>
              <w:bottom w:val="single" w:sz="8" w:space="0" w:color="auto"/>
              <w:right w:val="single" w:sz="8" w:space="0" w:color="auto"/>
            </w:tcBorders>
            <w:shd w:val="clear" w:color="000000" w:fill="D9D9D9"/>
            <w:noWrap/>
            <w:vAlign w:val="center"/>
            <w:hideMark/>
          </w:tcPr>
          <w:p w:rsidR="00487956" w:rsidRPr="0005019D" w:rsidRDefault="00487956" w:rsidP="00487956">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$1,037,242,547.26</w:t>
            </w:r>
          </w:p>
        </w:tc>
      </w:tr>
    </w:tbl>
    <w:p w:rsidR="005E0E9D" w:rsidRPr="0005019D" w:rsidRDefault="00487956">
      <w:pPr>
        <w:rPr>
          <w:rFonts w:ascii="Barlow" w:eastAsia="Times New Roman" w:hAnsi="Barlow"/>
          <w:sz w:val="20"/>
          <w:szCs w:val="20"/>
        </w:rPr>
      </w:pPr>
      <w:r w:rsidRPr="0005019D">
        <w:rPr>
          <w:rFonts w:ascii="Barlow" w:eastAsia="Times New Roman" w:hAnsi="Barlow"/>
          <w:sz w:val="20"/>
          <w:szCs w:val="20"/>
        </w:rPr>
        <w:fldChar w:fldCharType="end"/>
      </w: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487956" w:rsidRPr="0005019D" w:rsidRDefault="00487956">
      <w:pPr>
        <w:rPr>
          <w:rFonts w:ascii="Barlow" w:eastAsia="Times New Roman" w:hAnsi="Barlow"/>
          <w:sz w:val="20"/>
          <w:szCs w:val="20"/>
        </w:rPr>
      </w:pPr>
    </w:p>
    <w:p w:rsidR="005E0E9D" w:rsidRPr="0005019D" w:rsidRDefault="005E0E9D">
      <w:pPr>
        <w:rPr>
          <w:rFonts w:ascii="Barlow" w:eastAsia="Times New Roman" w:hAnsi="Barlow"/>
          <w:sz w:val="20"/>
          <w:szCs w:val="20"/>
        </w:rPr>
      </w:pP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V) CONCILIACIÓN ENTRE LOS INGRESOS PRESUPUESTARIOS Y CONTABLES, ASI COMO ENTRE LOS EGRESOS PRESUPUESTARIOS Y GASTOS CONTABLES.</w:t>
      </w:r>
    </w:p>
    <w:p w:rsidR="00575B65" w:rsidRPr="0005019D" w:rsidRDefault="00575B65">
      <w:r w:rsidRPr="0005019D">
        <w:rPr>
          <w:rFonts w:eastAsia="Times New Roman"/>
        </w:rPr>
        <w:lastRenderedPageBreak/>
        <w:fldChar w:fldCharType="begin"/>
      </w:r>
      <w:r w:rsidRPr="0005019D">
        <w:rPr>
          <w:rFonts w:eastAsia="Times New Roman"/>
        </w:rPr>
        <w:instrText xml:space="preserve"> LINK </w:instrText>
      </w:r>
      <w:r w:rsidR="00C1261B" w:rsidRPr="0005019D">
        <w:rPr>
          <w:rFonts w:eastAsia="Times New Roman"/>
        </w:rPr>
        <w:instrText xml:space="preserve">Excel.Sheet.12 "D:\\Documents\\2024\\1er trimestre 2024\\SIGGY\\NOTAS\\Saldos balanza fideicomisos nivel 7 31 mzo 2024.xlsx" Hoja8!F4C2:F69C4 </w:instrText>
      </w:r>
      <w:r w:rsidRPr="0005019D">
        <w:rPr>
          <w:rFonts w:eastAsia="Times New Roman"/>
        </w:rPr>
        <w:instrText xml:space="preserve">\a \f 4 \h </w:instrText>
      </w:r>
      <w:r w:rsidR="0005019D">
        <w:rPr>
          <w:rFonts w:eastAsia="Times New Roman"/>
        </w:rPr>
        <w:instrText xml:space="preserve"> \* MERGEFORMAT </w:instrText>
      </w:r>
      <w:r w:rsidRPr="0005019D">
        <w:rPr>
          <w:rFonts w:eastAsia="Times New Roman"/>
        </w:rPr>
        <w:fldChar w:fldCharType="separate"/>
      </w:r>
    </w:p>
    <w:tbl>
      <w:tblPr>
        <w:tblW w:w="10100" w:type="dxa"/>
        <w:tblCellMar>
          <w:left w:w="70" w:type="dxa"/>
          <w:right w:w="70" w:type="dxa"/>
        </w:tblCellMar>
        <w:tblLook w:val="04A0" w:firstRow="1" w:lastRow="0" w:firstColumn="1" w:lastColumn="0" w:noHBand="0" w:noVBand="1"/>
      </w:tblPr>
      <w:tblGrid>
        <w:gridCol w:w="660"/>
        <w:gridCol w:w="6460"/>
        <w:gridCol w:w="2980"/>
      </w:tblGrid>
      <w:tr w:rsidR="00575B65" w:rsidRPr="0005019D" w:rsidTr="00575B65">
        <w:trPr>
          <w:trHeight w:val="300"/>
        </w:trPr>
        <w:tc>
          <w:tcPr>
            <w:tcW w:w="1010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ENTE PUBLICO: PODER EJECUTIVO</w:t>
            </w:r>
          </w:p>
        </w:tc>
      </w:tr>
      <w:tr w:rsidR="00575B65" w:rsidRPr="0005019D" w:rsidTr="00575B65">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Conciliación entre los Ingresos Presupuestarios y Contables.</w:t>
            </w:r>
          </w:p>
        </w:tc>
      </w:tr>
      <w:tr w:rsidR="00575B65" w:rsidRPr="0005019D" w:rsidTr="00575B65">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DEL 1o DE ENERO AL 31 DE MARZO DE 2024</w:t>
            </w:r>
          </w:p>
        </w:tc>
      </w:tr>
      <w:tr w:rsidR="00575B65" w:rsidRPr="0005019D" w:rsidTr="00575B65">
        <w:trPr>
          <w:trHeight w:val="315"/>
        </w:trPr>
        <w:tc>
          <w:tcPr>
            <w:tcW w:w="1010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(Cifras en pesos)</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Calibri" w:eastAsia="Times New Roman" w:hAnsi="Calibri" w:cs="Calibri"/>
                <w:color w:val="000000"/>
              </w:rPr>
            </w:pPr>
            <w:r w:rsidRPr="0005019D">
              <w:rPr>
                <w:rFonts w:ascii="Calibri" w:eastAsia="Times New Roman" w:hAnsi="Calibri" w:cs="Calibri"/>
                <w:color w:val="000000"/>
              </w:rPr>
              <w:t> </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Concepto</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2024</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Total de Ingresos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$13,648,097,676.58</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Más Ingresos contables No presupuestarios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Ingresos Financieros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Incremento Por Variación De Inventarios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55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2.3</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Disminución Del Exceso De Estimaciones Por Pérdida O Deterioro U Obsolescencia</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2.4</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Disminución Del Exceso De Provisiones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2.5</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Ingresos Y Beneficios Varios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2.6</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Ingresos Contables No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3</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Menos Ingresos presupuestarios No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$161,293.92</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Aprovechamientos Patrimoniales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$161,293.92</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Ingresos Derivados de Financiamientos.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3.3</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ingresos presupuestarios No Contables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4</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Total de Ingresos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$13,647,936,382.66</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Times New Roman" w:eastAsia="Times New Roman" w:hAnsi="Times New Roman" w:cs="Times New Roman"/>
                <w:sz w:val="20"/>
                <w:szCs w:val="20"/>
              </w:rPr>
            </w:pPr>
          </w:p>
          <w:p w:rsidR="00C1261B" w:rsidRPr="0005019D" w:rsidRDefault="00C1261B" w:rsidP="00575B65">
            <w:pPr>
              <w:spacing w:after="0" w:line="240" w:lineRule="auto"/>
              <w:rPr>
                <w:rFonts w:ascii="Times New Roman" w:eastAsia="Times New Roman" w:hAnsi="Times New Roman" w:cs="Times New Roman"/>
                <w:sz w:val="20"/>
                <w:szCs w:val="20"/>
              </w:rPr>
            </w:pP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Times New Roman" w:eastAsia="Times New Roman" w:hAnsi="Times New Roman" w:cs="Times New Roman"/>
                <w:sz w:val="20"/>
                <w:szCs w:val="20"/>
              </w:rPr>
            </w:pP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300"/>
        </w:trPr>
        <w:tc>
          <w:tcPr>
            <w:tcW w:w="1010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ENTE PUBLICO: PODER EJECUTIVO</w:t>
            </w:r>
          </w:p>
        </w:tc>
      </w:tr>
      <w:tr w:rsidR="00575B65" w:rsidRPr="0005019D" w:rsidTr="00575B65">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Conciliación entre los Egresos Presupuestarios y Contables.</w:t>
            </w:r>
          </w:p>
        </w:tc>
      </w:tr>
      <w:tr w:rsidR="00575B65" w:rsidRPr="0005019D" w:rsidTr="00575B65">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lastRenderedPageBreak/>
              <w:t>DEL 1o DE ENERO AL 31 DE MARZO DE 2024</w:t>
            </w:r>
          </w:p>
        </w:tc>
      </w:tr>
      <w:tr w:rsidR="00575B65" w:rsidRPr="0005019D" w:rsidTr="00575B65">
        <w:trPr>
          <w:trHeight w:val="315"/>
        </w:trPr>
        <w:tc>
          <w:tcPr>
            <w:tcW w:w="1010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575B65" w:rsidRPr="0005019D" w:rsidRDefault="00575B65" w:rsidP="00575B65">
            <w:pPr>
              <w:spacing w:after="0" w:line="240" w:lineRule="auto"/>
              <w:jc w:val="center"/>
              <w:rPr>
                <w:rFonts w:ascii="Calibri" w:eastAsia="Times New Roman" w:hAnsi="Calibri" w:cs="Calibri"/>
                <w:b/>
                <w:bCs/>
                <w:color w:val="000000"/>
              </w:rPr>
            </w:pPr>
            <w:r w:rsidRPr="0005019D">
              <w:rPr>
                <w:rFonts w:ascii="Calibri" w:eastAsia="Times New Roman" w:hAnsi="Calibri" w:cs="Calibri"/>
                <w:b/>
                <w:bCs/>
                <w:color w:val="000000"/>
              </w:rPr>
              <w:t>(Cifras en pesos)</w:t>
            </w:r>
          </w:p>
        </w:tc>
      </w:tr>
      <w:tr w:rsidR="00575B65" w:rsidRPr="0005019D" w:rsidTr="00575B65">
        <w:trPr>
          <w:trHeight w:val="270"/>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Calibri" w:eastAsia="Times New Roman" w:hAnsi="Calibri" w:cs="Calibri"/>
                <w:color w:val="000000"/>
              </w:rPr>
            </w:pPr>
            <w:r w:rsidRPr="0005019D">
              <w:rPr>
                <w:rFonts w:ascii="Calibri" w:eastAsia="Times New Roman" w:hAnsi="Calibri" w:cs="Calibri"/>
                <w:color w:val="000000"/>
              </w:rPr>
              <w:t> </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Concepto</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center"/>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2024</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Total de egresos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$13,203,887,515.69</w:t>
            </w:r>
          </w:p>
        </w:tc>
      </w:tr>
      <w:tr w:rsidR="00575B65" w:rsidRPr="0005019D" w:rsidTr="00575B65">
        <w:trPr>
          <w:trHeight w:val="285"/>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2</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Menos egresos presupuestarios No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$426,096,831.17</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Materias Primas Y Materiales De Producción Y Comercialización</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Materiales Y Suministros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2.3</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Mobiliario Y Equipo De Administración</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$8,073,624.22</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2.4</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Mobiliario Y Equipo Educacional Y Recreativo</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$3,210,348.87</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2.5</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Equipo E Instrumental Médico Y De Laboratorio</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2.6</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Vehículos Y Equipo De Transporte</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2.7</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Equipo De Defensa Y Seguridad</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$280,498.01</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2.8</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Maquinaria, Otros Equipos Y Herramientas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$1,062,530.08</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2.9</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Activos Biológicos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Bienes Inmuebles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Activos Intangibles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$5,138,217.09</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Obra Pública En Bienes De Dominio Público</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$84,899,272.67</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2.13</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Obra Pública En Bienes Propios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2.14</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Acciones Y Participaciones De Capital</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$304,145.00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2.15</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Compra de Títulos y Valores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2.16</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Concesión De Préstamos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2.17</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Inversiones en Fideicomisos, Mandatos y Otros Análogos.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$500,000.00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2.18</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Provisiones Para Contingencias Y Otras Erogaciones Especiales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2.19</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Amortización De La Deuda Pública</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$322,628,195.23</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Adeudos De Ejercicios Fiscales Anteriores (Adefas)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2.21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Egresos Presupuestarios No Contables.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3</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Más Gastos Contables no Presupuestarios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$93,517,125.32</w:t>
            </w:r>
          </w:p>
        </w:tc>
      </w:tr>
      <w:tr w:rsidR="00575B65" w:rsidRPr="0005019D" w:rsidTr="00575B65">
        <w:trPr>
          <w:trHeight w:val="55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lastRenderedPageBreak/>
              <w:t>3.1</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Estimaciones, Depreciaciones, Deterioros, Obsolescencia Y Amortizaciones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$93,517,125.32</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3.2</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Provisiones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3.3</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Disminución De Inventarios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3.4</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Gastos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3.5</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Inversión Pública No Capitalizable</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3.6</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Materiales Y Suministros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3.7</w:t>
            </w:r>
          </w:p>
        </w:tc>
        <w:tc>
          <w:tcPr>
            <w:tcW w:w="646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color w:val="000000"/>
                <w:sz w:val="20"/>
                <w:szCs w:val="20"/>
              </w:rPr>
            </w:pPr>
            <w:r w:rsidRPr="0005019D">
              <w:rPr>
                <w:rFonts w:ascii="Barlow" w:eastAsia="Times New Roman" w:hAnsi="Barlow" w:cs="Arial"/>
                <w:color w:val="000000"/>
                <w:sz w:val="20"/>
                <w:szCs w:val="20"/>
              </w:rPr>
              <w:t>Otros Gastos Contables No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color w:val="000000"/>
                <w:sz w:val="20"/>
                <w:szCs w:val="20"/>
              </w:rPr>
            </w:pPr>
            <w:r w:rsidRPr="0005019D">
              <w:rPr>
                <w:rFonts w:ascii="Barlow" w:eastAsia="Times New Roman" w:hAnsi="Barlow" w:cs="Arial"/>
                <w:color w:val="000000"/>
                <w:sz w:val="20"/>
                <w:szCs w:val="20"/>
              </w:rPr>
              <w:t>$0.00</w:t>
            </w:r>
          </w:p>
        </w:tc>
      </w:tr>
      <w:tr w:rsidR="00575B65" w:rsidRPr="0005019D" w:rsidTr="00575B65">
        <w:trPr>
          <w:trHeight w:val="285"/>
        </w:trPr>
        <w:tc>
          <w:tcPr>
            <w:tcW w:w="660" w:type="dxa"/>
            <w:tcBorders>
              <w:top w:val="nil"/>
              <w:left w:val="nil"/>
              <w:bottom w:val="nil"/>
              <w:right w:val="nil"/>
            </w:tcBorders>
            <w:shd w:val="clear" w:color="auto" w:fill="auto"/>
            <w:noWrap/>
            <w:vAlign w:val="center"/>
            <w:hideMark/>
          </w:tcPr>
          <w:p w:rsidR="00575B65" w:rsidRPr="0005019D" w:rsidRDefault="00575B65" w:rsidP="00575B65">
            <w:pPr>
              <w:spacing w:after="0" w:line="240" w:lineRule="auto"/>
              <w:rPr>
                <w:rFonts w:ascii="Calibri" w:eastAsia="Times New Roman" w:hAnsi="Calibri" w:cs="Calibri"/>
                <w:color w:val="000000"/>
                <w:sz w:val="20"/>
                <w:szCs w:val="20"/>
              </w:rPr>
            </w:pPr>
            <w:r w:rsidRPr="0005019D">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575B65" w:rsidRPr="0005019D" w:rsidRDefault="00575B65" w:rsidP="00575B65">
            <w:pPr>
              <w:spacing w:after="0" w:line="240" w:lineRule="auto"/>
              <w:rPr>
                <w:rFonts w:ascii="Times New Roman" w:eastAsia="Times New Roman" w:hAnsi="Times New Roman" w:cs="Times New Roman"/>
                <w:sz w:val="20"/>
                <w:szCs w:val="20"/>
              </w:rPr>
            </w:pPr>
          </w:p>
        </w:tc>
      </w:tr>
      <w:tr w:rsidR="00575B65" w:rsidRPr="0005019D" w:rsidTr="00575B65">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4</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Total de Gasto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575B65" w:rsidRPr="0005019D" w:rsidRDefault="00575B65" w:rsidP="00575B65">
            <w:pPr>
              <w:spacing w:after="0" w:line="240" w:lineRule="auto"/>
              <w:jc w:val="right"/>
              <w:rPr>
                <w:rFonts w:ascii="Barlow" w:eastAsia="Times New Roman" w:hAnsi="Barlow" w:cs="Arial"/>
                <w:b/>
                <w:bCs/>
                <w:color w:val="000000"/>
                <w:sz w:val="20"/>
                <w:szCs w:val="20"/>
              </w:rPr>
            </w:pPr>
            <w:r w:rsidRPr="0005019D">
              <w:rPr>
                <w:rFonts w:ascii="Barlow" w:eastAsia="Times New Roman" w:hAnsi="Barlow" w:cs="Arial"/>
                <w:b/>
                <w:bCs/>
                <w:color w:val="000000"/>
                <w:sz w:val="20"/>
                <w:szCs w:val="20"/>
              </w:rPr>
              <w:t>$12,871,307,809.84</w:t>
            </w:r>
          </w:p>
        </w:tc>
      </w:tr>
    </w:tbl>
    <w:p w:rsidR="005E0E9D" w:rsidRPr="0005019D" w:rsidRDefault="00575B65">
      <w:pPr>
        <w:rPr>
          <w:rFonts w:ascii="Barlow" w:eastAsia="Times New Roman" w:hAnsi="Barlow"/>
          <w:sz w:val="20"/>
          <w:szCs w:val="20"/>
        </w:rPr>
      </w:pPr>
      <w:r w:rsidRPr="0005019D">
        <w:rPr>
          <w:rFonts w:ascii="Barlow" w:eastAsia="Times New Roman" w:hAnsi="Barlow"/>
          <w:sz w:val="20"/>
          <w:szCs w:val="20"/>
        </w:rPr>
        <w:fldChar w:fldCharType="end"/>
      </w:r>
    </w:p>
    <w:p w:rsidR="005E0E9D" w:rsidRPr="0005019D" w:rsidRDefault="00E35EF3">
      <w:pPr>
        <w:rPr>
          <w:rFonts w:ascii="Barlow" w:eastAsia="Times New Roman" w:hAnsi="Barlow"/>
          <w:sz w:val="20"/>
          <w:szCs w:val="20"/>
        </w:rPr>
      </w:pPr>
      <w:r w:rsidRPr="0005019D">
        <w:rPr>
          <w:rStyle w:val="Textoennegrita"/>
          <w:rFonts w:ascii="Barlow" w:eastAsia="Times New Roman" w:hAnsi="Barlow"/>
          <w:sz w:val="20"/>
          <w:szCs w:val="20"/>
        </w:rPr>
        <w:t>C) NOTAS DE MEMORIA</w:t>
      </w:r>
    </w:p>
    <w:p w:rsidR="005E0E9D" w:rsidRPr="0005019D" w:rsidRDefault="00E35EF3">
      <w:pPr>
        <w:rPr>
          <w:rFonts w:ascii="Barlow" w:eastAsia="Times New Roman" w:hAnsi="Barlow"/>
          <w:sz w:val="20"/>
          <w:szCs w:val="20"/>
        </w:rPr>
      </w:pPr>
      <w:r w:rsidRPr="0005019D">
        <w:rPr>
          <w:rFonts w:ascii="Barlow" w:eastAsia="Times New Roman" w:hAnsi="Barlow"/>
          <w:sz w:val="20"/>
          <w:szCs w:val="20"/>
        </w:rPr>
        <w:t>Los saldos de las cuentas de orden contables y presupuestales se presentan a continuación:</w:t>
      </w:r>
    </w:p>
    <w:p w:rsidR="005E0E9D" w:rsidRPr="0005019D" w:rsidRDefault="00E35EF3">
      <w:pPr>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sz w:val="20"/>
          <w:szCs w:val="20"/>
        </w:rPr>
        <w:t xml:space="preserve"> Cuentas contables.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25"/>
        <w:gridCol w:w="1451"/>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CUENTAS DE ORDEN CONTABLES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VALORES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VALORES EN CUSTODIA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CUSTODIA DE VALORES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74,500.00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INSTRUMENTOS DE CRÉDITO PRESTADOS A FORMADORES DE MERCADO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PRÉSTAMO DE INSTRUMENTOS DE CRÉDITO A FORMADORES DE MERCADO Y SU GARANTÍA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INSTRUMENTOS DE CRÉDITO RECIBIDOS EN GARANTÍA DE LOS FORMADORES DE MERCADO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lastRenderedPageBreak/>
              <w:t>GARANTÍA DE CRÉDITOS RECIBIDOS DE LOS FORMADORES DE MERCADO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EMISION DE OBLIGACIONES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AUTORIZACIÓN PARA LA EMISIÓN DE BONOS, TÍTULOS Y VALORES DE LA DEUDA PÚBLICA INTERNA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AUTORIZACIÓN PARA LA EMISIÓN DE BONOS, TÍTULOS Y VALORES DE LA DEUDA PÚBLICA EXTERNA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EMISIONES AUTORIZADAS DE LA DEUDA PÚBLICA INTERNA Y EXTERNA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SUSCRIPCIÓN DE CONTRATOS DE PRÉSTAMOS Y OTRAS OBLIGACIONES DE LA DEUDA PÚBLICA INTERNA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SUSCRIPCIÓN DE CONTRATOS DE PRÉSTAMOS Y OTRAS OBLIGACIONES DE LA DEUDA PÚBLICA EXTERNA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CONTRATOS DE PRÉSTAMOS Y OTRAS OBLIGACIONES DE LA DEUDA PÚBLICA INTERNA Y EXTERNA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802,943,993.33</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AVALES Y GARANTIAS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AVALES AUTORIZADOS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AVALES FIRMADOS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FIANZAS Y GARANTÍAS RECIBIDAS POR DEUDAS A COBRAR</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FIANZAS Y GARANTÍAS RECIBIDAS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19,000.10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FIANZAS OTORGADAS PARA RESPALDAR OBLIGACIONES NO FISCALES DEL GOBIERNO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FIANZAS OTORGADAS DEL GOBIERNO PARA RESPALDAR OBLIGACIONES NO FISCALES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lastRenderedPageBreak/>
              <w:t>JUICIOS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DEMANDAS JUDICIAL EN PROCESO DE RESOLUCIÓN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RESOLUCIÓN DE DEMANDAS EN PROCESO JUDICIAL</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INVERSION MEDIANTE PROYECTOS PARA PRESTACION DE SERVICIOS (PPS) Y SIMILARES</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CONTRATOS PARA INVERSIÓN MEDIANTE PROYECTOS PARA PRESTACIÓN DE SERVICIOS (PPS) Y SIMILARES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INVERSIÓN PÚBLICA CONTRATADA MEDIANTE PROYECTOS PARA PRESTACIÓN DE SERVICIOS (PPS) Y SIMILARES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BIENES EN CONCESIONADOS O EN COMODATO</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BIENES BAJO CONTRATO EN CONCESIÓN</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CONTRATO DE CONCESIÓN POR BIENES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BIENES BAJO CONTRATO EN COMODATO</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CONTRATO DE COMODATO POR BIENES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BIENES ARQUEOLÓGICOS, ARTÍSTICOS E HISTÓRICOS EN CUSTODIA</w:t>
            </w:r>
          </w:p>
        </w:tc>
        <w:tc>
          <w:tcPr>
            <w:tcW w:w="0" w:type="auto"/>
            <w:vAlign w:val="center"/>
            <w:hideMark/>
          </w:tcPr>
          <w:p w:rsidR="005E0E9D" w:rsidRPr="0005019D" w:rsidRDefault="005E0E9D">
            <w:pPr>
              <w:rPr>
                <w:rFonts w:ascii="Barlow" w:eastAsia="Times New Roman" w:hAnsi="Barlow"/>
                <w:sz w:val="20"/>
                <w:szCs w:val="20"/>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BIENES ARQUEOLÓGICOS EN CUSTODIA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CUSTODIA DE BIENES ARQUEOLÓGICOS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BIENES ARTÍSTICOS EN CUSTODIA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CUSTODIA DE BIENES ARTÍSTICOS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t>BIENES HISTÓRICOS EN CUSTODIA</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20"/>
                <w:szCs w:val="20"/>
              </w:rPr>
            </w:pPr>
            <w:r w:rsidRPr="0005019D">
              <w:rPr>
                <w:rFonts w:ascii="Barlow" w:eastAsia="Times New Roman" w:hAnsi="Barlow"/>
                <w:color w:val="000000"/>
                <w:sz w:val="20"/>
                <w:szCs w:val="20"/>
              </w:rPr>
              <w:lastRenderedPageBreak/>
              <w:t>CUSTODIA DE BIENES HISTÓRICOS</w:t>
            </w:r>
          </w:p>
        </w:tc>
        <w:tc>
          <w:tcPr>
            <w:tcW w:w="0" w:type="auto"/>
            <w:vAlign w:val="center"/>
            <w:hideMark/>
          </w:tcPr>
          <w:p w:rsidR="005E0E9D" w:rsidRPr="0005019D" w:rsidRDefault="00E35EF3">
            <w:pPr>
              <w:jc w:val="right"/>
              <w:rPr>
                <w:rFonts w:ascii="Barlow" w:eastAsia="Times New Roman" w:hAnsi="Barlow"/>
                <w:sz w:val="20"/>
                <w:szCs w:val="20"/>
              </w:rPr>
            </w:pPr>
            <w:r w:rsidRPr="0005019D">
              <w:rPr>
                <w:rFonts w:ascii="Barlow" w:eastAsia="Times New Roman" w:hAnsi="Barlow"/>
                <w:color w:val="000000"/>
                <w:sz w:val="20"/>
                <w:szCs w:val="20"/>
              </w:rPr>
              <w:t>53.00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20"/>
                <w:szCs w:val="20"/>
              </w:rPr>
            </w:pPr>
            <w:r w:rsidRPr="0005019D">
              <w:rPr>
                <w:rStyle w:val="Textoennegrita"/>
                <w:rFonts w:ascii="Barlow" w:eastAsia="Times New Roman" w:hAnsi="Barlow"/>
                <w:color w:val="000000"/>
                <w:sz w:val="20"/>
                <w:szCs w:val="20"/>
              </w:rPr>
              <w:t>TOTAL</w:t>
            </w:r>
          </w:p>
        </w:tc>
        <w:tc>
          <w:tcPr>
            <w:tcW w:w="0" w:type="auto"/>
            <w:tcBorders>
              <w:top w:val="single" w:sz="12" w:space="0" w:color="000000"/>
              <w:bottom w:val="single" w:sz="12" w:space="0" w:color="000000"/>
            </w:tcBorders>
            <w:vAlign w:val="center"/>
            <w:hideMark/>
          </w:tcPr>
          <w:p w:rsidR="005E0E9D" w:rsidRPr="0005019D" w:rsidRDefault="00E35EF3">
            <w:pPr>
              <w:jc w:val="right"/>
              <w:rPr>
                <w:rFonts w:ascii="Barlow" w:eastAsia="Times New Roman" w:hAnsi="Barlow"/>
                <w:sz w:val="20"/>
                <w:szCs w:val="20"/>
              </w:rPr>
            </w:pPr>
            <w:r w:rsidRPr="0005019D">
              <w:rPr>
                <w:rStyle w:val="Textoennegrita"/>
                <w:rFonts w:ascii="Barlow" w:eastAsia="Times New Roman" w:hAnsi="Barlow"/>
                <w:color w:val="000000"/>
                <w:sz w:val="20"/>
                <w:szCs w:val="20"/>
              </w:rPr>
              <w:t>803,037,546.43</w:t>
            </w:r>
          </w:p>
        </w:tc>
      </w:tr>
    </w:tbl>
    <w:p w:rsidR="005E0E9D" w:rsidRPr="0005019D" w:rsidRDefault="00E35EF3">
      <w:pPr>
        <w:rPr>
          <w:rFonts w:ascii="Barlow" w:eastAsia="Times New Roman" w:hAnsi="Barlow"/>
          <w:sz w:val="20"/>
          <w:szCs w:val="20"/>
        </w:rPr>
      </w:pPr>
      <w:r w:rsidRPr="0005019D">
        <w:rPr>
          <w:rFonts w:ascii="Times New Roman" w:eastAsia="Times New Roman" w:hAnsi="Times New Roman" w:cs="Times New Roman"/>
          <w:sz w:val="20"/>
          <w:szCs w:val="20"/>
        </w:rPr>
        <w:t>●</w:t>
      </w:r>
      <w:r w:rsidRPr="0005019D">
        <w:rPr>
          <w:rFonts w:ascii="Barlow" w:eastAsia="Times New Roman" w:hAnsi="Barlow" w:cs="Barlow"/>
          <w:sz w:val="20"/>
          <w:szCs w:val="20"/>
        </w:rPr>
        <w:t>  </w:t>
      </w:r>
      <w:r w:rsidRPr="0005019D">
        <w:rPr>
          <w:rFonts w:ascii="Barlow" w:eastAsia="Times New Roman" w:hAnsi="Barlow"/>
          <w:sz w:val="20"/>
          <w:szCs w:val="20"/>
        </w:rPr>
        <w:t xml:space="preserve"> Cuentas presupuestarias.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949"/>
        <w:gridCol w:w="1827"/>
      </w:tblGrid>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LEY DE INGRESOS</w:t>
            </w:r>
          </w:p>
        </w:tc>
        <w:tc>
          <w:tcPr>
            <w:tcW w:w="0" w:type="auto"/>
            <w:vAlign w:val="center"/>
            <w:hideMark/>
          </w:tcPr>
          <w:p w:rsidR="005E0E9D" w:rsidRPr="0005019D" w:rsidRDefault="005E0E9D">
            <w:pPr>
              <w:rPr>
                <w:rFonts w:ascii="Barlow" w:eastAsia="Times New Roman" w:hAnsi="Barlow"/>
                <w:sz w:val="18"/>
                <w:szCs w:val="18"/>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LEY DE INGRESOS ESTIMADA</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60,873,531,760.00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LEY DE INGRESOS POR EJECUTAR</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47,258,420,926.42</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MODIFICACIONES A LA LEY DE INGRESOS ESTIMADA</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32,986,843.00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LEY DE INGRESOS DEVENGADA</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LEY DE INGRESOS RECAUDADA</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13,648,097,676.58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sz w:val="18"/>
                <w:szCs w:val="18"/>
              </w:rPr>
            </w:pPr>
            <w:r w:rsidRPr="0005019D">
              <w:rPr>
                <w:rStyle w:val="Textoennegrita"/>
                <w:rFonts w:ascii="Barlow" w:eastAsia="Times New Roman" w:hAnsi="Barlow"/>
                <w:color w:val="000000"/>
                <w:sz w:val="18"/>
                <w:szCs w:val="18"/>
              </w:rPr>
              <w:t>PRESUPUESTO DE EGRESOS</w:t>
            </w:r>
          </w:p>
        </w:tc>
        <w:tc>
          <w:tcPr>
            <w:tcW w:w="0" w:type="auto"/>
            <w:vAlign w:val="center"/>
            <w:hideMark/>
          </w:tcPr>
          <w:p w:rsidR="005E0E9D" w:rsidRPr="0005019D" w:rsidRDefault="005E0E9D">
            <w:pPr>
              <w:rPr>
                <w:rFonts w:ascii="Barlow" w:eastAsia="Times New Roman" w:hAnsi="Barlow"/>
                <w:sz w:val="18"/>
                <w:szCs w:val="18"/>
              </w:rPr>
            </w:pP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APROBADO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60,815,126,260.00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MODIFICACIONES AL PRESUPUESTO DE EGRESOS APROBADO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1,963,743,873.24</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POR EJERCER</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48,683,901,299.95</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COMPROMETIDO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891,081,317.60</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DEVENGADO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479,580,232.58</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EJERCIDO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34,025,235.86</w:t>
            </w:r>
          </w:p>
        </w:tc>
      </w:tr>
      <w:tr w:rsidR="005E0E9D" w:rsidRPr="0005019D">
        <w:trPr>
          <w:tblCellSpacing w:w="15" w:type="dxa"/>
        </w:trPr>
        <w:tc>
          <w:tcPr>
            <w:tcW w:w="0" w:type="auto"/>
            <w:vAlign w:val="center"/>
            <w:hideMark/>
          </w:tcPr>
          <w:p w:rsidR="005E0E9D" w:rsidRPr="0005019D" w:rsidRDefault="00E35EF3">
            <w:pPr>
              <w:rPr>
                <w:rFonts w:ascii="Barlow" w:eastAsia="Times New Roman" w:hAnsi="Barlow"/>
                <w:color w:val="000000"/>
                <w:sz w:val="18"/>
                <w:szCs w:val="18"/>
              </w:rPr>
            </w:pPr>
            <w:r w:rsidRPr="0005019D">
              <w:rPr>
                <w:rFonts w:ascii="Barlow" w:eastAsia="Times New Roman" w:hAnsi="Barlow"/>
                <w:color w:val="000000"/>
                <w:sz w:val="18"/>
                <w:szCs w:val="18"/>
              </w:rPr>
              <w:t>PRESUPUESTO DE EGRESOS PAGADO</w:t>
            </w:r>
          </w:p>
        </w:tc>
        <w:tc>
          <w:tcPr>
            <w:tcW w:w="0" w:type="auto"/>
            <w:vAlign w:val="center"/>
            <w:hideMark/>
          </w:tcPr>
          <w:p w:rsidR="005E0E9D" w:rsidRPr="0005019D" w:rsidRDefault="00E35EF3">
            <w:pPr>
              <w:jc w:val="right"/>
              <w:rPr>
                <w:rFonts w:ascii="Barlow" w:eastAsia="Times New Roman" w:hAnsi="Barlow"/>
                <w:sz w:val="18"/>
                <w:szCs w:val="18"/>
              </w:rPr>
            </w:pPr>
            <w:r w:rsidRPr="0005019D">
              <w:rPr>
                <w:rFonts w:ascii="Barlow" w:eastAsia="Times New Roman" w:hAnsi="Barlow"/>
                <w:color w:val="000000"/>
                <w:sz w:val="18"/>
                <w:szCs w:val="18"/>
              </w:rPr>
              <w:t>12,690,282,047.25</w:t>
            </w:r>
          </w:p>
        </w:tc>
      </w:tr>
    </w:tbl>
    <w:p w:rsidR="005E0E9D" w:rsidRDefault="00E35EF3">
      <w:pPr>
        <w:rPr>
          <w:rFonts w:ascii="Barlow" w:eastAsia="Times New Roman" w:hAnsi="Barlow"/>
          <w:sz w:val="20"/>
          <w:szCs w:val="20"/>
        </w:rPr>
      </w:pPr>
      <w:r w:rsidRPr="0005019D">
        <w:rPr>
          <w:rFonts w:ascii="Barlow" w:eastAsia="Times New Roman" w:hAnsi="Barlow"/>
          <w:sz w:val="20"/>
          <w:szCs w:val="20"/>
        </w:rPr>
        <w:t>Bajo protesta de decir verdad declaramos que los Estados Financieros y sus Notas son razonablemente correctos y responsabilidad del emisor.</w:t>
      </w:r>
    </w:p>
    <w:p w:rsidR="00E35EF3" w:rsidRDefault="00E35EF3">
      <w:pPr>
        <w:rPr>
          <w:rFonts w:ascii="Barlow" w:eastAsia="Times New Roman" w:hAnsi="Barlow"/>
          <w:sz w:val="20"/>
          <w:szCs w:val="20"/>
        </w:rPr>
      </w:pPr>
    </w:p>
    <w:sectPr w:rsidR="00E35EF3">
      <w:headerReference w:type="default" r:id="rId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DE" w:rsidRDefault="000F50DE" w:rsidP="00103EA5">
      <w:pPr>
        <w:spacing w:after="0" w:line="240" w:lineRule="auto"/>
      </w:pPr>
      <w:r>
        <w:separator/>
      </w:r>
    </w:p>
  </w:endnote>
  <w:endnote w:type="continuationSeparator" w:id="0">
    <w:p w:rsidR="000F50DE" w:rsidRDefault="000F50DE" w:rsidP="0010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oberana Sans">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DE" w:rsidRDefault="000F50DE" w:rsidP="00103EA5">
      <w:pPr>
        <w:spacing w:after="0" w:line="240" w:lineRule="auto"/>
      </w:pPr>
      <w:r>
        <w:separator/>
      </w:r>
    </w:p>
  </w:footnote>
  <w:footnote w:type="continuationSeparator" w:id="0">
    <w:p w:rsidR="000F50DE" w:rsidRDefault="000F50DE" w:rsidP="00103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EA5" w:rsidRDefault="00103EA5">
    <w:pPr>
      <w:pStyle w:val="Encabezado"/>
    </w:pPr>
    <w:r>
      <w:rPr>
        <w:noProof/>
      </w:rPr>
      <w:drawing>
        <wp:inline distT="0" distB="0" distL="0" distR="0" wp14:anchorId="68E38F54">
          <wp:extent cx="944880" cy="4095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05" cy="4140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71D8C"/>
    <w:multiLevelType w:val="hybridMultilevel"/>
    <w:tmpl w:val="6F600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CF30E4"/>
    <w:multiLevelType w:val="hybridMultilevel"/>
    <w:tmpl w:val="63C88314"/>
    <w:lvl w:ilvl="0" w:tplc="156E62CE">
      <w:start w:val="1"/>
      <w:numFmt w:val="lowerLetter"/>
      <w:lvlText w:val="%1)"/>
      <w:lvlJc w:val="left"/>
      <w:pPr>
        <w:ind w:left="765" w:hanging="360"/>
      </w:pPr>
      <w:rPr>
        <w:rFonts w:ascii="Barlow" w:eastAsia="Times New Roman" w:hAnsi="Barlow"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76F86C35"/>
    <w:multiLevelType w:val="hybridMultilevel"/>
    <w:tmpl w:val="A55C6504"/>
    <w:lvl w:ilvl="0" w:tplc="9F007178">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9D"/>
    <w:rsid w:val="0005019D"/>
    <w:rsid w:val="000E6E46"/>
    <w:rsid w:val="000F50DE"/>
    <w:rsid w:val="00103EA5"/>
    <w:rsid w:val="00135F45"/>
    <w:rsid w:val="001860F9"/>
    <w:rsid w:val="002732B3"/>
    <w:rsid w:val="002C0F13"/>
    <w:rsid w:val="00404D9D"/>
    <w:rsid w:val="00423215"/>
    <w:rsid w:val="00487956"/>
    <w:rsid w:val="00516784"/>
    <w:rsid w:val="005510DF"/>
    <w:rsid w:val="00575B65"/>
    <w:rsid w:val="005A5E25"/>
    <w:rsid w:val="005E0E9D"/>
    <w:rsid w:val="006328C0"/>
    <w:rsid w:val="006A07DA"/>
    <w:rsid w:val="006E4963"/>
    <w:rsid w:val="007C2AD2"/>
    <w:rsid w:val="008071A0"/>
    <w:rsid w:val="008B272F"/>
    <w:rsid w:val="008B4ECD"/>
    <w:rsid w:val="008C0F77"/>
    <w:rsid w:val="008C1E5D"/>
    <w:rsid w:val="008E4C54"/>
    <w:rsid w:val="00980A57"/>
    <w:rsid w:val="009D05E0"/>
    <w:rsid w:val="00A03B33"/>
    <w:rsid w:val="00A04A79"/>
    <w:rsid w:val="00A7164F"/>
    <w:rsid w:val="00B14866"/>
    <w:rsid w:val="00B95E04"/>
    <w:rsid w:val="00C1261B"/>
    <w:rsid w:val="00CC5187"/>
    <w:rsid w:val="00CD0D32"/>
    <w:rsid w:val="00CF2081"/>
    <w:rsid w:val="00D067D6"/>
    <w:rsid w:val="00D44B5C"/>
    <w:rsid w:val="00D82D29"/>
    <w:rsid w:val="00D9648B"/>
    <w:rsid w:val="00DD01A4"/>
    <w:rsid w:val="00E35D41"/>
    <w:rsid w:val="00E35EF3"/>
    <w:rsid w:val="00EE12ED"/>
    <w:rsid w:val="00EE4A98"/>
    <w:rsid w:val="00F969B2"/>
    <w:rsid w:val="00FC0B2A"/>
    <w:rsid w:val="00FC5C5B"/>
    <w:rsid w:val="00FF0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6A8DC"/>
  <w15:docId w15:val="{67B6D1B8-17F6-4634-8354-DEAB3B7C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Pr>
      <w:b/>
      <w:bCs/>
    </w:rPr>
  </w:style>
  <w:style w:type="table" w:styleId="Tabladecuadrcula1clara">
    <w:name w:val="Grid Table 1 Light"/>
    <w:basedOn w:val="Tablanormal"/>
    <w:uiPriority w:val="46"/>
    <w:rsid w:val="005510DF"/>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D9648B"/>
    <w:pPr>
      <w:spacing w:after="0" w:line="240" w:lineRule="auto"/>
      <w:ind w:left="720"/>
      <w:contextualSpacing/>
    </w:pPr>
    <w:rPr>
      <w:rFonts w:ascii="Calibri" w:eastAsiaTheme="minorHAnsi" w:hAnsi="Calibri" w:cs="Times New Roman"/>
      <w:lang w:eastAsia="en-US"/>
    </w:rPr>
  </w:style>
  <w:style w:type="paragraph" w:styleId="Encabezado">
    <w:name w:val="header"/>
    <w:basedOn w:val="Normal"/>
    <w:link w:val="EncabezadoCar"/>
    <w:uiPriority w:val="99"/>
    <w:unhideWhenUsed/>
    <w:rsid w:val="00103E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3EA5"/>
  </w:style>
  <w:style w:type="paragraph" w:styleId="Piedepgina">
    <w:name w:val="footer"/>
    <w:basedOn w:val="Normal"/>
    <w:link w:val="PiedepginaCar"/>
    <w:uiPriority w:val="99"/>
    <w:unhideWhenUsed/>
    <w:rsid w:val="00103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257443">
      <w:marLeft w:val="0"/>
      <w:marRight w:val="0"/>
      <w:marTop w:val="0"/>
      <w:marBottom w:val="0"/>
      <w:divBdr>
        <w:top w:val="none" w:sz="0" w:space="0" w:color="auto"/>
        <w:left w:val="none" w:sz="0" w:space="0" w:color="auto"/>
        <w:bottom w:val="none" w:sz="0" w:space="0" w:color="auto"/>
        <w:right w:val="none" w:sz="0" w:space="0" w:color="auto"/>
      </w:divBdr>
      <w:divsChild>
        <w:div w:id="708841809">
          <w:marLeft w:val="0"/>
          <w:marRight w:val="0"/>
          <w:marTop w:val="0"/>
          <w:marBottom w:val="0"/>
          <w:divBdr>
            <w:top w:val="none" w:sz="0" w:space="0" w:color="auto"/>
            <w:left w:val="none" w:sz="0" w:space="0" w:color="auto"/>
            <w:bottom w:val="none" w:sz="0" w:space="0" w:color="auto"/>
            <w:right w:val="none" w:sz="0" w:space="0" w:color="auto"/>
          </w:divBdr>
        </w:div>
        <w:div w:id="1757553226">
          <w:marLeft w:val="0"/>
          <w:marRight w:val="0"/>
          <w:marTop w:val="0"/>
          <w:marBottom w:val="0"/>
          <w:divBdr>
            <w:top w:val="none" w:sz="0" w:space="0" w:color="auto"/>
            <w:left w:val="none" w:sz="0" w:space="0" w:color="auto"/>
            <w:bottom w:val="none" w:sz="0" w:space="0" w:color="auto"/>
            <w:right w:val="none" w:sz="0" w:space="0" w:color="auto"/>
          </w:divBdr>
        </w:div>
        <w:div w:id="291374842">
          <w:marLeft w:val="360"/>
          <w:marRight w:val="0"/>
          <w:marTop w:val="0"/>
          <w:marBottom w:val="0"/>
          <w:divBdr>
            <w:top w:val="none" w:sz="0" w:space="0" w:color="auto"/>
            <w:left w:val="none" w:sz="0" w:space="0" w:color="auto"/>
            <w:bottom w:val="none" w:sz="0" w:space="0" w:color="auto"/>
            <w:right w:val="none" w:sz="0" w:space="0" w:color="auto"/>
          </w:divBdr>
        </w:div>
        <w:div w:id="1019309699">
          <w:marLeft w:val="600"/>
          <w:marRight w:val="0"/>
          <w:marTop w:val="0"/>
          <w:marBottom w:val="0"/>
          <w:divBdr>
            <w:top w:val="none" w:sz="0" w:space="0" w:color="auto"/>
            <w:left w:val="none" w:sz="0" w:space="0" w:color="auto"/>
            <w:bottom w:val="none" w:sz="0" w:space="0" w:color="auto"/>
            <w:right w:val="none" w:sz="0" w:space="0" w:color="auto"/>
          </w:divBdr>
        </w:div>
        <w:div w:id="1156343105">
          <w:marLeft w:val="360"/>
          <w:marRight w:val="0"/>
          <w:marTop w:val="0"/>
          <w:marBottom w:val="0"/>
          <w:divBdr>
            <w:top w:val="none" w:sz="0" w:space="0" w:color="auto"/>
            <w:left w:val="none" w:sz="0" w:space="0" w:color="auto"/>
            <w:bottom w:val="none" w:sz="0" w:space="0" w:color="auto"/>
            <w:right w:val="none" w:sz="0" w:space="0" w:color="auto"/>
          </w:divBdr>
        </w:div>
        <w:div w:id="107091526">
          <w:marLeft w:val="0"/>
          <w:marRight w:val="0"/>
          <w:marTop w:val="0"/>
          <w:marBottom w:val="0"/>
          <w:divBdr>
            <w:top w:val="none" w:sz="0" w:space="0" w:color="auto"/>
            <w:left w:val="none" w:sz="0" w:space="0" w:color="auto"/>
            <w:bottom w:val="none" w:sz="0" w:space="0" w:color="auto"/>
            <w:right w:val="none" w:sz="0" w:space="0" w:color="auto"/>
          </w:divBdr>
        </w:div>
        <w:div w:id="210654503">
          <w:marLeft w:val="360"/>
          <w:marRight w:val="0"/>
          <w:marTop w:val="0"/>
          <w:marBottom w:val="0"/>
          <w:divBdr>
            <w:top w:val="none" w:sz="0" w:space="0" w:color="auto"/>
            <w:left w:val="none" w:sz="0" w:space="0" w:color="auto"/>
            <w:bottom w:val="none" w:sz="0" w:space="0" w:color="auto"/>
            <w:right w:val="none" w:sz="0" w:space="0" w:color="auto"/>
          </w:divBdr>
        </w:div>
        <w:div w:id="1238514826">
          <w:marLeft w:val="0"/>
          <w:marRight w:val="0"/>
          <w:marTop w:val="0"/>
          <w:marBottom w:val="0"/>
          <w:divBdr>
            <w:top w:val="none" w:sz="0" w:space="0" w:color="auto"/>
            <w:left w:val="none" w:sz="0" w:space="0" w:color="auto"/>
            <w:bottom w:val="none" w:sz="0" w:space="0" w:color="auto"/>
            <w:right w:val="none" w:sz="0" w:space="0" w:color="auto"/>
          </w:divBdr>
        </w:div>
        <w:div w:id="167986659">
          <w:marLeft w:val="0"/>
          <w:marRight w:val="0"/>
          <w:marTop w:val="0"/>
          <w:marBottom w:val="0"/>
          <w:divBdr>
            <w:top w:val="none" w:sz="0" w:space="0" w:color="auto"/>
            <w:left w:val="none" w:sz="0" w:space="0" w:color="auto"/>
            <w:bottom w:val="none" w:sz="0" w:space="0" w:color="auto"/>
            <w:right w:val="none" w:sz="0" w:space="0" w:color="auto"/>
          </w:divBdr>
        </w:div>
        <w:div w:id="721296665">
          <w:marLeft w:val="0"/>
          <w:marRight w:val="0"/>
          <w:marTop w:val="0"/>
          <w:marBottom w:val="0"/>
          <w:divBdr>
            <w:top w:val="none" w:sz="0" w:space="0" w:color="auto"/>
            <w:left w:val="none" w:sz="0" w:space="0" w:color="auto"/>
            <w:bottom w:val="none" w:sz="0" w:space="0" w:color="auto"/>
            <w:right w:val="none" w:sz="0" w:space="0" w:color="auto"/>
          </w:divBdr>
        </w:div>
        <w:div w:id="1435246397">
          <w:marLeft w:val="0"/>
          <w:marRight w:val="0"/>
          <w:marTop w:val="0"/>
          <w:marBottom w:val="0"/>
          <w:divBdr>
            <w:top w:val="none" w:sz="0" w:space="0" w:color="auto"/>
            <w:left w:val="none" w:sz="0" w:space="0" w:color="auto"/>
            <w:bottom w:val="none" w:sz="0" w:space="0" w:color="auto"/>
            <w:right w:val="none" w:sz="0" w:space="0" w:color="auto"/>
          </w:divBdr>
        </w:div>
        <w:div w:id="156267726">
          <w:marLeft w:val="600"/>
          <w:marRight w:val="0"/>
          <w:marTop w:val="0"/>
          <w:marBottom w:val="0"/>
          <w:divBdr>
            <w:top w:val="none" w:sz="0" w:space="0" w:color="auto"/>
            <w:left w:val="none" w:sz="0" w:space="0" w:color="auto"/>
            <w:bottom w:val="none" w:sz="0" w:space="0" w:color="auto"/>
            <w:right w:val="none" w:sz="0" w:space="0" w:color="auto"/>
          </w:divBdr>
        </w:div>
        <w:div w:id="1024213568">
          <w:marLeft w:val="0"/>
          <w:marRight w:val="0"/>
          <w:marTop w:val="0"/>
          <w:marBottom w:val="0"/>
          <w:divBdr>
            <w:top w:val="none" w:sz="0" w:space="0" w:color="auto"/>
            <w:left w:val="none" w:sz="0" w:space="0" w:color="auto"/>
            <w:bottom w:val="none" w:sz="0" w:space="0" w:color="auto"/>
            <w:right w:val="none" w:sz="0" w:space="0" w:color="auto"/>
          </w:divBdr>
        </w:div>
        <w:div w:id="38672081">
          <w:marLeft w:val="0"/>
          <w:marRight w:val="0"/>
          <w:marTop w:val="0"/>
          <w:marBottom w:val="0"/>
          <w:divBdr>
            <w:top w:val="none" w:sz="0" w:space="0" w:color="auto"/>
            <w:left w:val="none" w:sz="0" w:space="0" w:color="auto"/>
            <w:bottom w:val="none" w:sz="0" w:space="0" w:color="auto"/>
            <w:right w:val="none" w:sz="0" w:space="0" w:color="auto"/>
          </w:divBdr>
        </w:div>
        <w:div w:id="1653948860">
          <w:marLeft w:val="0"/>
          <w:marRight w:val="0"/>
          <w:marTop w:val="0"/>
          <w:marBottom w:val="0"/>
          <w:divBdr>
            <w:top w:val="none" w:sz="0" w:space="0" w:color="auto"/>
            <w:left w:val="none" w:sz="0" w:space="0" w:color="auto"/>
            <w:bottom w:val="none" w:sz="0" w:space="0" w:color="auto"/>
            <w:right w:val="none" w:sz="0" w:space="0" w:color="auto"/>
          </w:divBdr>
        </w:div>
        <w:div w:id="1925263781">
          <w:marLeft w:val="0"/>
          <w:marRight w:val="0"/>
          <w:marTop w:val="0"/>
          <w:marBottom w:val="0"/>
          <w:divBdr>
            <w:top w:val="none" w:sz="0" w:space="0" w:color="auto"/>
            <w:left w:val="none" w:sz="0" w:space="0" w:color="auto"/>
            <w:bottom w:val="none" w:sz="0" w:space="0" w:color="auto"/>
            <w:right w:val="none" w:sz="0" w:space="0" w:color="auto"/>
          </w:divBdr>
        </w:div>
        <w:div w:id="571159117">
          <w:marLeft w:val="600"/>
          <w:marRight w:val="0"/>
          <w:marTop w:val="0"/>
          <w:marBottom w:val="0"/>
          <w:divBdr>
            <w:top w:val="none" w:sz="0" w:space="0" w:color="auto"/>
            <w:left w:val="none" w:sz="0" w:space="0" w:color="auto"/>
            <w:bottom w:val="none" w:sz="0" w:space="0" w:color="auto"/>
            <w:right w:val="none" w:sz="0" w:space="0" w:color="auto"/>
          </w:divBdr>
        </w:div>
        <w:div w:id="1086875643">
          <w:marLeft w:val="360"/>
          <w:marRight w:val="0"/>
          <w:marTop w:val="0"/>
          <w:marBottom w:val="0"/>
          <w:divBdr>
            <w:top w:val="none" w:sz="0" w:space="0" w:color="auto"/>
            <w:left w:val="none" w:sz="0" w:space="0" w:color="auto"/>
            <w:bottom w:val="none" w:sz="0" w:space="0" w:color="auto"/>
            <w:right w:val="none" w:sz="0" w:space="0" w:color="auto"/>
          </w:divBdr>
        </w:div>
        <w:div w:id="545873261">
          <w:marLeft w:val="0"/>
          <w:marRight w:val="0"/>
          <w:marTop w:val="0"/>
          <w:marBottom w:val="0"/>
          <w:divBdr>
            <w:top w:val="none" w:sz="0" w:space="0" w:color="auto"/>
            <w:left w:val="none" w:sz="0" w:space="0" w:color="auto"/>
            <w:bottom w:val="none" w:sz="0" w:space="0" w:color="auto"/>
            <w:right w:val="none" w:sz="0" w:space="0" w:color="auto"/>
          </w:divBdr>
        </w:div>
        <w:div w:id="1017736745">
          <w:marLeft w:val="360"/>
          <w:marRight w:val="0"/>
          <w:marTop w:val="0"/>
          <w:marBottom w:val="0"/>
          <w:divBdr>
            <w:top w:val="none" w:sz="0" w:space="0" w:color="auto"/>
            <w:left w:val="none" w:sz="0" w:space="0" w:color="auto"/>
            <w:bottom w:val="none" w:sz="0" w:space="0" w:color="auto"/>
            <w:right w:val="none" w:sz="0" w:space="0" w:color="auto"/>
          </w:divBdr>
        </w:div>
        <w:div w:id="1094088483">
          <w:marLeft w:val="0"/>
          <w:marRight w:val="0"/>
          <w:marTop w:val="0"/>
          <w:marBottom w:val="0"/>
          <w:divBdr>
            <w:top w:val="none" w:sz="0" w:space="0" w:color="auto"/>
            <w:left w:val="none" w:sz="0" w:space="0" w:color="auto"/>
            <w:bottom w:val="none" w:sz="0" w:space="0" w:color="auto"/>
            <w:right w:val="none" w:sz="0" w:space="0" w:color="auto"/>
          </w:divBdr>
        </w:div>
        <w:div w:id="713164151">
          <w:marLeft w:val="360"/>
          <w:marRight w:val="0"/>
          <w:marTop w:val="0"/>
          <w:marBottom w:val="0"/>
          <w:divBdr>
            <w:top w:val="none" w:sz="0" w:space="0" w:color="auto"/>
            <w:left w:val="none" w:sz="0" w:space="0" w:color="auto"/>
            <w:bottom w:val="none" w:sz="0" w:space="0" w:color="auto"/>
            <w:right w:val="none" w:sz="0" w:space="0" w:color="auto"/>
          </w:divBdr>
        </w:div>
        <w:div w:id="654725590">
          <w:marLeft w:val="0"/>
          <w:marRight w:val="0"/>
          <w:marTop w:val="0"/>
          <w:marBottom w:val="0"/>
          <w:divBdr>
            <w:top w:val="none" w:sz="0" w:space="0" w:color="auto"/>
            <w:left w:val="none" w:sz="0" w:space="0" w:color="auto"/>
            <w:bottom w:val="none" w:sz="0" w:space="0" w:color="auto"/>
            <w:right w:val="none" w:sz="0" w:space="0" w:color="auto"/>
          </w:divBdr>
        </w:div>
        <w:div w:id="552734132">
          <w:marLeft w:val="360"/>
          <w:marRight w:val="0"/>
          <w:marTop w:val="0"/>
          <w:marBottom w:val="0"/>
          <w:divBdr>
            <w:top w:val="none" w:sz="0" w:space="0" w:color="auto"/>
            <w:left w:val="none" w:sz="0" w:space="0" w:color="auto"/>
            <w:bottom w:val="none" w:sz="0" w:space="0" w:color="auto"/>
            <w:right w:val="none" w:sz="0" w:space="0" w:color="auto"/>
          </w:divBdr>
        </w:div>
        <w:div w:id="995037347">
          <w:marLeft w:val="600"/>
          <w:marRight w:val="0"/>
          <w:marTop w:val="0"/>
          <w:marBottom w:val="0"/>
          <w:divBdr>
            <w:top w:val="none" w:sz="0" w:space="0" w:color="auto"/>
            <w:left w:val="none" w:sz="0" w:space="0" w:color="auto"/>
            <w:bottom w:val="none" w:sz="0" w:space="0" w:color="auto"/>
            <w:right w:val="none" w:sz="0" w:space="0" w:color="auto"/>
          </w:divBdr>
        </w:div>
        <w:div w:id="936210178">
          <w:marLeft w:val="840"/>
          <w:marRight w:val="0"/>
          <w:marTop w:val="0"/>
          <w:marBottom w:val="0"/>
          <w:divBdr>
            <w:top w:val="none" w:sz="0" w:space="0" w:color="auto"/>
            <w:left w:val="none" w:sz="0" w:space="0" w:color="auto"/>
            <w:bottom w:val="none" w:sz="0" w:space="0" w:color="auto"/>
            <w:right w:val="none" w:sz="0" w:space="0" w:color="auto"/>
          </w:divBdr>
        </w:div>
        <w:div w:id="1162045153">
          <w:marLeft w:val="840"/>
          <w:marRight w:val="0"/>
          <w:marTop w:val="0"/>
          <w:marBottom w:val="0"/>
          <w:divBdr>
            <w:top w:val="none" w:sz="0" w:space="0" w:color="auto"/>
            <w:left w:val="none" w:sz="0" w:space="0" w:color="auto"/>
            <w:bottom w:val="none" w:sz="0" w:space="0" w:color="auto"/>
            <w:right w:val="none" w:sz="0" w:space="0" w:color="auto"/>
          </w:divBdr>
        </w:div>
        <w:div w:id="1614508902">
          <w:marLeft w:val="840"/>
          <w:marRight w:val="0"/>
          <w:marTop w:val="0"/>
          <w:marBottom w:val="0"/>
          <w:divBdr>
            <w:top w:val="none" w:sz="0" w:space="0" w:color="auto"/>
            <w:left w:val="none" w:sz="0" w:space="0" w:color="auto"/>
            <w:bottom w:val="none" w:sz="0" w:space="0" w:color="auto"/>
            <w:right w:val="none" w:sz="0" w:space="0" w:color="auto"/>
          </w:divBdr>
        </w:div>
        <w:div w:id="1092778995">
          <w:marLeft w:val="840"/>
          <w:marRight w:val="0"/>
          <w:marTop w:val="0"/>
          <w:marBottom w:val="0"/>
          <w:divBdr>
            <w:top w:val="none" w:sz="0" w:space="0" w:color="auto"/>
            <w:left w:val="none" w:sz="0" w:space="0" w:color="auto"/>
            <w:bottom w:val="none" w:sz="0" w:space="0" w:color="auto"/>
            <w:right w:val="none" w:sz="0" w:space="0" w:color="auto"/>
          </w:divBdr>
        </w:div>
        <w:div w:id="968701154">
          <w:marLeft w:val="840"/>
          <w:marRight w:val="0"/>
          <w:marTop w:val="0"/>
          <w:marBottom w:val="0"/>
          <w:divBdr>
            <w:top w:val="none" w:sz="0" w:space="0" w:color="auto"/>
            <w:left w:val="none" w:sz="0" w:space="0" w:color="auto"/>
            <w:bottom w:val="none" w:sz="0" w:space="0" w:color="auto"/>
            <w:right w:val="none" w:sz="0" w:space="0" w:color="auto"/>
          </w:divBdr>
        </w:div>
        <w:div w:id="1187869424">
          <w:marLeft w:val="840"/>
          <w:marRight w:val="0"/>
          <w:marTop w:val="0"/>
          <w:marBottom w:val="0"/>
          <w:divBdr>
            <w:top w:val="none" w:sz="0" w:space="0" w:color="auto"/>
            <w:left w:val="none" w:sz="0" w:space="0" w:color="auto"/>
            <w:bottom w:val="none" w:sz="0" w:space="0" w:color="auto"/>
            <w:right w:val="none" w:sz="0" w:space="0" w:color="auto"/>
          </w:divBdr>
        </w:div>
        <w:div w:id="39787266">
          <w:marLeft w:val="840"/>
          <w:marRight w:val="0"/>
          <w:marTop w:val="0"/>
          <w:marBottom w:val="0"/>
          <w:divBdr>
            <w:top w:val="none" w:sz="0" w:space="0" w:color="auto"/>
            <w:left w:val="none" w:sz="0" w:space="0" w:color="auto"/>
            <w:bottom w:val="none" w:sz="0" w:space="0" w:color="auto"/>
            <w:right w:val="none" w:sz="0" w:space="0" w:color="auto"/>
          </w:divBdr>
        </w:div>
        <w:div w:id="758258668">
          <w:marLeft w:val="840"/>
          <w:marRight w:val="0"/>
          <w:marTop w:val="0"/>
          <w:marBottom w:val="0"/>
          <w:divBdr>
            <w:top w:val="none" w:sz="0" w:space="0" w:color="auto"/>
            <w:left w:val="none" w:sz="0" w:space="0" w:color="auto"/>
            <w:bottom w:val="none" w:sz="0" w:space="0" w:color="auto"/>
            <w:right w:val="none" w:sz="0" w:space="0" w:color="auto"/>
          </w:divBdr>
        </w:div>
        <w:div w:id="1087077016">
          <w:marLeft w:val="840"/>
          <w:marRight w:val="0"/>
          <w:marTop w:val="0"/>
          <w:marBottom w:val="0"/>
          <w:divBdr>
            <w:top w:val="none" w:sz="0" w:space="0" w:color="auto"/>
            <w:left w:val="none" w:sz="0" w:space="0" w:color="auto"/>
            <w:bottom w:val="none" w:sz="0" w:space="0" w:color="auto"/>
            <w:right w:val="none" w:sz="0" w:space="0" w:color="auto"/>
          </w:divBdr>
        </w:div>
        <w:div w:id="1400786782">
          <w:marLeft w:val="840"/>
          <w:marRight w:val="0"/>
          <w:marTop w:val="0"/>
          <w:marBottom w:val="0"/>
          <w:divBdr>
            <w:top w:val="none" w:sz="0" w:space="0" w:color="auto"/>
            <w:left w:val="none" w:sz="0" w:space="0" w:color="auto"/>
            <w:bottom w:val="none" w:sz="0" w:space="0" w:color="auto"/>
            <w:right w:val="none" w:sz="0" w:space="0" w:color="auto"/>
          </w:divBdr>
        </w:div>
        <w:div w:id="2017921105">
          <w:marLeft w:val="840"/>
          <w:marRight w:val="0"/>
          <w:marTop w:val="0"/>
          <w:marBottom w:val="0"/>
          <w:divBdr>
            <w:top w:val="none" w:sz="0" w:space="0" w:color="auto"/>
            <w:left w:val="none" w:sz="0" w:space="0" w:color="auto"/>
            <w:bottom w:val="none" w:sz="0" w:space="0" w:color="auto"/>
            <w:right w:val="none" w:sz="0" w:space="0" w:color="auto"/>
          </w:divBdr>
        </w:div>
        <w:div w:id="417792996">
          <w:marLeft w:val="0"/>
          <w:marRight w:val="0"/>
          <w:marTop w:val="0"/>
          <w:marBottom w:val="0"/>
          <w:divBdr>
            <w:top w:val="none" w:sz="0" w:space="0" w:color="auto"/>
            <w:left w:val="none" w:sz="0" w:space="0" w:color="auto"/>
            <w:bottom w:val="none" w:sz="0" w:space="0" w:color="auto"/>
            <w:right w:val="none" w:sz="0" w:space="0" w:color="auto"/>
          </w:divBdr>
        </w:div>
        <w:div w:id="976028049">
          <w:marLeft w:val="360"/>
          <w:marRight w:val="0"/>
          <w:marTop w:val="0"/>
          <w:marBottom w:val="0"/>
          <w:divBdr>
            <w:top w:val="none" w:sz="0" w:space="0" w:color="auto"/>
            <w:left w:val="none" w:sz="0" w:space="0" w:color="auto"/>
            <w:bottom w:val="none" w:sz="0" w:space="0" w:color="auto"/>
            <w:right w:val="none" w:sz="0" w:space="0" w:color="auto"/>
          </w:divBdr>
        </w:div>
        <w:div w:id="598685543">
          <w:marLeft w:val="0"/>
          <w:marRight w:val="0"/>
          <w:marTop w:val="0"/>
          <w:marBottom w:val="0"/>
          <w:divBdr>
            <w:top w:val="none" w:sz="0" w:space="0" w:color="auto"/>
            <w:left w:val="none" w:sz="0" w:space="0" w:color="auto"/>
            <w:bottom w:val="none" w:sz="0" w:space="0" w:color="auto"/>
            <w:right w:val="none" w:sz="0" w:space="0" w:color="auto"/>
          </w:divBdr>
        </w:div>
        <w:div w:id="1886091851">
          <w:marLeft w:val="0"/>
          <w:marRight w:val="0"/>
          <w:marTop w:val="0"/>
          <w:marBottom w:val="0"/>
          <w:divBdr>
            <w:top w:val="none" w:sz="0" w:space="0" w:color="auto"/>
            <w:left w:val="none" w:sz="0" w:space="0" w:color="auto"/>
            <w:bottom w:val="none" w:sz="0" w:space="0" w:color="auto"/>
            <w:right w:val="none" w:sz="0" w:space="0" w:color="auto"/>
          </w:divBdr>
        </w:div>
        <w:div w:id="927075173">
          <w:marLeft w:val="0"/>
          <w:marRight w:val="0"/>
          <w:marTop w:val="0"/>
          <w:marBottom w:val="0"/>
          <w:divBdr>
            <w:top w:val="none" w:sz="0" w:space="0" w:color="auto"/>
            <w:left w:val="none" w:sz="0" w:space="0" w:color="auto"/>
            <w:bottom w:val="none" w:sz="0" w:space="0" w:color="auto"/>
            <w:right w:val="none" w:sz="0" w:space="0" w:color="auto"/>
          </w:divBdr>
        </w:div>
        <w:div w:id="1005716135">
          <w:marLeft w:val="0"/>
          <w:marRight w:val="0"/>
          <w:marTop w:val="0"/>
          <w:marBottom w:val="0"/>
          <w:divBdr>
            <w:top w:val="none" w:sz="0" w:space="0" w:color="auto"/>
            <w:left w:val="none" w:sz="0" w:space="0" w:color="auto"/>
            <w:bottom w:val="none" w:sz="0" w:space="0" w:color="auto"/>
            <w:right w:val="none" w:sz="0" w:space="0" w:color="auto"/>
          </w:divBdr>
        </w:div>
        <w:div w:id="1197936897">
          <w:marLeft w:val="0"/>
          <w:marRight w:val="0"/>
          <w:marTop w:val="0"/>
          <w:marBottom w:val="0"/>
          <w:divBdr>
            <w:top w:val="none" w:sz="0" w:space="0" w:color="auto"/>
            <w:left w:val="none" w:sz="0" w:space="0" w:color="auto"/>
            <w:bottom w:val="none" w:sz="0" w:space="0" w:color="auto"/>
            <w:right w:val="none" w:sz="0" w:space="0" w:color="auto"/>
          </w:divBdr>
        </w:div>
        <w:div w:id="1666397271">
          <w:marLeft w:val="0"/>
          <w:marRight w:val="0"/>
          <w:marTop w:val="0"/>
          <w:marBottom w:val="0"/>
          <w:divBdr>
            <w:top w:val="none" w:sz="0" w:space="0" w:color="auto"/>
            <w:left w:val="none" w:sz="0" w:space="0" w:color="auto"/>
            <w:bottom w:val="none" w:sz="0" w:space="0" w:color="auto"/>
            <w:right w:val="none" w:sz="0" w:space="0" w:color="auto"/>
          </w:divBdr>
        </w:div>
        <w:div w:id="2104647714">
          <w:marLeft w:val="0"/>
          <w:marRight w:val="0"/>
          <w:marTop w:val="0"/>
          <w:marBottom w:val="0"/>
          <w:divBdr>
            <w:top w:val="none" w:sz="0" w:space="0" w:color="auto"/>
            <w:left w:val="none" w:sz="0" w:space="0" w:color="auto"/>
            <w:bottom w:val="none" w:sz="0" w:space="0" w:color="auto"/>
            <w:right w:val="none" w:sz="0" w:space="0" w:color="auto"/>
          </w:divBdr>
        </w:div>
        <w:div w:id="351296884">
          <w:marLeft w:val="0"/>
          <w:marRight w:val="0"/>
          <w:marTop w:val="0"/>
          <w:marBottom w:val="0"/>
          <w:divBdr>
            <w:top w:val="none" w:sz="0" w:space="0" w:color="auto"/>
            <w:left w:val="none" w:sz="0" w:space="0" w:color="auto"/>
            <w:bottom w:val="none" w:sz="0" w:space="0" w:color="auto"/>
            <w:right w:val="none" w:sz="0" w:space="0" w:color="auto"/>
          </w:divBdr>
        </w:div>
        <w:div w:id="1481383270">
          <w:marLeft w:val="0"/>
          <w:marRight w:val="0"/>
          <w:marTop w:val="0"/>
          <w:marBottom w:val="0"/>
          <w:divBdr>
            <w:top w:val="none" w:sz="0" w:space="0" w:color="auto"/>
            <w:left w:val="none" w:sz="0" w:space="0" w:color="auto"/>
            <w:bottom w:val="none" w:sz="0" w:space="0" w:color="auto"/>
            <w:right w:val="none" w:sz="0" w:space="0" w:color="auto"/>
          </w:divBdr>
        </w:div>
        <w:div w:id="1915164994">
          <w:marLeft w:val="0"/>
          <w:marRight w:val="0"/>
          <w:marTop w:val="0"/>
          <w:marBottom w:val="0"/>
          <w:divBdr>
            <w:top w:val="none" w:sz="0" w:space="0" w:color="auto"/>
            <w:left w:val="none" w:sz="0" w:space="0" w:color="auto"/>
            <w:bottom w:val="none" w:sz="0" w:space="0" w:color="auto"/>
            <w:right w:val="none" w:sz="0" w:space="0" w:color="auto"/>
          </w:divBdr>
        </w:div>
        <w:div w:id="288171470">
          <w:marLeft w:val="0"/>
          <w:marRight w:val="0"/>
          <w:marTop w:val="0"/>
          <w:marBottom w:val="0"/>
          <w:divBdr>
            <w:top w:val="none" w:sz="0" w:space="0" w:color="auto"/>
            <w:left w:val="none" w:sz="0" w:space="0" w:color="auto"/>
            <w:bottom w:val="none" w:sz="0" w:space="0" w:color="auto"/>
            <w:right w:val="none" w:sz="0" w:space="0" w:color="auto"/>
          </w:divBdr>
        </w:div>
        <w:div w:id="1584993445">
          <w:marLeft w:val="0"/>
          <w:marRight w:val="0"/>
          <w:marTop w:val="0"/>
          <w:marBottom w:val="0"/>
          <w:divBdr>
            <w:top w:val="none" w:sz="0" w:space="0" w:color="auto"/>
            <w:left w:val="none" w:sz="0" w:space="0" w:color="auto"/>
            <w:bottom w:val="none" w:sz="0" w:space="0" w:color="auto"/>
            <w:right w:val="none" w:sz="0" w:space="0" w:color="auto"/>
          </w:divBdr>
        </w:div>
        <w:div w:id="918713111">
          <w:marLeft w:val="0"/>
          <w:marRight w:val="0"/>
          <w:marTop w:val="0"/>
          <w:marBottom w:val="0"/>
          <w:divBdr>
            <w:top w:val="none" w:sz="0" w:space="0" w:color="auto"/>
            <w:left w:val="none" w:sz="0" w:space="0" w:color="auto"/>
            <w:bottom w:val="none" w:sz="0" w:space="0" w:color="auto"/>
            <w:right w:val="none" w:sz="0" w:space="0" w:color="auto"/>
          </w:divBdr>
        </w:div>
        <w:div w:id="668827641">
          <w:marLeft w:val="600"/>
          <w:marRight w:val="0"/>
          <w:marTop w:val="0"/>
          <w:marBottom w:val="0"/>
          <w:divBdr>
            <w:top w:val="none" w:sz="0" w:space="0" w:color="auto"/>
            <w:left w:val="none" w:sz="0" w:space="0" w:color="auto"/>
            <w:bottom w:val="none" w:sz="0" w:space="0" w:color="auto"/>
            <w:right w:val="none" w:sz="0" w:space="0" w:color="auto"/>
          </w:divBdr>
        </w:div>
        <w:div w:id="866723413">
          <w:marLeft w:val="360"/>
          <w:marRight w:val="0"/>
          <w:marTop w:val="0"/>
          <w:marBottom w:val="0"/>
          <w:divBdr>
            <w:top w:val="none" w:sz="0" w:space="0" w:color="auto"/>
            <w:left w:val="none" w:sz="0" w:space="0" w:color="auto"/>
            <w:bottom w:val="none" w:sz="0" w:space="0" w:color="auto"/>
            <w:right w:val="none" w:sz="0" w:space="0" w:color="auto"/>
          </w:divBdr>
        </w:div>
        <w:div w:id="537857902">
          <w:marLeft w:val="360"/>
          <w:marRight w:val="0"/>
          <w:marTop w:val="0"/>
          <w:marBottom w:val="0"/>
          <w:divBdr>
            <w:top w:val="none" w:sz="0" w:space="0" w:color="auto"/>
            <w:left w:val="none" w:sz="0" w:space="0" w:color="auto"/>
            <w:bottom w:val="none" w:sz="0" w:space="0" w:color="auto"/>
            <w:right w:val="none" w:sz="0" w:space="0" w:color="auto"/>
          </w:divBdr>
        </w:div>
        <w:div w:id="146829457">
          <w:marLeft w:val="360"/>
          <w:marRight w:val="0"/>
          <w:marTop w:val="0"/>
          <w:marBottom w:val="0"/>
          <w:divBdr>
            <w:top w:val="none" w:sz="0" w:space="0" w:color="auto"/>
            <w:left w:val="none" w:sz="0" w:space="0" w:color="auto"/>
            <w:bottom w:val="none" w:sz="0" w:space="0" w:color="auto"/>
            <w:right w:val="none" w:sz="0" w:space="0" w:color="auto"/>
          </w:divBdr>
        </w:div>
        <w:div w:id="221719225">
          <w:marLeft w:val="840"/>
          <w:marRight w:val="0"/>
          <w:marTop w:val="0"/>
          <w:marBottom w:val="0"/>
          <w:divBdr>
            <w:top w:val="none" w:sz="0" w:space="0" w:color="auto"/>
            <w:left w:val="none" w:sz="0" w:space="0" w:color="auto"/>
            <w:bottom w:val="none" w:sz="0" w:space="0" w:color="auto"/>
            <w:right w:val="none" w:sz="0" w:space="0" w:color="auto"/>
          </w:divBdr>
        </w:div>
        <w:div w:id="2131238078">
          <w:marLeft w:val="840"/>
          <w:marRight w:val="0"/>
          <w:marTop w:val="0"/>
          <w:marBottom w:val="0"/>
          <w:divBdr>
            <w:top w:val="none" w:sz="0" w:space="0" w:color="auto"/>
            <w:left w:val="none" w:sz="0" w:space="0" w:color="auto"/>
            <w:bottom w:val="none" w:sz="0" w:space="0" w:color="auto"/>
            <w:right w:val="none" w:sz="0" w:space="0" w:color="auto"/>
          </w:divBdr>
        </w:div>
        <w:div w:id="776411783">
          <w:marLeft w:val="840"/>
          <w:marRight w:val="0"/>
          <w:marTop w:val="0"/>
          <w:marBottom w:val="0"/>
          <w:divBdr>
            <w:top w:val="none" w:sz="0" w:space="0" w:color="auto"/>
            <w:left w:val="none" w:sz="0" w:space="0" w:color="auto"/>
            <w:bottom w:val="none" w:sz="0" w:space="0" w:color="auto"/>
            <w:right w:val="none" w:sz="0" w:space="0" w:color="auto"/>
          </w:divBdr>
        </w:div>
        <w:div w:id="760444921">
          <w:marLeft w:val="840"/>
          <w:marRight w:val="0"/>
          <w:marTop w:val="0"/>
          <w:marBottom w:val="0"/>
          <w:divBdr>
            <w:top w:val="none" w:sz="0" w:space="0" w:color="auto"/>
            <w:left w:val="none" w:sz="0" w:space="0" w:color="auto"/>
            <w:bottom w:val="none" w:sz="0" w:space="0" w:color="auto"/>
            <w:right w:val="none" w:sz="0" w:space="0" w:color="auto"/>
          </w:divBdr>
        </w:div>
        <w:div w:id="948045777">
          <w:marLeft w:val="840"/>
          <w:marRight w:val="0"/>
          <w:marTop w:val="0"/>
          <w:marBottom w:val="0"/>
          <w:divBdr>
            <w:top w:val="none" w:sz="0" w:space="0" w:color="auto"/>
            <w:left w:val="none" w:sz="0" w:space="0" w:color="auto"/>
            <w:bottom w:val="none" w:sz="0" w:space="0" w:color="auto"/>
            <w:right w:val="none" w:sz="0" w:space="0" w:color="auto"/>
          </w:divBdr>
        </w:div>
        <w:div w:id="1580210057">
          <w:marLeft w:val="840"/>
          <w:marRight w:val="0"/>
          <w:marTop w:val="0"/>
          <w:marBottom w:val="0"/>
          <w:divBdr>
            <w:top w:val="none" w:sz="0" w:space="0" w:color="auto"/>
            <w:left w:val="none" w:sz="0" w:space="0" w:color="auto"/>
            <w:bottom w:val="none" w:sz="0" w:space="0" w:color="auto"/>
            <w:right w:val="none" w:sz="0" w:space="0" w:color="auto"/>
          </w:divBdr>
        </w:div>
        <w:div w:id="1687555174">
          <w:marLeft w:val="840"/>
          <w:marRight w:val="0"/>
          <w:marTop w:val="0"/>
          <w:marBottom w:val="0"/>
          <w:divBdr>
            <w:top w:val="none" w:sz="0" w:space="0" w:color="auto"/>
            <w:left w:val="none" w:sz="0" w:space="0" w:color="auto"/>
            <w:bottom w:val="none" w:sz="0" w:space="0" w:color="auto"/>
            <w:right w:val="none" w:sz="0" w:space="0" w:color="auto"/>
          </w:divBdr>
        </w:div>
        <w:div w:id="495994420">
          <w:marLeft w:val="840"/>
          <w:marRight w:val="0"/>
          <w:marTop w:val="0"/>
          <w:marBottom w:val="0"/>
          <w:divBdr>
            <w:top w:val="none" w:sz="0" w:space="0" w:color="auto"/>
            <w:left w:val="none" w:sz="0" w:space="0" w:color="auto"/>
            <w:bottom w:val="none" w:sz="0" w:space="0" w:color="auto"/>
            <w:right w:val="none" w:sz="0" w:space="0" w:color="auto"/>
          </w:divBdr>
        </w:div>
        <w:div w:id="1306466643">
          <w:marLeft w:val="840"/>
          <w:marRight w:val="0"/>
          <w:marTop w:val="0"/>
          <w:marBottom w:val="0"/>
          <w:divBdr>
            <w:top w:val="none" w:sz="0" w:space="0" w:color="auto"/>
            <w:left w:val="none" w:sz="0" w:space="0" w:color="auto"/>
            <w:bottom w:val="none" w:sz="0" w:space="0" w:color="auto"/>
            <w:right w:val="none" w:sz="0" w:space="0" w:color="auto"/>
          </w:divBdr>
        </w:div>
        <w:div w:id="59601254">
          <w:marLeft w:val="840"/>
          <w:marRight w:val="0"/>
          <w:marTop w:val="0"/>
          <w:marBottom w:val="0"/>
          <w:divBdr>
            <w:top w:val="none" w:sz="0" w:space="0" w:color="auto"/>
            <w:left w:val="none" w:sz="0" w:space="0" w:color="auto"/>
            <w:bottom w:val="none" w:sz="0" w:space="0" w:color="auto"/>
            <w:right w:val="none" w:sz="0" w:space="0" w:color="auto"/>
          </w:divBdr>
        </w:div>
        <w:div w:id="270168271">
          <w:marLeft w:val="840"/>
          <w:marRight w:val="0"/>
          <w:marTop w:val="0"/>
          <w:marBottom w:val="0"/>
          <w:divBdr>
            <w:top w:val="none" w:sz="0" w:space="0" w:color="auto"/>
            <w:left w:val="none" w:sz="0" w:space="0" w:color="auto"/>
            <w:bottom w:val="none" w:sz="0" w:space="0" w:color="auto"/>
            <w:right w:val="none" w:sz="0" w:space="0" w:color="auto"/>
          </w:divBdr>
        </w:div>
        <w:div w:id="1675721604">
          <w:marLeft w:val="360"/>
          <w:marRight w:val="0"/>
          <w:marTop w:val="0"/>
          <w:marBottom w:val="0"/>
          <w:divBdr>
            <w:top w:val="none" w:sz="0" w:space="0" w:color="auto"/>
            <w:left w:val="none" w:sz="0" w:space="0" w:color="auto"/>
            <w:bottom w:val="none" w:sz="0" w:space="0" w:color="auto"/>
            <w:right w:val="none" w:sz="0" w:space="0" w:color="auto"/>
          </w:divBdr>
        </w:div>
        <w:div w:id="864945110">
          <w:marLeft w:val="840"/>
          <w:marRight w:val="0"/>
          <w:marTop w:val="0"/>
          <w:marBottom w:val="0"/>
          <w:divBdr>
            <w:top w:val="none" w:sz="0" w:space="0" w:color="auto"/>
            <w:left w:val="none" w:sz="0" w:space="0" w:color="auto"/>
            <w:bottom w:val="none" w:sz="0" w:space="0" w:color="auto"/>
            <w:right w:val="none" w:sz="0" w:space="0" w:color="auto"/>
          </w:divBdr>
        </w:div>
        <w:div w:id="1128283774">
          <w:marLeft w:val="840"/>
          <w:marRight w:val="0"/>
          <w:marTop w:val="0"/>
          <w:marBottom w:val="0"/>
          <w:divBdr>
            <w:top w:val="none" w:sz="0" w:space="0" w:color="auto"/>
            <w:left w:val="none" w:sz="0" w:space="0" w:color="auto"/>
            <w:bottom w:val="none" w:sz="0" w:space="0" w:color="auto"/>
            <w:right w:val="none" w:sz="0" w:space="0" w:color="auto"/>
          </w:divBdr>
        </w:div>
        <w:div w:id="2039088936">
          <w:marLeft w:val="840"/>
          <w:marRight w:val="0"/>
          <w:marTop w:val="0"/>
          <w:marBottom w:val="0"/>
          <w:divBdr>
            <w:top w:val="none" w:sz="0" w:space="0" w:color="auto"/>
            <w:left w:val="none" w:sz="0" w:space="0" w:color="auto"/>
            <w:bottom w:val="none" w:sz="0" w:space="0" w:color="auto"/>
            <w:right w:val="none" w:sz="0" w:space="0" w:color="auto"/>
          </w:divBdr>
        </w:div>
        <w:div w:id="224804157">
          <w:marLeft w:val="0"/>
          <w:marRight w:val="0"/>
          <w:marTop w:val="0"/>
          <w:marBottom w:val="0"/>
          <w:divBdr>
            <w:top w:val="none" w:sz="0" w:space="0" w:color="auto"/>
            <w:left w:val="none" w:sz="0" w:space="0" w:color="auto"/>
            <w:bottom w:val="none" w:sz="0" w:space="0" w:color="auto"/>
            <w:right w:val="none" w:sz="0" w:space="0" w:color="auto"/>
          </w:divBdr>
        </w:div>
        <w:div w:id="1715735336">
          <w:marLeft w:val="600"/>
          <w:marRight w:val="0"/>
          <w:marTop w:val="0"/>
          <w:marBottom w:val="0"/>
          <w:divBdr>
            <w:top w:val="none" w:sz="0" w:space="0" w:color="auto"/>
            <w:left w:val="none" w:sz="0" w:space="0" w:color="auto"/>
            <w:bottom w:val="none" w:sz="0" w:space="0" w:color="auto"/>
            <w:right w:val="none" w:sz="0" w:space="0" w:color="auto"/>
          </w:divBdr>
        </w:div>
        <w:div w:id="210270649">
          <w:marLeft w:val="360"/>
          <w:marRight w:val="0"/>
          <w:marTop w:val="0"/>
          <w:marBottom w:val="0"/>
          <w:divBdr>
            <w:top w:val="none" w:sz="0" w:space="0" w:color="auto"/>
            <w:left w:val="none" w:sz="0" w:space="0" w:color="auto"/>
            <w:bottom w:val="none" w:sz="0" w:space="0" w:color="auto"/>
            <w:right w:val="none" w:sz="0" w:space="0" w:color="auto"/>
          </w:divBdr>
        </w:div>
        <w:div w:id="1429623285">
          <w:marLeft w:val="360"/>
          <w:marRight w:val="0"/>
          <w:marTop w:val="0"/>
          <w:marBottom w:val="0"/>
          <w:divBdr>
            <w:top w:val="none" w:sz="0" w:space="0" w:color="auto"/>
            <w:left w:val="none" w:sz="0" w:space="0" w:color="auto"/>
            <w:bottom w:val="none" w:sz="0" w:space="0" w:color="auto"/>
            <w:right w:val="none" w:sz="0" w:space="0" w:color="auto"/>
          </w:divBdr>
        </w:div>
        <w:div w:id="1389299489">
          <w:marLeft w:val="360"/>
          <w:marRight w:val="0"/>
          <w:marTop w:val="0"/>
          <w:marBottom w:val="0"/>
          <w:divBdr>
            <w:top w:val="none" w:sz="0" w:space="0" w:color="auto"/>
            <w:left w:val="none" w:sz="0" w:space="0" w:color="auto"/>
            <w:bottom w:val="none" w:sz="0" w:space="0" w:color="auto"/>
            <w:right w:val="none" w:sz="0" w:space="0" w:color="auto"/>
          </w:divBdr>
        </w:div>
        <w:div w:id="2119720238">
          <w:marLeft w:val="360"/>
          <w:marRight w:val="0"/>
          <w:marTop w:val="0"/>
          <w:marBottom w:val="0"/>
          <w:divBdr>
            <w:top w:val="none" w:sz="0" w:space="0" w:color="auto"/>
            <w:left w:val="none" w:sz="0" w:space="0" w:color="auto"/>
            <w:bottom w:val="none" w:sz="0" w:space="0" w:color="auto"/>
            <w:right w:val="none" w:sz="0" w:space="0" w:color="auto"/>
          </w:divBdr>
        </w:div>
        <w:div w:id="1161852108">
          <w:marLeft w:val="360"/>
          <w:marRight w:val="0"/>
          <w:marTop w:val="0"/>
          <w:marBottom w:val="0"/>
          <w:divBdr>
            <w:top w:val="none" w:sz="0" w:space="0" w:color="auto"/>
            <w:left w:val="none" w:sz="0" w:space="0" w:color="auto"/>
            <w:bottom w:val="none" w:sz="0" w:space="0" w:color="auto"/>
            <w:right w:val="none" w:sz="0" w:space="0" w:color="auto"/>
          </w:divBdr>
        </w:div>
        <w:div w:id="1880124113">
          <w:marLeft w:val="360"/>
          <w:marRight w:val="0"/>
          <w:marTop w:val="0"/>
          <w:marBottom w:val="0"/>
          <w:divBdr>
            <w:top w:val="none" w:sz="0" w:space="0" w:color="auto"/>
            <w:left w:val="none" w:sz="0" w:space="0" w:color="auto"/>
            <w:bottom w:val="none" w:sz="0" w:space="0" w:color="auto"/>
            <w:right w:val="none" w:sz="0" w:space="0" w:color="auto"/>
          </w:divBdr>
        </w:div>
        <w:div w:id="1962762645">
          <w:marLeft w:val="360"/>
          <w:marRight w:val="0"/>
          <w:marTop w:val="0"/>
          <w:marBottom w:val="0"/>
          <w:divBdr>
            <w:top w:val="none" w:sz="0" w:space="0" w:color="auto"/>
            <w:left w:val="none" w:sz="0" w:space="0" w:color="auto"/>
            <w:bottom w:val="none" w:sz="0" w:space="0" w:color="auto"/>
            <w:right w:val="none" w:sz="0" w:space="0" w:color="auto"/>
          </w:divBdr>
        </w:div>
        <w:div w:id="907807841">
          <w:marLeft w:val="360"/>
          <w:marRight w:val="0"/>
          <w:marTop w:val="0"/>
          <w:marBottom w:val="0"/>
          <w:divBdr>
            <w:top w:val="none" w:sz="0" w:space="0" w:color="auto"/>
            <w:left w:val="none" w:sz="0" w:space="0" w:color="auto"/>
            <w:bottom w:val="none" w:sz="0" w:space="0" w:color="auto"/>
            <w:right w:val="none" w:sz="0" w:space="0" w:color="auto"/>
          </w:divBdr>
        </w:div>
        <w:div w:id="1599556849">
          <w:marLeft w:val="0"/>
          <w:marRight w:val="0"/>
          <w:marTop w:val="0"/>
          <w:marBottom w:val="0"/>
          <w:divBdr>
            <w:top w:val="none" w:sz="0" w:space="0" w:color="auto"/>
            <w:left w:val="none" w:sz="0" w:space="0" w:color="auto"/>
            <w:bottom w:val="none" w:sz="0" w:space="0" w:color="auto"/>
            <w:right w:val="none" w:sz="0" w:space="0" w:color="auto"/>
          </w:divBdr>
        </w:div>
        <w:div w:id="1390955864">
          <w:marLeft w:val="600"/>
          <w:marRight w:val="0"/>
          <w:marTop w:val="0"/>
          <w:marBottom w:val="0"/>
          <w:divBdr>
            <w:top w:val="none" w:sz="0" w:space="0" w:color="auto"/>
            <w:left w:val="none" w:sz="0" w:space="0" w:color="auto"/>
            <w:bottom w:val="none" w:sz="0" w:space="0" w:color="auto"/>
            <w:right w:val="none" w:sz="0" w:space="0" w:color="auto"/>
          </w:divBdr>
        </w:div>
        <w:div w:id="1189178681">
          <w:marLeft w:val="0"/>
          <w:marRight w:val="0"/>
          <w:marTop w:val="0"/>
          <w:marBottom w:val="0"/>
          <w:divBdr>
            <w:top w:val="none" w:sz="0" w:space="0" w:color="auto"/>
            <w:left w:val="none" w:sz="0" w:space="0" w:color="auto"/>
            <w:bottom w:val="none" w:sz="0" w:space="0" w:color="auto"/>
            <w:right w:val="none" w:sz="0" w:space="0" w:color="auto"/>
          </w:divBdr>
        </w:div>
        <w:div w:id="1011179714">
          <w:marLeft w:val="0"/>
          <w:marRight w:val="0"/>
          <w:marTop w:val="0"/>
          <w:marBottom w:val="0"/>
          <w:divBdr>
            <w:top w:val="none" w:sz="0" w:space="0" w:color="auto"/>
            <w:left w:val="none" w:sz="0" w:space="0" w:color="auto"/>
            <w:bottom w:val="none" w:sz="0" w:space="0" w:color="auto"/>
            <w:right w:val="none" w:sz="0" w:space="0" w:color="auto"/>
          </w:divBdr>
        </w:div>
        <w:div w:id="235746695">
          <w:marLeft w:val="0"/>
          <w:marRight w:val="0"/>
          <w:marTop w:val="0"/>
          <w:marBottom w:val="0"/>
          <w:divBdr>
            <w:top w:val="none" w:sz="0" w:space="0" w:color="auto"/>
            <w:left w:val="none" w:sz="0" w:space="0" w:color="auto"/>
            <w:bottom w:val="none" w:sz="0" w:space="0" w:color="auto"/>
            <w:right w:val="none" w:sz="0" w:space="0" w:color="auto"/>
          </w:divBdr>
        </w:div>
        <w:div w:id="487670096">
          <w:marLeft w:val="0"/>
          <w:marRight w:val="0"/>
          <w:marTop w:val="0"/>
          <w:marBottom w:val="0"/>
          <w:divBdr>
            <w:top w:val="none" w:sz="0" w:space="0" w:color="auto"/>
            <w:left w:val="none" w:sz="0" w:space="0" w:color="auto"/>
            <w:bottom w:val="none" w:sz="0" w:space="0" w:color="auto"/>
            <w:right w:val="none" w:sz="0" w:space="0" w:color="auto"/>
          </w:divBdr>
        </w:div>
        <w:div w:id="1001934650">
          <w:marLeft w:val="0"/>
          <w:marRight w:val="0"/>
          <w:marTop w:val="0"/>
          <w:marBottom w:val="0"/>
          <w:divBdr>
            <w:top w:val="none" w:sz="0" w:space="0" w:color="auto"/>
            <w:left w:val="none" w:sz="0" w:space="0" w:color="auto"/>
            <w:bottom w:val="none" w:sz="0" w:space="0" w:color="auto"/>
            <w:right w:val="none" w:sz="0" w:space="0" w:color="auto"/>
          </w:divBdr>
        </w:div>
        <w:div w:id="2013800550">
          <w:marLeft w:val="0"/>
          <w:marRight w:val="0"/>
          <w:marTop w:val="0"/>
          <w:marBottom w:val="0"/>
          <w:divBdr>
            <w:top w:val="none" w:sz="0" w:space="0" w:color="auto"/>
            <w:left w:val="none" w:sz="0" w:space="0" w:color="auto"/>
            <w:bottom w:val="none" w:sz="0" w:space="0" w:color="auto"/>
            <w:right w:val="none" w:sz="0" w:space="0" w:color="auto"/>
          </w:divBdr>
        </w:div>
        <w:div w:id="1929541036">
          <w:marLeft w:val="0"/>
          <w:marRight w:val="0"/>
          <w:marTop w:val="0"/>
          <w:marBottom w:val="0"/>
          <w:divBdr>
            <w:top w:val="none" w:sz="0" w:space="0" w:color="auto"/>
            <w:left w:val="none" w:sz="0" w:space="0" w:color="auto"/>
            <w:bottom w:val="none" w:sz="0" w:space="0" w:color="auto"/>
            <w:right w:val="none" w:sz="0" w:space="0" w:color="auto"/>
          </w:divBdr>
        </w:div>
        <w:div w:id="1768311618">
          <w:marLeft w:val="600"/>
          <w:marRight w:val="0"/>
          <w:marTop w:val="0"/>
          <w:marBottom w:val="0"/>
          <w:divBdr>
            <w:top w:val="none" w:sz="0" w:space="0" w:color="auto"/>
            <w:left w:val="none" w:sz="0" w:space="0" w:color="auto"/>
            <w:bottom w:val="none" w:sz="0" w:space="0" w:color="auto"/>
            <w:right w:val="none" w:sz="0" w:space="0" w:color="auto"/>
          </w:divBdr>
        </w:div>
        <w:div w:id="1239897319">
          <w:marLeft w:val="0"/>
          <w:marRight w:val="0"/>
          <w:marTop w:val="0"/>
          <w:marBottom w:val="0"/>
          <w:divBdr>
            <w:top w:val="none" w:sz="0" w:space="0" w:color="auto"/>
            <w:left w:val="none" w:sz="0" w:space="0" w:color="auto"/>
            <w:bottom w:val="none" w:sz="0" w:space="0" w:color="auto"/>
            <w:right w:val="none" w:sz="0" w:space="0" w:color="auto"/>
          </w:divBdr>
        </w:div>
        <w:div w:id="1299729197">
          <w:marLeft w:val="360"/>
          <w:marRight w:val="0"/>
          <w:marTop w:val="0"/>
          <w:marBottom w:val="0"/>
          <w:divBdr>
            <w:top w:val="none" w:sz="0" w:space="0" w:color="auto"/>
            <w:left w:val="none" w:sz="0" w:space="0" w:color="auto"/>
            <w:bottom w:val="none" w:sz="0" w:space="0" w:color="auto"/>
            <w:right w:val="none" w:sz="0" w:space="0" w:color="auto"/>
          </w:divBdr>
        </w:div>
        <w:div w:id="380591369">
          <w:marLeft w:val="360"/>
          <w:marRight w:val="0"/>
          <w:marTop w:val="0"/>
          <w:marBottom w:val="0"/>
          <w:divBdr>
            <w:top w:val="none" w:sz="0" w:space="0" w:color="auto"/>
            <w:left w:val="none" w:sz="0" w:space="0" w:color="auto"/>
            <w:bottom w:val="none" w:sz="0" w:space="0" w:color="auto"/>
            <w:right w:val="none" w:sz="0" w:space="0" w:color="auto"/>
          </w:divBdr>
        </w:div>
        <w:div w:id="1380935143">
          <w:marLeft w:val="600"/>
          <w:marRight w:val="0"/>
          <w:marTop w:val="0"/>
          <w:marBottom w:val="0"/>
          <w:divBdr>
            <w:top w:val="none" w:sz="0" w:space="0" w:color="auto"/>
            <w:left w:val="none" w:sz="0" w:space="0" w:color="auto"/>
            <w:bottom w:val="none" w:sz="0" w:space="0" w:color="auto"/>
            <w:right w:val="none" w:sz="0" w:space="0" w:color="auto"/>
          </w:divBdr>
        </w:div>
        <w:div w:id="2054383704">
          <w:marLeft w:val="0"/>
          <w:marRight w:val="0"/>
          <w:marTop w:val="0"/>
          <w:marBottom w:val="0"/>
          <w:divBdr>
            <w:top w:val="none" w:sz="0" w:space="0" w:color="auto"/>
            <w:left w:val="none" w:sz="0" w:space="0" w:color="auto"/>
            <w:bottom w:val="none" w:sz="0" w:space="0" w:color="auto"/>
            <w:right w:val="none" w:sz="0" w:space="0" w:color="auto"/>
          </w:divBdr>
        </w:div>
        <w:div w:id="580336499">
          <w:marLeft w:val="0"/>
          <w:marRight w:val="0"/>
          <w:marTop w:val="0"/>
          <w:marBottom w:val="0"/>
          <w:divBdr>
            <w:top w:val="none" w:sz="0" w:space="0" w:color="auto"/>
            <w:left w:val="none" w:sz="0" w:space="0" w:color="auto"/>
            <w:bottom w:val="none" w:sz="0" w:space="0" w:color="auto"/>
            <w:right w:val="none" w:sz="0" w:space="0" w:color="auto"/>
          </w:divBdr>
        </w:div>
        <w:div w:id="583294709">
          <w:marLeft w:val="600"/>
          <w:marRight w:val="0"/>
          <w:marTop w:val="0"/>
          <w:marBottom w:val="0"/>
          <w:divBdr>
            <w:top w:val="none" w:sz="0" w:space="0" w:color="auto"/>
            <w:left w:val="none" w:sz="0" w:space="0" w:color="auto"/>
            <w:bottom w:val="none" w:sz="0" w:space="0" w:color="auto"/>
            <w:right w:val="none" w:sz="0" w:space="0" w:color="auto"/>
          </w:divBdr>
        </w:div>
        <w:div w:id="275794023">
          <w:marLeft w:val="0"/>
          <w:marRight w:val="0"/>
          <w:marTop w:val="0"/>
          <w:marBottom w:val="0"/>
          <w:divBdr>
            <w:top w:val="none" w:sz="0" w:space="0" w:color="auto"/>
            <w:left w:val="none" w:sz="0" w:space="0" w:color="auto"/>
            <w:bottom w:val="none" w:sz="0" w:space="0" w:color="auto"/>
            <w:right w:val="none" w:sz="0" w:space="0" w:color="auto"/>
          </w:divBdr>
        </w:div>
        <w:div w:id="779379769">
          <w:marLeft w:val="0"/>
          <w:marRight w:val="0"/>
          <w:marTop w:val="0"/>
          <w:marBottom w:val="0"/>
          <w:divBdr>
            <w:top w:val="none" w:sz="0" w:space="0" w:color="auto"/>
            <w:left w:val="none" w:sz="0" w:space="0" w:color="auto"/>
            <w:bottom w:val="none" w:sz="0" w:space="0" w:color="auto"/>
            <w:right w:val="none" w:sz="0" w:space="0" w:color="auto"/>
          </w:divBdr>
        </w:div>
        <w:div w:id="123744632">
          <w:marLeft w:val="0"/>
          <w:marRight w:val="0"/>
          <w:marTop w:val="0"/>
          <w:marBottom w:val="0"/>
          <w:divBdr>
            <w:top w:val="none" w:sz="0" w:space="0" w:color="auto"/>
            <w:left w:val="none" w:sz="0" w:space="0" w:color="auto"/>
            <w:bottom w:val="none" w:sz="0" w:space="0" w:color="auto"/>
            <w:right w:val="none" w:sz="0" w:space="0" w:color="auto"/>
          </w:divBdr>
        </w:div>
        <w:div w:id="1893153123">
          <w:marLeft w:val="360"/>
          <w:marRight w:val="0"/>
          <w:marTop w:val="0"/>
          <w:marBottom w:val="0"/>
          <w:divBdr>
            <w:top w:val="none" w:sz="0" w:space="0" w:color="auto"/>
            <w:left w:val="none" w:sz="0" w:space="0" w:color="auto"/>
            <w:bottom w:val="none" w:sz="0" w:space="0" w:color="auto"/>
            <w:right w:val="none" w:sz="0" w:space="0" w:color="auto"/>
          </w:divBdr>
        </w:div>
        <w:div w:id="564266969">
          <w:marLeft w:val="0"/>
          <w:marRight w:val="0"/>
          <w:marTop w:val="0"/>
          <w:marBottom w:val="0"/>
          <w:divBdr>
            <w:top w:val="none" w:sz="0" w:space="0" w:color="auto"/>
            <w:left w:val="none" w:sz="0" w:space="0" w:color="auto"/>
            <w:bottom w:val="none" w:sz="0" w:space="0" w:color="auto"/>
            <w:right w:val="none" w:sz="0" w:space="0" w:color="auto"/>
          </w:divBdr>
        </w:div>
        <w:div w:id="1392541441">
          <w:marLeft w:val="0"/>
          <w:marRight w:val="0"/>
          <w:marTop w:val="0"/>
          <w:marBottom w:val="0"/>
          <w:divBdr>
            <w:top w:val="none" w:sz="0" w:space="0" w:color="auto"/>
            <w:left w:val="none" w:sz="0" w:space="0" w:color="auto"/>
            <w:bottom w:val="none" w:sz="0" w:space="0" w:color="auto"/>
            <w:right w:val="none" w:sz="0" w:space="0" w:color="auto"/>
          </w:divBdr>
          <w:divsChild>
            <w:div w:id="132216797">
              <w:marLeft w:val="0"/>
              <w:marRight w:val="0"/>
              <w:marTop w:val="0"/>
              <w:marBottom w:val="0"/>
              <w:divBdr>
                <w:top w:val="none" w:sz="0" w:space="0" w:color="auto"/>
                <w:left w:val="none" w:sz="0" w:space="0" w:color="auto"/>
                <w:bottom w:val="none" w:sz="0" w:space="0" w:color="auto"/>
                <w:right w:val="none" w:sz="0" w:space="0" w:color="auto"/>
              </w:divBdr>
            </w:div>
            <w:div w:id="179976172">
              <w:marLeft w:val="0"/>
              <w:marRight w:val="0"/>
              <w:marTop w:val="0"/>
              <w:marBottom w:val="0"/>
              <w:divBdr>
                <w:top w:val="none" w:sz="0" w:space="0" w:color="auto"/>
                <w:left w:val="none" w:sz="0" w:space="0" w:color="auto"/>
                <w:bottom w:val="none" w:sz="0" w:space="0" w:color="auto"/>
                <w:right w:val="none" w:sz="0" w:space="0" w:color="auto"/>
              </w:divBdr>
            </w:div>
            <w:div w:id="2090341393">
              <w:marLeft w:val="0"/>
              <w:marRight w:val="0"/>
              <w:marTop w:val="0"/>
              <w:marBottom w:val="0"/>
              <w:divBdr>
                <w:top w:val="none" w:sz="0" w:space="0" w:color="auto"/>
                <w:left w:val="none" w:sz="0" w:space="0" w:color="auto"/>
                <w:bottom w:val="none" w:sz="0" w:space="0" w:color="auto"/>
                <w:right w:val="none" w:sz="0" w:space="0" w:color="auto"/>
              </w:divBdr>
            </w:div>
            <w:div w:id="1263489061">
              <w:marLeft w:val="0"/>
              <w:marRight w:val="0"/>
              <w:marTop w:val="0"/>
              <w:marBottom w:val="0"/>
              <w:divBdr>
                <w:top w:val="none" w:sz="0" w:space="0" w:color="auto"/>
                <w:left w:val="none" w:sz="0" w:space="0" w:color="auto"/>
                <w:bottom w:val="none" w:sz="0" w:space="0" w:color="auto"/>
                <w:right w:val="none" w:sz="0" w:space="0" w:color="auto"/>
              </w:divBdr>
            </w:div>
            <w:div w:id="1112477076">
              <w:marLeft w:val="0"/>
              <w:marRight w:val="0"/>
              <w:marTop w:val="0"/>
              <w:marBottom w:val="0"/>
              <w:divBdr>
                <w:top w:val="none" w:sz="0" w:space="0" w:color="auto"/>
                <w:left w:val="none" w:sz="0" w:space="0" w:color="auto"/>
                <w:bottom w:val="none" w:sz="0" w:space="0" w:color="auto"/>
                <w:right w:val="none" w:sz="0" w:space="0" w:color="auto"/>
              </w:divBdr>
            </w:div>
            <w:div w:id="1988123748">
              <w:marLeft w:val="0"/>
              <w:marRight w:val="0"/>
              <w:marTop w:val="0"/>
              <w:marBottom w:val="0"/>
              <w:divBdr>
                <w:top w:val="none" w:sz="0" w:space="0" w:color="auto"/>
                <w:left w:val="none" w:sz="0" w:space="0" w:color="auto"/>
                <w:bottom w:val="none" w:sz="0" w:space="0" w:color="auto"/>
                <w:right w:val="none" w:sz="0" w:space="0" w:color="auto"/>
              </w:divBdr>
            </w:div>
            <w:div w:id="20667099">
              <w:marLeft w:val="0"/>
              <w:marRight w:val="0"/>
              <w:marTop w:val="0"/>
              <w:marBottom w:val="0"/>
              <w:divBdr>
                <w:top w:val="none" w:sz="0" w:space="0" w:color="auto"/>
                <w:left w:val="none" w:sz="0" w:space="0" w:color="auto"/>
                <w:bottom w:val="none" w:sz="0" w:space="0" w:color="auto"/>
                <w:right w:val="none" w:sz="0" w:space="0" w:color="auto"/>
              </w:divBdr>
            </w:div>
            <w:div w:id="770054343">
              <w:marLeft w:val="0"/>
              <w:marRight w:val="0"/>
              <w:marTop w:val="0"/>
              <w:marBottom w:val="0"/>
              <w:divBdr>
                <w:top w:val="none" w:sz="0" w:space="0" w:color="auto"/>
                <w:left w:val="none" w:sz="0" w:space="0" w:color="auto"/>
                <w:bottom w:val="none" w:sz="0" w:space="0" w:color="auto"/>
                <w:right w:val="none" w:sz="0" w:space="0" w:color="auto"/>
              </w:divBdr>
            </w:div>
            <w:div w:id="516891368">
              <w:marLeft w:val="0"/>
              <w:marRight w:val="0"/>
              <w:marTop w:val="0"/>
              <w:marBottom w:val="0"/>
              <w:divBdr>
                <w:top w:val="none" w:sz="0" w:space="0" w:color="auto"/>
                <w:left w:val="none" w:sz="0" w:space="0" w:color="auto"/>
                <w:bottom w:val="none" w:sz="0" w:space="0" w:color="auto"/>
                <w:right w:val="none" w:sz="0" w:space="0" w:color="auto"/>
              </w:divBdr>
            </w:div>
            <w:div w:id="825901668">
              <w:marLeft w:val="0"/>
              <w:marRight w:val="0"/>
              <w:marTop w:val="0"/>
              <w:marBottom w:val="0"/>
              <w:divBdr>
                <w:top w:val="none" w:sz="0" w:space="0" w:color="auto"/>
                <w:left w:val="none" w:sz="0" w:space="0" w:color="auto"/>
                <w:bottom w:val="none" w:sz="0" w:space="0" w:color="auto"/>
                <w:right w:val="none" w:sz="0" w:space="0" w:color="auto"/>
              </w:divBdr>
            </w:div>
            <w:div w:id="176622707">
              <w:marLeft w:val="0"/>
              <w:marRight w:val="0"/>
              <w:marTop w:val="0"/>
              <w:marBottom w:val="0"/>
              <w:divBdr>
                <w:top w:val="none" w:sz="0" w:space="0" w:color="auto"/>
                <w:left w:val="none" w:sz="0" w:space="0" w:color="auto"/>
                <w:bottom w:val="none" w:sz="0" w:space="0" w:color="auto"/>
                <w:right w:val="none" w:sz="0" w:space="0" w:color="auto"/>
              </w:divBdr>
            </w:div>
            <w:div w:id="510264556">
              <w:marLeft w:val="0"/>
              <w:marRight w:val="0"/>
              <w:marTop w:val="0"/>
              <w:marBottom w:val="0"/>
              <w:divBdr>
                <w:top w:val="none" w:sz="0" w:space="0" w:color="auto"/>
                <w:left w:val="none" w:sz="0" w:space="0" w:color="auto"/>
                <w:bottom w:val="none" w:sz="0" w:space="0" w:color="auto"/>
                <w:right w:val="none" w:sz="0" w:space="0" w:color="auto"/>
              </w:divBdr>
            </w:div>
            <w:div w:id="1367101814">
              <w:marLeft w:val="0"/>
              <w:marRight w:val="0"/>
              <w:marTop w:val="0"/>
              <w:marBottom w:val="0"/>
              <w:divBdr>
                <w:top w:val="none" w:sz="0" w:space="0" w:color="auto"/>
                <w:left w:val="none" w:sz="0" w:space="0" w:color="auto"/>
                <w:bottom w:val="none" w:sz="0" w:space="0" w:color="auto"/>
                <w:right w:val="none" w:sz="0" w:space="0" w:color="auto"/>
              </w:divBdr>
            </w:div>
            <w:div w:id="994190761">
              <w:marLeft w:val="0"/>
              <w:marRight w:val="0"/>
              <w:marTop w:val="0"/>
              <w:marBottom w:val="0"/>
              <w:divBdr>
                <w:top w:val="none" w:sz="0" w:space="0" w:color="auto"/>
                <w:left w:val="none" w:sz="0" w:space="0" w:color="auto"/>
                <w:bottom w:val="none" w:sz="0" w:space="0" w:color="auto"/>
                <w:right w:val="none" w:sz="0" w:space="0" w:color="auto"/>
              </w:divBdr>
            </w:div>
            <w:div w:id="1700397364">
              <w:marLeft w:val="0"/>
              <w:marRight w:val="0"/>
              <w:marTop w:val="0"/>
              <w:marBottom w:val="0"/>
              <w:divBdr>
                <w:top w:val="none" w:sz="0" w:space="0" w:color="auto"/>
                <w:left w:val="none" w:sz="0" w:space="0" w:color="auto"/>
                <w:bottom w:val="none" w:sz="0" w:space="0" w:color="auto"/>
                <w:right w:val="none" w:sz="0" w:space="0" w:color="auto"/>
              </w:divBdr>
            </w:div>
            <w:div w:id="957639665">
              <w:marLeft w:val="0"/>
              <w:marRight w:val="0"/>
              <w:marTop w:val="0"/>
              <w:marBottom w:val="0"/>
              <w:divBdr>
                <w:top w:val="none" w:sz="0" w:space="0" w:color="auto"/>
                <w:left w:val="none" w:sz="0" w:space="0" w:color="auto"/>
                <w:bottom w:val="none" w:sz="0" w:space="0" w:color="auto"/>
                <w:right w:val="none" w:sz="0" w:space="0" w:color="auto"/>
              </w:divBdr>
            </w:div>
            <w:div w:id="774444185">
              <w:marLeft w:val="0"/>
              <w:marRight w:val="0"/>
              <w:marTop w:val="0"/>
              <w:marBottom w:val="0"/>
              <w:divBdr>
                <w:top w:val="none" w:sz="0" w:space="0" w:color="auto"/>
                <w:left w:val="none" w:sz="0" w:space="0" w:color="auto"/>
                <w:bottom w:val="none" w:sz="0" w:space="0" w:color="auto"/>
                <w:right w:val="none" w:sz="0" w:space="0" w:color="auto"/>
              </w:divBdr>
            </w:div>
            <w:div w:id="874542108">
              <w:marLeft w:val="0"/>
              <w:marRight w:val="0"/>
              <w:marTop w:val="0"/>
              <w:marBottom w:val="0"/>
              <w:divBdr>
                <w:top w:val="none" w:sz="0" w:space="0" w:color="auto"/>
                <w:left w:val="none" w:sz="0" w:space="0" w:color="auto"/>
                <w:bottom w:val="none" w:sz="0" w:space="0" w:color="auto"/>
                <w:right w:val="none" w:sz="0" w:space="0" w:color="auto"/>
              </w:divBdr>
            </w:div>
            <w:div w:id="85687080">
              <w:marLeft w:val="0"/>
              <w:marRight w:val="0"/>
              <w:marTop w:val="0"/>
              <w:marBottom w:val="0"/>
              <w:divBdr>
                <w:top w:val="none" w:sz="0" w:space="0" w:color="auto"/>
                <w:left w:val="none" w:sz="0" w:space="0" w:color="auto"/>
                <w:bottom w:val="none" w:sz="0" w:space="0" w:color="auto"/>
                <w:right w:val="none" w:sz="0" w:space="0" w:color="auto"/>
              </w:divBdr>
            </w:div>
            <w:div w:id="1715732876">
              <w:marLeft w:val="0"/>
              <w:marRight w:val="0"/>
              <w:marTop w:val="0"/>
              <w:marBottom w:val="0"/>
              <w:divBdr>
                <w:top w:val="none" w:sz="0" w:space="0" w:color="auto"/>
                <w:left w:val="none" w:sz="0" w:space="0" w:color="auto"/>
                <w:bottom w:val="none" w:sz="0" w:space="0" w:color="auto"/>
                <w:right w:val="none" w:sz="0" w:space="0" w:color="auto"/>
              </w:divBdr>
            </w:div>
          </w:divsChild>
        </w:div>
        <w:div w:id="1792897208">
          <w:marLeft w:val="0"/>
          <w:marRight w:val="0"/>
          <w:marTop w:val="0"/>
          <w:marBottom w:val="0"/>
          <w:divBdr>
            <w:top w:val="none" w:sz="0" w:space="0" w:color="auto"/>
            <w:left w:val="none" w:sz="0" w:space="0" w:color="auto"/>
            <w:bottom w:val="none" w:sz="0" w:space="0" w:color="auto"/>
            <w:right w:val="none" w:sz="0" w:space="0" w:color="auto"/>
          </w:divBdr>
        </w:div>
        <w:div w:id="2037542700">
          <w:marLeft w:val="600"/>
          <w:marRight w:val="0"/>
          <w:marTop w:val="0"/>
          <w:marBottom w:val="0"/>
          <w:divBdr>
            <w:top w:val="none" w:sz="0" w:space="0" w:color="auto"/>
            <w:left w:val="none" w:sz="0" w:space="0" w:color="auto"/>
            <w:bottom w:val="none" w:sz="0" w:space="0" w:color="auto"/>
            <w:right w:val="none" w:sz="0" w:space="0" w:color="auto"/>
          </w:divBdr>
        </w:div>
        <w:div w:id="327825371">
          <w:marLeft w:val="0"/>
          <w:marRight w:val="0"/>
          <w:marTop w:val="0"/>
          <w:marBottom w:val="0"/>
          <w:divBdr>
            <w:top w:val="none" w:sz="0" w:space="0" w:color="auto"/>
            <w:left w:val="none" w:sz="0" w:space="0" w:color="auto"/>
            <w:bottom w:val="none" w:sz="0" w:space="0" w:color="auto"/>
            <w:right w:val="none" w:sz="0" w:space="0" w:color="auto"/>
          </w:divBdr>
        </w:div>
        <w:div w:id="2028867125">
          <w:marLeft w:val="600"/>
          <w:marRight w:val="0"/>
          <w:marTop w:val="0"/>
          <w:marBottom w:val="0"/>
          <w:divBdr>
            <w:top w:val="none" w:sz="0" w:space="0" w:color="auto"/>
            <w:left w:val="none" w:sz="0" w:space="0" w:color="auto"/>
            <w:bottom w:val="none" w:sz="0" w:space="0" w:color="auto"/>
            <w:right w:val="none" w:sz="0" w:space="0" w:color="auto"/>
          </w:divBdr>
        </w:div>
        <w:div w:id="151221361">
          <w:marLeft w:val="0"/>
          <w:marRight w:val="0"/>
          <w:marTop w:val="0"/>
          <w:marBottom w:val="0"/>
          <w:divBdr>
            <w:top w:val="none" w:sz="0" w:space="0" w:color="auto"/>
            <w:left w:val="none" w:sz="0" w:space="0" w:color="auto"/>
            <w:bottom w:val="none" w:sz="0" w:space="0" w:color="auto"/>
            <w:right w:val="none" w:sz="0" w:space="0" w:color="auto"/>
          </w:divBdr>
        </w:div>
        <w:div w:id="239873509">
          <w:marLeft w:val="600"/>
          <w:marRight w:val="0"/>
          <w:marTop w:val="0"/>
          <w:marBottom w:val="0"/>
          <w:divBdr>
            <w:top w:val="none" w:sz="0" w:space="0" w:color="auto"/>
            <w:left w:val="none" w:sz="0" w:space="0" w:color="auto"/>
            <w:bottom w:val="none" w:sz="0" w:space="0" w:color="auto"/>
            <w:right w:val="none" w:sz="0" w:space="0" w:color="auto"/>
          </w:divBdr>
        </w:div>
        <w:div w:id="957175103">
          <w:marLeft w:val="0"/>
          <w:marRight w:val="0"/>
          <w:marTop w:val="0"/>
          <w:marBottom w:val="0"/>
          <w:divBdr>
            <w:top w:val="none" w:sz="0" w:space="0" w:color="auto"/>
            <w:left w:val="none" w:sz="0" w:space="0" w:color="auto"/>
            <w:bottom w:val="none" w:sz="0" w:space="0" w:color="auto"/>
            <w:right w:val="none" w:sz="0" w:space="0" w:color="auto"/>
          </w:divBdr>
        </w:div>
        <w:div w:id="1730306116">
          <w:marLeft w:val="0"/>
          <w:marRight w:val="0"/>
          <w:marTop w:val="0"/>
          <w:marBottom w:val="0"/>
          <w:divBdr>
            <w:top w:val="none" w:sz="0" w:space="0" w:color="auto"/>
            <w:left w:val="none" w:sz="0" w:space="0" w:color="auto"/>
            <w:bottom w:val="none" w:sz="0" w:space="0" w:color="auto"/>
            <w:right w:val="none" w:sz="0" w:space="0" w:color="auto"/>
          </w:divBdr>
        </w:div>
        <w:div w:id="998508436">
          <w:marLeft w:val="840"/>
          <w:marRight w:val="0"/>
          <w:marTop w:val="0"/>
          <w:marBottom w:val="0"/>
          <w:divBdr>
            <w:top w:val="none" w:sz="0" w:space="0" w:color="auto"/>
            <w:left w:val="none" w:sz="0" w:space="0" w:color="auto"/>
            <w:bottom w:val="none" w:sz="0" w:space="0" w:color="auto"/>
            <w:right w:val="none" w:sz="0" w:space="0" w:color="auto"/>
          </w:divBdr>
        </w:div>
        <w:div w:id="1365249856">
          <w:marLeft w:val="840"/>
          <w:marRight w:val="0"/>
          <w:marTop w:val="0"/>
          <w:marBottom w:val="0"/>
          <w:divBdr>
            <w:top w:val="none" w:sz="0" w:space="0" w:color="auto"/>
            <w:left w:val="none" w:sz="0" w:space="0" w:color="auto"/>
            <w:bottom w:val="none" w:sz="0" w:space="0" w:color="auto"/>
            <w:right w:val="none" w:sz="0" w:space="0" w:color="auto"/>
          </w:divBdr>
        </w:div>
        <w:div w:id="368839172">
          <w:marLeft w:val="840"/>
          <w:marRight w:val="0"/>
          <w:marTop w:val="0"/>
          <w:marBottom w:val="0"/>
          <w:divBdr>
            <w:top w:val="none" w:sz="0" w:space="0" w:color="auto"/>
            <w:left w:val="none" w:sz="0" w:space="0" w:color="auto"/>
            <w:bottom w:val="none" w:sz="0" w:space="0" w:color="auto"/>
            <w:right w:val="none" w:sz="0" w:space="0" w:color="auto"/>
          </w:divBdr>
        </w:div>
        <w:div w:id="1063066339">
          <w:marLeft w:val="600"/>
          <w:marRight w:val="0"/>
          <w:marTop w:val="0"/>
          <w:marBottom w:val="0"/>
          <w:divBdr>
            <w:top w:val="none" w:sz="0" w:space="0" w:color="auto"/>
            <w:left w:val="none" w:sz="0" w:space="0" w:color="auto"/>
            <w:bottom w:val="none" w:sz="0" w:space="0" w:color="auto"/>
            <w:right w:val="none" w:sz="0" w:space="0" w:color="auto"/>
          </w:divBdr>
        </w:div>
        <w:div w:id="137651718">
          <w:marLeft w:val="0"/>
          <w:marRight w:val="0"/>
          <w:marTop w:val="0"/>
          <w:marBottom w:val="0"/>
          <w:divBdr>
            <w:top w:val="none" w:sz="0" w:space="0" w:color="auto"/>
            <w:left w:val="none" w:sz="0" w:space="0" w:color="auto"/>
            <w:bottom w:val="none" w:sz="0" w:space="0" w:color="auto"/>
            <w:right w:val="none" w:sz="0" w:space="0" w:color="auto"/>
          </w:divBdr>
        </w:div>
        <w:div w:id="530454895">
          <w:marLeft w:val="0"/>
          <w:marRight w:val="0"/>
          <w:marTop w:val="0"/>
          <w:marBottom w:val="0"/>
          <w:divBdr>
            <w:top w:val="none" w:sz="0" w:space="0" w:color="auto"/>
            <w:left w:val="none" w:sz="0" w:space="0" w:color="auto"/>
            <w:bottom w:val="none" w:sz="0" w:space="0" w:color="auto"/>
            <w:right w:val="none" w:sz="0" w:space="0" w:color="auto"/>
          </w:divBdr>
        </w:div>
        <w:div w:id="936907016">
          <w:marLeft w:val="0"/>
          <w:marRight w:val="0"/>
          <w:marTop w:val="0"/>
          <w:marBottom w:val="0"/>
          <w:divBdr>
            <w:top w:val="none" w:sz="0" w:space="0" w:color="auto"/>
            <w:left w:val="none" w:sz="0" w:space="0" w:color="auto"/>
            <w:bottom w:val="none" w:sz="0" w:space="0" w:color="auto"/>
            <w:right w:val="none" w:sz="0" w:space="0" w:color="auto"/>
          </w:divBdr>
        </w:div>
        <w:div w:id="2008287183">
          <w:marLeft w:val="0"/>
          <w:marRight w:val="0"/>
          <w:marTop w:val="0"/>
          <w:marBottom w:val="0"/>
          <w:divBdr>
            <w:top w:val="none" w:sz="0" w:space="0" w:color="auto"/>
            <w:left w:val="none" w:sz="0" w:space="0" w:color="auto"/>
            <w:bottom w:val="none" w:sz="0" w:space="0" w:color="auto"/>
            <w:right w:val="none" w:sz="0" w:space="0" w:color="auto"/>
          </w:divBdr>
        </w:div>
        <w:div w:id="214659335">
          <w:marLeft w:val="0"/>
          <w:marRight w:val="0"/>
          <w:marTop w:val="0"/>
          <w:marBottom w:val="0"/>
          <w:divBdr>
            <w:top w:val="none" w:sz="0" w:space="0" w:color="auto"/>
            <w:left w:val="none" w:sz="0" w:space="0" w:color="auto"/>
            <w:bottom w:val="none" w:sz="0" w:space="0" w:color="auto"/>
            <w:right w:val="none" w:sz="0" w:space="0" w:color="auto"/>
          </w:divBdr>
        </w:div>
        <w:div w:id="1205825183">
          <w:marLeft w:val="0"/>
          <w:marRight w:val="0"/>
          <w:marTop w:val="0"/>
          <w:marBottom w:val="0"/>
          <w:divBdr>
            <w:top w:val="none" w:sz="0" w:space="0" w:color="auto"/>
            <w:left w:val="none" w:sz="0" w:space="0" w:color="auto"/>
            <w:bottom w:val="none" w:sz="0" w:space="0" w:color="auto"/>
            <w:right w:val="none" w:sz="0" w:space="0" w:color="auto"/>
          </w:divBdr>
          <w:divsChild>
            <w:div w:id="1117598976">
              <w:marLeft w:val="0"/>
              <w:marRight w:val="0"/>
              <w:marTop w:val="0"/>
              <w:marBottom w:val="0"/>
              <w:divBdr>
                <w:top w:val="none" w:sz="0" w:space="0" w:color="auto"/>
                <w:left w:val="none" w:sz="0" w:space="0" w:color="auto"/>
                <w:bottom w:val="none" w:sz="0" w:space="0" w:color="auto"/>
                <w:right w:val="none" w:sz="0" w:space="0" w:color="auto"/>
              </w:divBdr>
            </w:div>
            <w:div w:id="1754818963">
              <w:marLeft w:val="0"/>
              <w:marRight w:val="0"/>
              <w:marTop w:val="0"/>
              <w:marBottom w:val="0"/>
              <w:divBdr>
                <w:top w:val="none" w:sz="0" w:space="0" w:color="auto"/>
                <w:left w:val="none" w:sz="0" w:space="0" w:color="auto"/>
                <w:bottom w:val="none" w:sz="0" w:space="0" w:color="auto"/>
                <w:right w:val="none" w:sz="0" w:space="0" w:color="auto"/>
              </w:divBdr>
            </w:div>
            <w:div w:id="1339506663">
              <w:marLeft w:val="0"/>
              <w:marRight w:val="0"/>
              <w:marTop w:val="0"/>
              <w:marBottom w:val="0"/>
              <w:divBdr>
                <w:top w:val="none" w:sz="0" w:space="0" w:color="auto"/>
                <w:left w:val="none" w:sz="0" w:space="0" w:color="auto"/>
                <w:bottom w:val="none" w:sz="0" w:space="0" w:color="auto"/>
                <w:right w:val="none" w:sz="0" w:space="0" w:color="auto"/>
              </w:divBdr>
            </w:div>
            <w:div w:id="261955540">
              <w:marLeft w:val="0"/>
              <w:marRight w:val="0"/>
              <w:marTop w:val="0"/>
              <w:marBottom w:val="0"/>
              <w:divBdr>
                <w:top w:val="none" w:sz="0" w:space="0" w:color="auto"/>
                <w:left w:val="none" w:sz="0" w:space="0" w:color="auto"/>
                <w:bottom w:val="none" w:sz="0" w:space="0" w:color="auto"/>
                <w:right w:val="none" w:sz="0" w:space="0" w:color="auto"/>
              </w:divBdr>
            </w:div>
            <w:div w:id="316544018">
              <w:marLeft w:val="0"/>
              <w:marRight w:val="0"/>
              <w:marTop w:val="0"/>
              <w:marBottom w:val="0"/>
              <w:divBdr>
                <w:top w:val="none" w:sz="0" w:space="0" w:color="auto"/>
                <w:left w:val="none" w:sz="0" w:space="0" w:color="auto"/>
                <w:bottom w:val="none" w:sz="0" w:space="0" w:color="auto"/>
                <w:right w:val="none" w:sz="0" w:space="0" w:color="auto"/>
              </w:divBdr>
            </w:div>
          </w:divsChild>
        </w:div>
        <w:div w:id="1621182812">
          <w:marLeft w:val="0"/>
          <w:marRight w:val="0"/>
          <w:marTop w:val="0"/>
          <w:marBottom w:val="0"/>
          <w:divBdr>
            <w:top w:val="none" w:sz="0" w:space="0" w:color="auto"/>
            <w:left w:val="none" w:sz="0" w:space="0" w:color="auto"/>
            <w:bottom w:val="none" w:sz="0" w:space="0" w:color="auto"/>
            <w:right w:val="none" w:sz="0" w:space="0" w:color="auto"/>
          </w:divBdr>
        </w:div>
        <w:div w:id="1587962264">
          <w:marLeft w:val="0"/>
          <w:marRight w:val="0"/>
          <w:marTop w:val="0"/>
          <w:marBottom w:val="0"/>
          <w:divBdr>
            <w:top w:val="none" w:sz="0" w:space="0" w:color="auto"/>
            <w:left w:val="none" w:sz="0" w:space="0" w:color="auto"/>
            <w:bottom w:val="none" w:sz="0" w:space="0" w:color="auto"/>
            <w:right w:val="none" w:sz="0" w:space="0" w:color="auto"/>
          </w:divBdr>
        </w:div>
        <w:div w:id="898322901">
          <w:marLeft w:val="0"/>
          <w:marRight w:val="0"/>
          <w:marTop w:val="0"/>
          <w:marBottom w:val="0"/>
          <w:divBdr>
            <w:top w:val="none" w:sz="0" w:space="0" w:color="auto"/>
            <w:left w:val="none" w:sz="0" w:space="0" w:color="auto"/>
            <w:bottom w:val="none" w:sz="0" w:space="0" w:color="auto"/>
            <w:right w:val="none" w:sz="0" w:space="0" w:color="auto"/>
          </w:divBdr>
        </w:div>
        <w:div w:id="378624859">
          <w:marLeft w:val="0"/>
          <w:marRight w:val="0"/>
          <w:marTop w:val="0"/>
          <w:marBottom w:val="0"/>
          <w:divBdr>
            <w:top w:val="none" w:sz="0" w:space="0" w:color="auto"/>
            <w:left w:val="none" w:sz="0" w:space="0" w:color="auto"/>
            <w:bottom w:val="none" w:sz="0" w:space="0" w:color="auto"/>
            <w:right w:val="none" w:sz="0" w:space="0" w:color="auto"/>
          </w:divBdr>
          <w:divsChild>
            <w:div w:id="1894468094">
              <w:marLeft w:val="0"/>
              <w:marRight w:val="0"/>
              <w:marTop w:val="0"/>
              <w:marBottom w:val="0"/>
              <w:divBdr>
                <w:top w:val="none" w:sz="0" w:space="0" w:color="auto"/>
                <w:left w:val="none" w:sz="0" w:space="0" w:color="auto"/>
                <w:bottom w:val="none" w:sz="0" w:space="0" w:color="auto"/>
                <w:right w:val="none" w:sz="0" w:space="0" w:color="auto"/>
              </w:divBdr>
            </w:div>
            <w:div w:id="649527933">
              <w:marLeft w:val="0"/>
              <w:marRight w:val="0"/>
              <w:marTop w:val="0"/>
              <w:marBottom w:val="0"/>
              <w:divBdr>
                <w:top w:val="none" w:sz="0" w:space="0" w:color="auto"/>
                <w:left w:val="none" w:sz="0" w:space="0" w:color="auto"/>
                <w:bottom w:val="none" w:sz="0" w:space="0" w:color="auto"/>
                <w:right w:val="none" w:sz="0" w:space="0" w:color="auto"/>
              </w:divBdr>
            </w:div>
            <w:div w:id="1804998582">
              <w:marLeft w:val="0"/>
              <w:marRight w:val="0"/>
              <w:marTop w:val="0"/>
              <w:marBottom w:val="0"/>
              <w:divBdr>
                <w:top w:val="none" w:sz="0" w:space="0" w:color="auto"/>
                <w:left w:val="none" w:sz="0" w:space="0" w:color="auto"/>
                <w:bottom w:val="none" w:sz="0" w:space="0" w:color="auto"/>
                <w:right w:val="none" w:sz="0" w:space="0" w:color="auto"/>
              </w:divBdr>
            </w:div>
          </w:divsChild>
        </w:div>
        <w:div w:id="1715810193">
          <w:marLeft w:val="0"/>
          <w:marRight w:val="0"/>
          <w:marTop w:val="0"/>
          <w:marBottom w:val="0"/>
          <w:divBdr>
            <w:top w:val="none" w:sz="0" w:space="0" w:color="auto"/>
            <w:left w:val="none" w:sz="0" w:space="0" w:color="auto"/>
            <w:bottom w:val="none" w:sz="0" w:space="0" w:color="auto"/>
            <w:right w:val="none" w:sz="0" w:space="0" w:color="auto"/>
          </w:divBdr>
        </w:div>
        <w:div w:id="1337347429">
          <w:marLeft w:val="0"/>
          <w:marRight w:val="0"/>
          <w:marTop w:val="0"/>
          <w:marBottom w:val="0"/>
          <w:divBdr>
            <w:top w:val="none" w:sz="0" w:space="0" w:color="auto"/>
            <w:left w:val="none" w:sz="0" w:space="0" w:color="auto"/>
            <w:bottom w:val="none" w:sz="0" w:space="0" w:color="auto"/>
            <w:right w:val="none" w:sz="0" w:space="0" w:color="auto"/>
          </w:divBdr>
        </w:div>
        <w:div w:id="868567737">
          <w:marLeft w:val="0"/>
          <w:marRight w:val="0"/>
          <w:marTop w:val="0"/>
          <w:marBottom w:val="0"/>
          <w:divBdr>
            <w:top w:val="none" w:sz="0" w:space="0" w:color="auto"/>
            <w:left w:val="none" w:sz="0" w:space="0" w:color="auto"/>
            <w:bottom w:val="none" w:sz="0" w:space="0" w:color="auto"/>
            <w:right w:val="none" w:sz="0" w:space="0" w:color="auto"/>
          </w:divBdr>
        </w:div>
        <w:div w:id="1000961140">
          <w:marLeft w:val="0"/>
          <w:marRight w:val="0"/>
          <w:marTop w:val="0"/>
          <w:marBottom w:val="0"/>
          <w:divBdr>
            <w:top w:val="none" w:sz="0" w:space="0" w:color="auto"/>
            <w:left w:val="none" w:sz="0" w:space="0" w:color="auto"/>
            <w:bottom w:val="none" w:sz="0" w:space="0" w:color="auto"/>
            <w:right w:val="none" w:sz="0" w:space="0" w:color="auto"/>
          </w:divBdr>
        </w:div>
        <w:div w:id="1855609132">
          <w:marLeft w:val="0"/>
          <w:marRight w:val="0"/>
          <w:marTop w:val="0"/>
          <w:marBottom w:val="0"/>
          <w:divBdr>
            <w:top w:val="none" w:sz="0" w:space="0" w:color="auto"/>
            <w:left w:val="none" w:sz="0" w:space="0" w:color="auto"/>
            <w:bottom w:val="none" w:sz="0" w:space="0" w:color="auto"/>
            <w:right w:val="none" w:sz="0" w:space="0" w:color="auto"/>
          </w:divBdr>
          <w:divsChild>
            <w:div w:id="248540749">
              <w:marLeft w:val="0"/>
              <w:marRight w:val="0"/>
              <w:marTop w:val="0"/>
              <w:marBottom w:val="0"/>
              <w:divBdr>
                <w:top w:val="none" w:sz="0" w:space="0" w:color="auto"/>
                <w:left w:val="none" w:sz="0" w:space="0" w:color="auto"/>
                <w:bottom w:val="none" w:sz="0" w:space="0" w:color="auto"/>
                <w:right w:val="none" w:sz="0" w:space="0" w:color="auto"/>
              </w:divBdr>
            </w:div>
            <w:div w:id="911159176">
              <w:marLeft w:val="0"/>
              <w:marRight w:val="0"/>
              <w:marTop w:val="0"/>
              <w:marBottom w:val="0"/>
              <w:divBdr>
                <w:top w:val="none" w:sz="0" w:space="0" w:color="auto"/>
                <w:left w:val="none" w:sz="0" w:space="0" w:color="auto"/>
                <w:bottom w:val="none" w:sz="0" w:space="0" w:color="auto"/>
                <w:right w:val="none" w:sz="0" w:space="0" w:color="auto"/>
              </w:divBdr>
            </w:div>
            <w:div w:id="2072577055">
              <w:marLeft w:val="0"/>
              <w:marRight w:val="0"/>
              <w:marTop w:val="0"/>
              <w:marBottom w:val="0"/>
              <w:divBdr>
                <w:top w:val="none" w:sz="0" w:space="0" w:color="auto"/>
                <w:left w:val="none" w:sz="0" w:space="0" w:color="auto"/>
                <w:bottom w:val="none" w:sz="0" w:space="0" w:color="auto"/>
                <w:right w:val="none" w:sz="0" w:space="0" w:color="auto"/>
              </w:divBdr>
            </w:div>
            <w:div w:id="266892108">
              <w:marLeft w:val="0"/>
              <w:marRight w:val="0"/>
              <w:marTop w:val="0"/>
              <w:marBottom w:val="0"/>
              <w:divBdr>
                <w:top w:val="none" w:sz="0" w:space="0" w:color="auto"/>
                <w:left w:val="none" w:sz="0" w:space="0" w:color="auto"/>
                <w:bottom w:val="none" w:sz="0" w:space="0" w:color="auto"/>
                <w:right w:val="none" w:sz="0" w:space="0" w:color="auto"/>
              </w:divBdr>
            </w:div>
          </w:divsChild>
        </w:div>
        <w:div w:id="2138864025">
          <w:marLeft w:val="0"/>
          <w:marRight w:val="0"/>
          <w:marTop w:val="0"/>
          <w:marBottom w:val="0"/>
          <w:divBdr>
            <w:top w:val="none" w:sz="0" w:space="0" w:color="auto"/>
            <w:left w:val="none" w:sz="0" w:space="0" w:color="auto"/>
            <w:bottom w:val="none" w:sz="0" w:space="0" w:color="auto"/>
            <w:right w:val="none" w:sz="0" w:space="0" w:color="auto"/>
          </w:divBdr>
        </w:div>
        <w:div w:id="2123380453">
          <w:marLeft w:val="0"/>
          <w:marRight w:val="0"/>
          <w:marTop w:val="0"/>
          <w:marBottom w:val="0"/>
          <w:divBdr>
            <w:top w:val="none" w:sz="0" w:space="0" w:color="auto"/>
            <w:left w:val="none" w:sz="0" w:space="0" w:color="auto"/>
            <w:bottom w:val="none" w:sz="0" w:space="0" w:color="auto"/>
            <w:right w:val="none" w:sz="0" w:space="0" w:color="auto"/>
          </w:divBdr>
          <w:divsChild>
            <w:div w:id="574900713">
              <w:marLeft w:val="0"/>
              <w:marRight w:val="0"/>
              <w:marTop w:val="0"/>
              <w:marBottom w:val="0"/>
              <w:divBdr>
                <w:top w:val="none" w:sz="0" w:space="0" w:color="auto"/>
                <w:left w:val="none" w:sz="0" w:space="0" w:color="auto"/>
                <w:bottom w:val="none" w:sz="0" w:space="0" w:color="auto"/>
                <w:right w:val="none" w:sz="0" w:space="0" w:color="auto"/>
              </w:divBdr>
            </w:div>
            <w:div w:id="54622013">
              <w:marLeft w:val="0"/>
              <w:marRight w:val="0"/>
              <w:marTop w:val="0"/>
              <w:marBottom w:val="0"/>
              <w:divBdr>
                <w:top w:val="none" w:sz="0" w:space="0" w:color="auto"/>
                <w:left w:val="none" w:sz="0" w:space="0" w:color="auto"/>
                <w:bottom w:val="none" w:sz="0" w:space="0" w:color="auto"/>
                <w:right w:val="none" w:sz="0" w:space="0" w:color="auto"/>
              </w:divBdr>
            </w:div>
            <w:div w:id="372966534">
              <w:marLeft w:val="0"/>
              <w:marRight w:val="0"/>
              <w:marTop w:val="0"/>
              <w:marBottom w:val="0"/>
              <w:divBdr>
                <w:top w:val="none" w:sz="0" w:space="0" w:color="auto"/>
                <w:left w:val="none" w:sz="0" w:space="0" w:color="auto"/>
                <w:bottom w:val="none" w:sz="0" w:space="0" w:color="auto"/>
                <w:right w:val="none" w:sz="0" w:space="0" w:color="auto"/>
              </w:divBdr>
            </w:div>
            <w:div w:id="108284621">
              <w:marLeft w:val="0"/>
              <w:marRight w:val="0"/>
              <w:marTop w:val="0"/>
              <w:marBottom w:val="0"/>
              <w:divBdr>
                <w:top w:val="none" w:sz="0" w:space="0" w:color="auto"/>
                <w:left w:val="none" w:sz="0" w:space="0" w:color="auto"/>
                <w:bottom w:val="none" w:sz="0" w:space="0" w:color="auto"/>
                <w:right w:val="none" w:sz="0" w:space="0" w:color="auto"/>
              </w:divBdr>
            </w:div>
            <w:div w:id="1155727437">
              <w:marLeft w:val="0"/>
              <w:marRight w:val="0"/>
              <w:marTop w:val="0"/>
              <w:marBottom w:val="0"/>
              <w:divBdr>
                <w:top w:val="none" w:sz="0" w:space="0" w:color="auto"/>
                <w:left w:val="none" w:sz="0" w:space="0" w:color="auto"/>
                <w:bottom w:val="none" w:sz="0" w:space="0" w:color="auto"/>
                <w:right w:val="none" w:sz="0" w:space="0" w:color="auto"/>
              </w:divBdr>
            </w:div>
            <w:div w:id="546069847">
              <w:marLeft w:val="0"/>
              <w:marRight w:val="0"/>
              <w:marTop w:val="0"/>
              <w:marBottom w:val="0"/>
              <w:divBdr>
                <w:top w:val="none" w:sz="0" w:space="0" w:color="auto"/>
                <w:left w:val="none" w:sz="0" w:space="0" w:color="auto"/>
                <w:bottom w:val="none" w:sz="0" w:space="0" w:color="auto"/>
                <w:right w:val="none" w:sz="0" w:space="0" w:color="auto"/>
              </w:divBdr>
            </w:div>
            <w:div w:id="1971282512">
              <w:marLeft w:val="0"/>
              <w:marRight w:val="0"/>
              <w:marTop w:val="0"/>
              <w:marBottom w:val="0"/>
              <w:divBdr>
                <w:top w:val="none" w:sz="0" w:space="0" w:color="auto"/>
                <w:left w:val="none" w:sz="0" w:space="0" w:color="auto"/>
                <w:bottom w:val="none" w:sz="0" w:space="0" w:color="auto"/>
                <w:right w:val="none" w:sz="0" w:space="0" w:color="auto"/>
              </w:divBdr>
            </w:div>
          </w:divsChild>
        </w:div>
        <w:div w:id="1014191253">
          <w:marLeft w:val="0"/>
          <w:marRight w:val="0"/>
          <w:marTop w:val="0"/>
          <w:marBottom w:val="0"/>
          <w:divBdr>
            <w:top w:val="none" w:sz="0" w:space="0" w:color="auto"/>
            <w:left w:val="none" w:sz="0" w:space="0" w:color="auto"/>
            <w:bottom w:val="none" w:sz="0" w:space="0" w:color="auto"/>
            <w:right w:val="none" w:sz="0" w:space="0" w:color="auto"/>
          </w:divBdr>
          <w:divsChild>
            <w:div w:id="1325933318">
              <w:marLeft w:val="0"/>
              <w:marRight w:val="0"/>
              <w:marTop w:val="0"/>
              <w:marBottom w:val="0"/>
              <w:divBdr>
                <w:top w:val="none" w:sz="0" w:space="0" w:color="auto"/>
                <w:left w:val="none" w:sz="0" w:space="0" w:color="auto"/>
                <w:bottom w:val="none" w:sz="0" w:space="0" w:color="auto"/>
                <w:right w:val="none" w:sz="0" w:space="0" w:color="auto"/>
              </w:divBdr>
            </w:div>
            <w:div w:id="648362733">
              <w:marLeft w:val="0"/>
              <w:marRight w:val="0"/>
              <w:marTop w:val="0"/>
              <w:marBottom w:val="0"/>
              <w:divBdr>
                <w:top w:val="none" w:sz="0" w:space="0" w:color="auto"/>
                <w:left w:val="none" w:sz="0" w:space="0" w:color="auto"/>
                <w:bottom w:val="none" w:sz="0" w:space="0" w:color="auto"/>
                <w:right w:val="none" w:sz="0" w:space="0" w:color="auto"/>
              </w:divBdr>
            </w:div>
            <w:div w:id="642462187">
              <w:marLeft w:val="0"/>
              <w:marRight w:val="0"/>
              <w:marTop w:val="0"/>
              <w:marBottom w:val="0"/>
              <w:divBdr>
                <w:top w:val="none" w:sz="0" w:space="0" w:color="auto"/>
                <w:left w:val="none" w:sz="0" w:space="0" w:color="auto"/>
                <w:bottom w:val="none" w:sz="0" w:space="0" w:color="auto"/>
                <w:right w:val="none" w:sz="0" w:space="0" w:color="auto"/>
              </w:divBdr>
            </w:div>
          </w:divsChild>
        </w:div>
        <w:div w:id="273095557">
          <w:marLeft w:val="0"/>
          <w:marRight w:val="0"/>
          <w:marTop w:val="0"/>
          <w:marBottom w:val="0"/>
          <w:divBdr>
            <w:top w:val="none" w:sz="0" w:space="0" w:color="auto"/>
            <w:left w:val="none" w:sz="0" w:space="0" w:color="auto"/>
            <w:bottom w:val="none" w:sz="0" w:space="0" w:color="auto"/>
            <w:right w:val="none" w:sz="0" w:space="0" w:color="auto"/>
          </w:divBdr>
          <w:divsChild>
            <w:div w:id="1002929382">
              <w:marLeft w:val="0"/>
              <w:marRight w:val="0"/>
              <w:marTop w:val="0"/>
              <w:marBottom w:val="0"/>
              <w:divBdr>
                <w:top w:val="none" w:sz="0" w:space="0" w:color="auto"/>
                <w:left w:val="none" w:sz="0" w:space="0" w:color="auto"/>
                <w:bottom w:val="none" w:sz="0" w:space="0" w:color="auto"/>
                <w:right w:val="none" w:sz="0" w:space="0" w:color="auto"/>
              </w:divBdr>
            </w:div>
            <w:div w:id="568151841">
              <w:marLeft w:val="0"/>
              <w:marRight w:val="0"/>
              <w:marTop w:val="0"/>
              <w:marBottom w:val="0"/>
              <w:divBdr>
                <w:top w:val="none" w:sz="0" w:space="0" w:color="auto"/>
                <w:left w:val="none" w:sz="0" w:space="0" w:color="auto"/>
                <w:bottom w:val="none" w:sz="0" w:space="0" w:color="auto"/>
                <w:right w:val="none" w:sz="0" w:space="0" w:color="auto"/>
              </w:divBdr>
            </w:div>
            <w:div w:id="924807150">
              <w:marLeft w:val="0"/>
              <w:marRight w:val="0"/>
              <w:marTop w:val="0"/>
              <w:marBottom w:val="0"/>
              <w:divBdr>
                <w:top w:val="none" w:sz="0" w:space="0" w:color="auto"/>
                <w:left w:val="none" w:sz="0" w:space="0" w:color="auto"/>
                <w:bottom w:val="none" w:sz="0" w:space="0" w:color="auto"/>
                <w:right w:val="none" w:sz="0" w:space="0" w:color="auto"/>
              </w:divBdr>
            </w:div>
          </w:divsChild>
        </w:div>
        <w:div w:id="1797798459">
          <w:marLeft w:val="0"/>
          <w:marRight w:val="0"/>
          <w:marTop w:val="0"/>
          <w:marBottom w:val="0"/>
          <w:divBdr>
            <w:top w:val="none" w:sz="0" w:space="0" w:color="auto"/>
            <w:left w:val="none" w:sz="0" w:space="0" w:color="auto"/>
            <w:bottom w:val="none" w:sz="0" w:space="0" w:color="auto"/>
            <w:right w:val="none" w:sz="0" w:space="0" w:color="auto"/>
          </w:divBdr>
          <w:divsChild>
            <w:div w:id="663238053">
              <w:marLeft w:val="0"/>
              <w:marRight w:val="0"/>
              <w:marTop w:val="0"/>
              <w:marBottom w:val="0"/>
              <w:divBdr>
                <w:top w:val="none" w:sz="0" w:space="0" w:color="auto"/>
                <w:left w:val="none" w:sz="0" w:space="0" w:color="auto"/>
                <w:bottom w:val="none" w:sz="0" w:space="0" w:color="auto"/>
                <w:right w:val="none" w:sz="0" w:space="0" w:color="auto"/>
              </w:divBdr>
            </w:div>
            <w:div w:id="394622655">
              <w:marLeft w:val="0"/>
              <w:marRight w:val="0"/>
              <w:marTop w:val="0"/>
              <w:marBottom w:val="0"/>
              <w:divBdr>
                <w:top w:val="none" w:sz="0" w:space="0" w:color="auto"/>
                <w:left w:val="none" w:sz="0" w:space="0" w:color="auto"/>
                <w:bottom w:val="none" w:sz="0" w:space="0" w:color="auto"/>
                <w:right w:val="none" w:sz="0" w:space="0" w:color="auto"/>
              </w:divBdr>
            </w:div>
          </w:divsChild>
        </w:div>
        <w:div w:id="2011327699">
          <w:marLeft w:val="0"/>
          <w:marRight w:val="0"/>
          <w:marTop w:val="0"/>
          <w:marBottom w:val="0"/>
          <w:divBdr>
            <w:top w:val="none" w:sz="0" w:space="0" w:color="auto"/>
            <w:left w:val="none" w:sz="0" w:space="0" w:color="auto"/>
            <w:bottom w:val="none" w:sz="0" w:space="0" w:color="auto"/>
            <w:right w:val="none" w:sz="0" w:space="0" w:color="auto"/>
          </w:divBdr>
        </w:div>
        <w:div w:id="228811934">
          <w:marLeft w:val="360"/>
          <w:marRight w:val="0"/>
          <w:marTop w:val="0"/>
          <w:marBottom w:val="0"/>
          <w:divBdr>
            <w:top w:val="none" w:sz="0" w:space="0" w:color="auto"/>
            <w:left w:val="none" w:sz="0" w:space="0" w:color="auto"/>
            <w:bottom w:val="none" w:sz="0" w:space="0" w:color="auto"/>
            <w:right w:val="none" w:sz="0" w:space="0" w:color="auto"/>
          </w:divBdr>
        </w:div>
        <w:div w:id="380330996">
          <w:marLeft w:val="0"/>
          <w:marRight w:val="0"/>
          <w:marTop w:val="0"/>
          <w:marBottom w:val="0"/>
          <w:divBdr>
            <w:top w:val="none" w:sz="0" w:space="0" w:color="auto"/>
            <w:left w:val="none" w:sz="0" w:space="0" w:color="auto"/>
            <w:bottom w:val="none" w:sz="0" w:space="0" w:color="auto"/>
            <w:right w:val="none" w:sz="0" w:space="0" w:color="auto"/>
          </w:divBdr>
        </w:div>
        <w:div w:id="766123639">
          <w:marLeft w:val="360"/>
          <w:marRight w:val="0"/>
          <w:marTop w:val="0"/>
          <w:marBottom w:val="0"/>
          <w:divBdr>
            <w:top w:val="none" w:sz="0" w:space="0" w:color="auto"/>
            <w:left w:val="none" w:sz="0" w:space="0" w:color="auto"/>
            <w:bottom w:val="none" w:sz="0" w:space="0" w:color="auto"/>
            <w:right w:val="none" w:sz="0" w:space="0" w:color="auto"/>
          </w:divBdr>
        </w:div>
        <w:div w:id="1433286512">
          <w:marLeft w:val="360"/>
          <w:marRight w:val="0"/>
          <w:marTop w:val="0"/>
          <w:marBottom w:val="0"/>
          <w:divBdr>
            <w:top w:val="none" w:sz="0" w:space="0" w:color="auto"/>
            <w:left w:val="none" w:sz="0" w:space="0" w:color="auto"/>
            <w:bottom w:val="none" w:sz="0" w:space="0" w:color="auto"/>
            <w:right w:val="none" w:sz="0" w:space="0" w:color="auto"/>
          </w:divBdr>
        </w:div>
        <w:div w:id="1365014276">
          <w:marLeft w:val="0"/>
          <w:marRight w:val="0"/>
          <w:marTop w:val="0"/>
          <w:marBottom w:val="0"/>
          <w:divBdr>
            <w:top w:val="none" w:sz="0" w:space="0" w:color="auto"/>
            <w:left w:val="none" w:sz="0" w:space="0" w:color="auto"/>
            <w:bottom w:val="none" w:sz="0" w:space="0" w:color="auto"/>
            <w:right w:val="none" w:sz="0" w:space="0" w:color="auto"/>
          </w:divBdr>
        </w:div>
        <w:div w:id="259139747">
          <w:marLeft w:val="0"/>
          <w:marRight w:val="0"/>
          <w:marTop w:val="0"/>
          <w:marBottom w:val="0"/>
          <w:divBdr>
            <w:top w:val="none" w:sz="0" w:space="0" w:color="auto"/>
            <w:left w:val="none" w:sz="0" w:space="0" w:color="auto"/>
            <w:bottom w:val="none" w:sz="0" w:space="0" w:color="auto"/>
            <w:right w:val="none" w:sz="0" w:space="0" w:color="auto"/>
          </w:divBdr>
        </w:div>
        <w:div w:id="299961385">
          <w:marLeft w:val="0"/>
          <w:marRight w:val="0"/>
          <w:marTop w:val="0"/>
          <w:marBottom w:val="0"/>
          <w:divBdr>
            <w:top w:val="none" w:sz="0" w:space="0" w:color="auto"/>
            <w:left w:val="none" w:sz="0" w:space="0" w:color="auto"/>
            <w:bottom w:val="none" w:sz="0" w:space="0" w:color="auto"/>
            <w:right w:val="none" w:sz="0" w:space="0" w:color="auto"/>
          </w:divBdr>
        </w:div>
        <w:div w:id="369259834">
          <w:marLeft w:val="0"/>
          <w:marRight w:val="0"/>
          <w:marTop w:val="0"/>
          <w:marBottom w:val="0"/>
          <w:divBdr>
            <w:top w:val="none" w:sz="0" w:space="0" w:color="auto"/>
            <w:left w:val="none" w:sz="0" w:space="0" w:color="auto"/>
            <w:bottom w:val="none" w:sz="0" w:space="0" w:color="auto"/>
            <w:right w:val="none" w:sz="0" w:space="0" w:color="auto"/>
          </w:divBdr>
        </w:div>
        <w:div w:id="1812286720">
          <w:marLeft w:val="0"/>
          <w:marRight w:val="0"/>
          <w:marTop w:val="0"/>
          <w:marBottom w:val="0"/>
          <w:divBdr>
            <w:top w:val="none" w:sz="0" w:space="0" w:color="auto"/>
            <w:left w:val="none" w:sz="0" w:space="0" w:color="auto"/>
            <w:bottom w:val="none" w:sz="0" w:space="0" w:color="auto"/>
            <w:right w:val="none" w:sz="0" w:space="0" w:color="auto"/>
          </w:divBdr>
        </w:div>
        <w:div w:id="130483381">
          <w:marLeft w:val="0"/>
          <w:marRight w:val="0"/>
          <w:marTop w:val="0"/>
          <w:marBottom w:val="0"/>
          <w:divBdr>
            <w:top w:val="none" w:sz="0" w:space="0" w:color="auto"/>
            <w:left w:val="none" w:sz="0" w:space="0" w:color="auto"/>
            <w:bottom w:val="none" w:sz="0" w:space="0" w:color="auto"/>
            <w:right w:val="none" w:sz="0" w:space="0" w:color="auto"/>
          </w:divBdr>
        </w:div>
        <w:div w:id="1229879456">
          <w:marLeft w:val="0"/>
          <w:marRight w:val="0"/>
          <w:marTop w:val="0"/>
          <w:marBottom w:val="0"/>
          <w:divBdr>
            <w:top w:val="none" w:sz="0" w:space="0" w:color="auto"/>
            <w:left w:val="none" w:sz="0" w:space="0" w:color="auto"/>
            <w:bottom w:val="none" w:sz="0" w:space="0" w:color="auto"/>
            <w:right w:val="none" w:sz="0" w:space="0" w:color="auto"/>
          </w:divBdr>
          <w:divsChild>
            <w:div w:id="549653170">
              <w:marLeft w:val="0"/>
              <w:marRight w:val="0"/>
              <w:marTop w:val="0"/>
              <w:marBottom w:val="0"/>
              <w:divBdr>
                <w:top w:val="none" w:sz="0" w:space="0" w:color="auto"/>
                <w:left w:val="none" w:sz="0" w:space="0" w:color="auto"/>
                <w:bottom w:val="none" w:sz="0" w:space="0" w:color="auto"/>
                <w:right w:val="none" w:sz="0" w:space="0" w:color="auto"/>
              </w:divBdr>
            </w:div>
          </w:divsChild>
        </w:div>
        <w:div w:id="837623264">
          <w:marLeft w:val="0"/>
          <w:marRight w:val="0"/>
          <w:marTop w:val="0"/>
          <w:marBottom w:val="0"/>
          <w:divBdr>
            <w:top w:val="none" w:sz="0" w:space="0" w:color="auto"/>
            <w:left w:val="none" w:sz="0" w:space="0" w:color="auto"/>
            <w:bottom w:val="none" w:sz="0" w:space="0" w:color="auto"/>
            <w:right w:val="none" w:sz="0" w:space="0" w:color="auto"/>
          </w:divBdr>
        </w:div>
        <w:div w:id="570699991">
          <w:marLeft w:val="0"/>
          <w:marRight w:val="0"/>
          <w:marTop w:val="0"/>
          <w:marBottom w:val="0"/>
          <w:divBdr>
            <w:top w:val="none" w:sz="0" w:space="0" w:color="auto"/>
            <w:left w:val="none" w:sz="0" w:space="0" w:color="auto"/>
            <w:bottom w:val="none" w:sz="0" w:space="0" w:color="auto"/>
            <w:right w:val="none" w:sz="0" w:space="0" w:color="auto"/>
          </w:divBdr>
        </w:div>
        <w:div w:id="1155954667">
          <w:marLeft w:val="0"/>
          <w:marRight w:val="0"/>
          <w:marTop w:val="0"/>
          <w:marBottom w:val="0"/>
          <w:divBdr>
            <w:top w:val="none" w:sz="0" w:space="0" w:color="auto"/>
            <w:left w:val="none" w:sz="0" w:space="0" w:color="auto"/>
            <w:bottom w:val="none" w:sz="0" w:space="0" w:color="auto"/>
            <w:right w:val="none" w:sz="0" w:space="0" w:color="auto"/>
          </w:divBdr>
        </w:div>
        <w:div w:id="531039353">
          <w:marLeft w:val="0"/>
          <w:marRight w:val="0"/>
          <w:marTop w:val="0"/>
          <w:marBottom w:val="0"/>
          <w:divBdr>
            <w:top w:val="none" w:sz="0" w:space="0" w:color="auto"/>
            <w:left w:val="none" w:sz="0" w:space="0" w:color="auto"/>
            <w:bottom w:val="none" w:sz="0" w:space="0" w:color="auto"/>
            <w:right w:val="none" w:sz="0" w:space="0" w:color="auto"/>
          </w:divBdr>
        </w:div>
        <w:div w:id="558135035">
          <w:marLeft w:val="0"/>
          <w:marRight w:val="0"/>
          <w:marTop w:val="0"/>
          <w:marBottom w:val="0"/>
          <w:divBdr>
            <w:top w:val="none" w:sz="0" w:space="0" w:color="auto"/>
            <w:left w:val="none" w:sz="0" w:space="0" w:color="auto"/>
            <w:bottom w:val="none" w:sz="0" w:space="0" w:color="auto"/>
            <w:right w:val="none" w:sz="0" w:space="0" w:color="auto"/>
          </w:divBdr>
        </w:div>
        <w:div w:id="642777443">
          <w:marLeft w:val="0"/>
          <w:marRight w:val="0"/>
          <w:marTop w:val="0"/>
          <w:marBottom w:val="0"/>
          <w:divBdr>
            <w:top w:val="none" w:sz="0" w:space="0" w:color="auto"/>
            <w:left w:val="none" w:sz="0" w:space="0" w:color="auto"/>
            <w:bottom w:val="none" w:sz="0" w:space="0" w:color="auto"/>
            <w:right w:val="none" w:sz="0" w:space="0" w:color="auto"/>
          </w:divBdr>
        </w:div>
        <w:div w:id="706570382">
          <w:marLeft w:val="0"/>
          <w:marRight w:val="0"/>
          <w:marTop w:val="0"/>
          <w:marBottom w:val="0"/>
          <w:divBdr>
            <w:top w:val="none" w:sz="0" w:space="0" w:color="auto"/>
            <w:left w:val="none" w:sz="0" w:space="0" w:color="auto"/>
            <w:bottom w:val="none" w:sz="0" w:space="0" w:color="auto"/>
            <w:right w:val="none" w:sz="0" w:space="0" w:color="auto"/>
          </w:divBdr>
        </w:div>
        <w:div w:id="2061201218">
          <w:marLeft w:val="0"/>
          <w:marRight w:val="0"/>
          <w:marTop w:val="0"/>
          <w:marBottom w:val="0"/>
          <w:divBdr>
            <w:top w:val="none" w:sz="0" w:space="0" w:color="auto"/>
            <w:left w:val="none" w:sz="0" w:space="0" w:color="auto"/>
            <w:bottom w:val="none" w:sz="0" w:space="0" w:color="auto"/>
            <w:right w:val="none" w:sz="0" w:space="0" w:color="auto"/>
          </w:divBdr>
          <w:divsChild>
            <w:div w:id="751708000">
              <w:marLeft w:val="0"/>
              <w:marRight w:val="0"/>
              <w:marTop w:val="0"/>
              <w:marBottom w:val="0"/>
              <w:divBdr>
                <w:top w:val="none" w:sz="0" w:space="0" w:color="auto"/>
                <w:left w:val="none" w:sz="0" w:space="0" w:color="auto"/>
                <w:bottom w:val="none" w:sz="0" w:space="0" w:color="auto"/>
                <w:right w:val="none" w:sz="0" w:space="0" w:color="auto"/>
              </w:divBdr>
            </w:div>
            <w:div w:id="649987730">
              <w:marLeft w:val="0"/>
              <w:marRight w:val="0"/>
              <w:marTop w:val="0"/>
              <w:marBottom w:val="0"/>
              <w:divBdr>
                <w:top w:val="none" w:sz="0" w:space="0" w:color="auto"/>
                <w:left w:val="none" w:sz="0" w:space="0" w:color="auto"/>
                <w:bottom w:val="none" w:sz="0" w:space="0" w:color="auto"/>
                <w:right w:val="none" w:sz="0" w:space="0" w:color="auto"/>
              </w:divBdr>
            </w:div>
            <w:div w:id="578904350">
              <w:marLeft w:val="0"/>
              <w:marRight w:val="0"/>
              <w:marTop w:val="0"/>
              <w:marBottom w:val="0"/>
              <w:divBdr>
                <w:top w:val="none" w:sz="0" w:space="0" w:color="auto"/>
                <w:left w:val="none" w:sz="0" w:space="0" w:color="auto"/>
                <w:bottom w:val="none" w:sz="0" w:space="0" w:color="auto"/>
                <w:right w:val="none" w:sz="0" w:space="0" w:color="auto"/>
              </w:divBdr>
            </w:div>
            <w:div w:id="1588613139">
              <w:marLeft w:val="0"/>
              <w:marRight w:val="0"/>
              <w:marTop w:val="0"/>
              <w:marBottom w:val="0"/>
              <w:divBdr>
                <w:top w:val="none" w:sz="0" w:space="0" w:color="auto"/>
                <w:left w:val="none" w:sz="0" w:space="0" w:color="auto"/>
                <w:bottom w:val="none" w:sz="0" w:space="0" w:color="auto"/>
                <w:right w:val="none" w:sz="0" w:space="0" w:color="auto"/>
              </w:divBdr>
            </w:div>
            <w:div w:id="2083529444">
              <w:marLeft w:val="0"/>
              <w:marRight w:val="0"/>
              <w:marTop w:val="0"/>
              <w:marBottom w:val="0"/>
              <w:divBdr>
                <w:top w:val="none" w:sz="0" w:space="0" w:color="auto"/>
                <w:left w:val="none" w:sz="0" w:space="0" w:color="auto"/>
                <w:bottom w:val="none" w:sz="0" w:space="0" w:color="auto"/>
                <w:right w:val="none" w:sz="0" w:space="0" w:color="auto"/>
              </w:divBdr>
            </w:div>
            <w:div w:id="402338386">
              <w:marLeft w:val="0"/>
              <w:marRight w:val="0"/>
              <w:marTop w:val="0"/>
              <w:marBottom w:val="0"/>
              <w:divBdr>
                <w:top w:val="none" w:sz="0" w:space="0" w:color="auto"/>
                <w:left w:val="none" w:sz="0" w:space="0" w:color="auto"/>
                <w:bottom w:val="none" w:sz="0" w:space="0" w:color="auto"/>
                <w:right w:val="none" w:sz="0" w:space="0" w:color="auto"/>
              </w:divBdr>
            </w:div>
            <w:div w:id="362750345">
              <w:marLeft w:val="0"/>
              <w:marRight w:val="0"/>
              <w:marTop w:val="0"/>
              <w:marBottom w:val="0"/>
              <w:divBdr>
                <w:top w:val="none" w:sz="0" w:space="0" w:color="auto"/>
                <w:left w:val="none" w:sz="0" w:space="0" w:color="auto"/>
                <w:bottom w:val="none" w:sz="0" w:space="0" w:color="auto"/>
                <w:right w:val="none" w:sz="0" w:space="0" w:color="auto"/>
              </w:divBdr>
            </w:div>
            <w:div w:id="686755878">
              <w:marLeft w:val="0"/>
              <w:marRight w:val="0"/>
              <w:marTop w:val="0"/>
              <w:marBottom w:val="0"/>
              <w:divBdr>
                <w:top w:val="none" w:sz="0" w:space="0" w:color="auto"/>
                <w:left w:val="none" w:sz="0" w:space="0" w:color="auto"/>
                <w:bottom w:val="none" w:sz="0" w:space="0" w:color="auto"/>
                <w:right w:val="none" w:sz="0" w:space="0" w:color="auto"/>
              </w:divBdr>
            </w:div>
            <w:div w:id="544413277">
              <w:marLeft w:val="0"/>
              <w:marRight w:val="0"/>
              <w:marTop w:val="0"/>
              <w:marBottom w:val="0"/>
              <w:divBdr>
                <w:top w:val="none" w:sz="0" w:space="0" w:color="auto"/>
                <w:left w:val="none" w:sz="0" w:space="0" w:color="auto"/>
                <w:bottom w:val="none" w:sz="0" w:space="0" w:color="auto"/>
                <w:right w:val="none" w:sz="0" w:space="0" w:color="auto"/>
              </w:divBdr>
            </w:div>
            <w:div w:id="1992172938">
              <w:marLeft w:val="0"/>
              <w:marRight w:val="0"/>
              <w:marTop w:val="0"/>
              <w:marBottom w:val="0"/>
              <w:divBdr>
                <w:top w:val="none" w:sz="0" w:space="0" w:color="auto"/>
                <w:left w:val="none" w:sz="0" w:space="0" w:color="auto"/>
                <w:bottom w:val="none" w:sz="0" w:space="0" w:color="auto"/>
                <w:right w:val="none" w:sz="0" w:space="0" w:color="auto"/>
              </w:divBdr>
            </w:div>
            <w:div w:id="1045448433">
              <w:marLeft w:val="0"/>
              <w:marRight w:val="0"/>
              <w:marTop w:val="0"/>
              <w:marBottom w:val="0"/>
              <w:divBdr>
                <w:top w:val="none" w:sz="0" w:space="0" w:color="auto"/>
                <w:left w:val="none" w:sz="0" w:space="0" w:color="auto"/>
                <w:bottom w:val="none" w:sz="0" w:space="0" w:color="auto"/>
                <w:right w:val="none" w:sz="0" w:space="0" w:color="auto"/>
              </w:divBdr>
            </w:div>
          </w:divsChild>
        </w:div>
        <w:div w:id="1688828718">
          <w:marLeft w:val="0"/>
          <w:marRight w:val="0"/>
          <w:marTop w:val="0"/>
          <w:marBottom w:val="0"/>
          <w:divBdr>
            <w:top w:val="none" w:sz="0" w:space="0" w:color="auto"/>
            <w:left w:val="none" w:sz="0" w:space="0" w:color="auto"/>
            <w:bottom w:val="none" w:sz="0" w:space="0" w:color="auto"/>
            <w:right w:val="none" w:sz="0" w:space="0" w:color="auto"/>
          </w:divBdr>
        </w:div>
        <w:div w:id="1307663347">
          <w:marLeft w:val="360"/>
          <w:marRight w:val="0"/>
          <w:marTop w:val="0"/>
          <w:marBottom w:val="0"/>
          <w:divBdr>
            <w:top w:val="none" w:sz="0" w:space="0" w:color="auto"/>
            <w:left w:val="none" w:sz="0" w:space="0" w:color="auto"/>
            <w:bottom w:val="none" w:sz="0" w:space="0" w:color="auto"/>
            <w:right w:val="none" w:sz="0" w:space="0" w:color="auto"/>
          </w:divBdr>
        </w:div>
        <w:div w:id="783769716">
          <w:marLeft w:val="0"/>
          <w:marRight w:val="0"/>
          <w:marTop w:val="0"/>
          <w:marBottom w:val="0"/>
          <w:divBdr>
            <w:top w:val="none" w:sz="0" w:space="0" w:color="auto"/>
            <w:left w:val="none" w:sz="0" w:space="0" w:color="auto"/>
            <w:bottom w:val="none" w:sz="0" w:space="0" w:color="auto"/>
            <w:right w:val="none" w:sz="0" w:space="0" w:color="auto"/>
          </w:divBdr>
        </w:div>
        <w:div w:id="1929188534">
          <w:marLeft w:val="0"/>
          <w:marRight w:val="0"/>
          <w:marTop w:val="0"/>
          <w:marBottom w:val="0"/>
          <w:divBdr>
            <w:top w:val="none" w:sz="0" w:space="0" w:color="auto"/>
            <w:left w:val="none" w:sz="0" w:space="0" w:color="auto"/>
            <w:bottom w:val="none" w:sz="0" w:space="0" w:color="auto"/>
            <w:right w:val="none" w:sz="0" w:space="0" w:color="auto"/>
          </w:divBdr>
        </w:div>
        <w:div w:id="131676863">
          <w:marLeft w:val="0"/>
          <w:marRight w:val="0"/>
          <w:marTop w:val="0"/>
          <w:marBottom w:val="0"/>
          <w:divBdr>
            <w:top w:val="none" w:sz="0" w:space="0" w:color="auto"/>
            <w:left w:val="none" w:sz="0" w:space="0" w:color="auto"/>
            <w:bottom w:val="none" w:sz="0" w:space="0" w:color="auto"/>
            <w:right w:val="none" w:sz="0" w:space="0" w:color="auto"/>
          </w:divBdr>
        </w:div>
        <w:div w:id="1423918875">
          <w:marLeft w:val="0"/>
          <w:marRight w:val="0"/>
          <w:marTop w:val="0"/>
          <w:marBottom w:val="0"/>
          <w:divBdr>
            <w:top w:val="none" w:sz="0" w:space="0" w:color="auto"/>
            <w:left w:val="none" w:sz="0" w:space="0" w:color="auto"/>
            <w:bottom w:val="none" w:sz="0" w:space="0" w:color="auto"/>
            <w:right w:val="none" w:sz="0" w:space="0" w:color="auto"/>
          </w:divBdr>
        </w:div>
        <w:div w:id="1342507875">
          <w:marLeft w:val="0"/>
          <w:marRight w:val="0"/>
          <w:marTop w:val="0"/>
          <w:marBottom w:val="0"/>
          <w:divBdr>
            <w:top w:val="none" w:sz="0" w:space="0" w:color="auto"/>
            <w:left w:val="none" w:sz="0" w:space="0" w:color="auto"/>
            <w:bottom w:val="none" w:sz="0" w:space="0" w:color="auto"/>
            <w:right w:val="none" w:sz="0" w:space="0" w:color="auto"/>
          </w:divBdr>
          <w:divsChild>
            <w:div w:id="778917945">
              <w:marLeft w:val="0"/>
              <w:marRight w:val="0"/>
              <w:marTop w:val="0"/>
              <w:marBottom w:val="0"/>
              <w:divBdr>
                <w:top w:val="none" w:sz="0" w:space="0" w:color="auto"/>
                <w:left w:val="none" w:sz="0" w:space="0" w:color="auto"/>
                <w:bottom w:val="none" w:sz="0" w:space="0" w:color="auto"/>
                <w:right w:val="none" w:sz="0" w:space="0" w:color="auto"/>
              </w:divBdr>
            </w:div>
            <w:div w:id="560018242">
              <w:marLeft w:val="0"/>
              <w:marRight w:val="0"/>
              <w:marTop w:val="0"/>
              <w:marBottom w:val="0"/>
              <w:divBdr>
                <w:top w:val="none" w:sz="0" w:space="0" w:color="auto"/>
                <w:left w:val="none" w:sz="0" w:space="0" w:color="auto"/>
                <w:bottom w:val="none" w:sz="0" w:space="0" w:color="auto"/>
                <w:right w:val="none" w:sz="0" w:space="0" w:color="auto"/>
              </w:divBdr>
            </w:div>
            <w:div w:id="1963339591">
              <w:marLeft w:val="0"/>
              <w:marRight w:val="0"/>
              <w:marTop w:val="0"/>
              <w:marBottom w:val="0"/>
              <w:divBdr>
                <w:top w:val="none" w:sz="0" w:space="0" w:color="auto"/>
                <w:left w:val="none" w:sz="0" w:space="0" w:color="auto"/>
                <w:bottom w:val="none" w:sz="0" w:space="0" w:color="auto"/>
                <w:right w:val="none" w:sz="0" w:space="0" w:color="auto"/>
              </w:divBdr>
            </w:div>
            <w:div w:id="1594314675">
              <w:marLeft w:val="0"/>
              <w:marRight w:val="0"/>
              <w:marTop w:val="0"/>
              <w:marBottom w:val="0"/>
              <w:divBdr>
                <w:top w:val="none" w:sz="0" w:space="0" w:color="auto"/>
                <w:left w:val="none" w:sz="0" w:space="0" w:color="auto"/>
                <w:bottom w:val="none" w:sz="0" w:space="0" w:color="auto"/>
                <w:right w:val="none" w:sz="0" w:space="0" w:color="auto"/>
              </w:divBdr>
            </w:div>
            <w:div w:id="367874999">
              <w:marLeft w:val="0"/>
              <w:marRight w:val="0"/>
              <w:marTop w:val="0"/>
              <w:marBottom w:val="0"/>
              <w:divBdr>
                <w:top w:val="none" w:sz="0" w:space="0" w:color="auto"/>
                <w:left w:val="none" w:sz="0" w:space="0" w:color="auto"/>
                <w:bottom w:val="none" w:sz="0" w:space="0" w:color="auto"/>
                <w:right w:val="none" w:sz="0" w:space="0" w:color="auto"/>
              </w:divBdr>
            </w:div>
            <w:div w:id="908809769">
              <w:marLeft w:val="0"/>
              <w:marRight w:val="0"/>
              <w:marTop w:val="0"/>
              <w:marBottom w:val="0"/>
              <w:divBdr>
                <w:top w:val="none" w:sz="0" w:space="0" w:color="auto"/>
                <w:left w:val="none" w:sz="0" w:space="0" w:color="auto"/>
                <w:bottom w:val="none" w:sz="0" w:space="0" w:color="auto"/>
                <w:right w:val="none" w:sz="0" w:space="0" w:color="auto"/>
              </w:divBdr>
            </w:div>
            <w:div w:id="2007052466">
              <w:marLeft w:val="0"/>
              <w:marRight w:val="0"/>
              <w:marTop w:val="0"/>
              <w:marBottom w:val="0"/>
              <w:divBdr>
                <w:top w:val="none" w:sz="0" w:space="0" w:color="auto"/>
                <w:left w:val="none" w:sz="0" w:space="0" w:color="auto"/>
                <w:bottom w:val="none" w:sz="0" w:space="0" w:color="auto"/>
                <w:right w:val="none" w:sz="0" w:space="0" w:color="auto"/>
              </w:divBdr>
            </w:div>
            <w:div w:id="1051072191">
              <w:marLeft w:val="0"/>
              <w:marRight w:val="0"/>
              <w:marTop w:val="0"/>
              <w:marBottom w:val="0"/>
              <w:divBdr>
                <w:top w:val="none" w:sz="0" w:space="0" w:color="auto"/>
                <w:left w:val="none" w:sz="0" w:space="0" w:color="auto"/>
                <w:bottom w:val="none" w:sz="0" w:space="0" w:color="auto"/>
                <w:right w:val="none" w:sz="0" w:space="0" w:color="auto"/>
              </w:divBdr>
            </w:div>
            <w:div w:id="952514758">
              <w:marLeft w:val="0"/>
              <w:marRight w:val="0"/>
              <w:marTop w:val="0"/>
              <w:marBottom w:val="0"/>
              <w:divBdr>
                <w:top w:val="none" w:sz="0" w:space="0" w:color="auto"/>
                <w:left w:val="none" w:sz="0" w:space="0" w:color="auto"/>
                <w:bottom w:val="none" w:sz="0" w:space="0" w:color="auto"/>
                <w:right w:val="none" w:sz="0" w:space="0" w:color="auto"/>
              </w:divBdr>
            </w:div>
            <w:div w:id="369691391">
              <w:marLeft w:val="0"/>
              <w:marRight w:val="0"/>
              <w:marTop w:val="0"/>
              <w:marBottom w:val="0"/>
              <w:divBdr>
                <w:top w:val="none" w:sz="0" w:space="0" w:color="auto"/>
                <w:left w:val="none" w:sz="0" w:space="0" w:color="auto"/>
                <w:bottom w:val="none" w:sz="0" w:space="0" w:color="auto"/>
                <w:right w:val="none" w:sz="0" w:space="0" w:color="auto"/>
              </w:divBdr>
            </w:div>
            <w:div w:id="1639650551">
              <w:marLeft w:val="0"/>
              <w:marRight w:val="0"/>
              <w:marTop w:val="0"/>
              <w:marBottom w:val="0"/>
              <w:divBdr>
                <w:top w:val="none" w:sz="0" w:space="0" w:color="auto"/>
                <w:left w:val="none" w:sz="0" w:space="0" w:color="auto"/>
                <w:bottom w:val="none" w:sz="0" w:space="0" w:color="auto"/>
                <w:right w:val="none" w:sz="0" w:space="0" w:color="auto"/>
              </w:divBdr>
            </w:div>
            <w:div w:id="1521896303">
              <w:marLeft w:val="0"/>
              <w:marRight w:val="0"/>
              <w:marTop w:val="0"/>
              <w:marBottom w:val="0"/>
              <w:divBdr>
                <w:top w:val="none" w:sz="0" w:space="0" w:color="auto"/>
                <w:left w:val="none" w:sz="0" w:space="0" w:color="auto"/>
                <w:bottom w:val="none" w:sz="0" w:space="0" w:color="auto"/>
                <w:right w:val="none" w:sz="0" w:space="0" w:color="auto"/>
              </w:divBdr>
            </w:div>
            <w:div w:id="2078740274">
              <w:marLeft w:val="0"/>
              <w:marRight w:val="0"/>
              <w:marTop w:val="0"/>
              <w:marBottom w:val="0"/>
              <w:divBdr>
                <w:top w:val="none" w:sz="0" w:space="0" w:color="auto"/>
                <w:left w:val="none" w:sz="0" w:space="0" w:color="auto"/>
                <w:bottom w:val="none" w:sz="0" w:space="0" w:color="auto"/>
                <w:right w:val="none" w:sz="0" w:space="0" w:color="auto"/>
              </w:divBdr>
            </w:div>
            <w:div w:id="1994215682">
              <w:marLeft w:val="0"/>
              <w:marRight w:val="0"/>
              <w:marTop w:val="0"/>
              <w:marBottom w:val="0"/>
              <w:divBdr>
                <w:top w:val="none" w:sz="0" w:space="0" w:color="auto"/>
                <w:left w:val="none" w:sz="0" w:space="0" w:color="auto"/>
                <w:bottom w:val="none" w:sz="0" w:space="0" w:color="auto"/>
                <w:right w:val="none" w:sz="0" w:space="0" w:color="auto"/>
              </w:divBdr>
            </w:div>
            <w:div w:id="1299073167">
              <w:marLeft w:val="0"/>
              <w:marRight w:val="0"/>
              <w:marTop w:val="0"/>
              <w:marBottom w:val="0"/>
              <w:divBdr>
                <w:top w:val="none" w:sz="0" w:space="0" w:color="auto"/>
                <w:left w:val="none" w:sz="0" w:space="0" w:color="auto"/>
                <w:bottom w:val="none" w:sz="0" w:space="0" w:color="auto"/>
                <w:right w:val="none" w:sz="0" w:space="0" w:color="auto"/>
              </w:divBdr>
            </w:div>
            <w:div w:id="607153211">
              <w:marLeft w:val="0"/>
              <w:marRight w:val="0"/>
              <w:marTop w:val="0"/>
              <w:marBottom w:val="0"/>
              <w:divBdr>
                <w:top w:val="none" w:sz="0" w:space="0" w:color="auto"/>
                <w:left w:val="none" w:sz="0" w:space="0" w:color="auto"/>
                <w:bottom w:val="none" w:sz="0" w:space="0" w:color="auto"/>
                <w:right w:val="none" w:sz="0" w:space="0" w:color="auto"/>
              </w:divBdr>
            </w:div>
            <w:div w:id="843738661">
              <w:marLeft w:val="0"/>
              <w:marRight w:val="0"/>
              <w:marTop w:val="0"/>
              <w:marBottom w:val="0"/>
              <w:divBdr>
                <w:top w:val="none" w:sz="0" w:space="0" w:color="auto"/>
                <w:left w:val="none" w:sz="0" w:space="0" w:color="auto"/>
                <w:bottom w:val="none" w:sz="0" w:space="0" w:color="auto"/>
                <w:right w:val="none" w:sz="0" w:space="0" w:color="auto"/>
              </w:divBdr>
            </w:div>
            <w:div w:id="590238323">
              <w:marLeft w:val="0"/>
              <w:marRight w:val="0"/>
              <w:marTop w:val="0"/>
              <w:marBottom w:val="0"/>
              <w:divBdr>
                <w:top w:val="none" w:sz="0" w:space="0" w:color="auto"/>
                <w:left w:val="none" w:sz="0" w:space="0" w:color="auto"/>
                <w:bottom w:val="none" w:sz="0" w:space="0" w:color="auto"/>
                <w:right w:val="none" w:sz="0" w:space="0" w:color="auto"/>
              </w:divBdr>
            </w:div>
            <w:div w:id="607858911">
              <w:marLeft w:val="0"/>
              <w:marRight w:val="0"/>
              <w:marTop w:val="0"/>
              <w:marBottom w:val="0"/>
              <w:divBdr>
                <w:top w:val="none" w:sz="0" w:space="0" w:color="auto"/>
                <w:left w:val="none" w:sz="0" w:space="0" w:color="auto"/>
                <w:bottom w:val="none" w:sz="0" w:space="0" w:color="auto"/>
                <w:right w:val="none" w:sz="0" w:space="0" w:color="auto"/>
              </w:divBdr>
            </w:div>
            <w:div w:id="1651860160">
              <w:marLeft w:val="0"/>
              <w:marRight w:val="0"/>
              <w:marTop w:val="0"/>
              <w:marBottom w:val="0"/>
              <w:divBdr>
                <w:top w:val="none" w:sz="0" w:space="0" w:color="auto"/>
                <w:left w:val="none" w:sz="0" w:space="0" w:color="auto"/>
                <w:bottom w:val="none" w:sz="0" w:space="0" w:color="auto"/>
                <w:right w:val="none" w:sz="0" w:space="0" w:color="auto"/>
              </w:divBdr>
            </w:div>
            <w:div w:id="289169352">
              <w:marLeft w:val="0"/>
              <w:marRight w:val="0"/>
              <w:marTop w:val="0"/>
              <w:marBottom w:val="0"/>
              <w:divBdr>
                <w:top w:val="none" w:sz="0" w:space="0" w:color="auto"/>
                <w:left w:val="none" w:sz="0" w:space="0" w:color="auto"/>
                <w:bottom w:val="none" w:sz="0" w:space="0" w:color="auto"/>
                <w:right w:val="none" w:sz="0" w:space="0" w:color="auto"/>
              </w:divBdr>
            </w:div>
            <w:div w:id="818502705">
              <w:marLeft w:val="0"/>
              <w:marRight w:val="0"/>
              <w:marTop w:val="0"/>
              <w:marBottom w:val="0"/>
              <w:divBdr>
                <w:top w:val="none" w:sz="0" w:space="0" w:color="auto"/>
                <w:left w:val="none" w:sz="0" w:space="0" w:color="auto"/>
                <w:bottom w:val="none" w:sz="0" w:space="0" w:color="auto"/>
                <w:right w:val="none" w:sz="0" w:space="0" w:color="auto"/>
              </w:divBdr>
            </w:div>
            <w:div w:id="1583678922">
              <w:marLeft w:val="0"/>
              <w:marRight w:val="0"/>
              <w:marTop w:val="0"/>
              <w:marBottom w:val="0"/>
              <w:divBdr>
                <w:top w:val="none" w:sz="0" w:space="0" w:color="auto"/>
                <w:left w:val="none" w:sz="0" w:space="0" w:color="auto"/>
                <w:bottom w:val="none" w:sz="0" w:space="0" w:color="auto"/>
                <w:right w:val="none" w:sz="0" w:space="0" w:color="auto"/>
              </w:divBdr>
            </w:div>
          </w:divsChild>
        </w:div>
        <w:div w:id="1878078729">
          <w:marLeft w:val="0"/>
          <w:marRight w:val="0"/>
          <w:marTop w:val="0"/>
          <w:marBottom w:val="0"/>
          <w:divBdr>
            <w:top w:val="none" w:sz="0" w:space="0" w:color="auto"/>
            <w:left w:val="none" w:sz="0" w:space="0" w:color="auto"/>
            <w:bottom w:val="none" w:sz="0" w:space="0" w:color="auto"/>
            <w:right w:val="none" w:sz="0" w:space="0" w:color="auto"/>
          </w:divBdr>
        </w:div>
        <w:div w:id="921989453">
          <w:marLeft w:val="0"/>
          <w:marRight w:val="0"/>
          <w:marTop w:val="0"/>
          <w:marBottom w:val="0"/>
          <w:divBdr>
            <w:top w:val="none" w:sz="0" w:space="0" w:color="auto"/>
            <w:left w:val="none" w:sz="0" w:space="0" w:color="auto"/>
            <w:bottom w:val="none" w:sz="0" w:space="0" w:color="auto"/>
            <w:right w:val="none" w:sz="0" w:space="0" w:color="auto"/>
          </w:divBdr>
        </w:div>
        <w:div w:id="1718969829">
          <w:marLeft w:val="0"/>
          <w:marRight w:val="0"/>
          <w:marTop w:val="0"/>
          <w:marBottom w:val="0"/>
          <w:divBdr>
            <w:top w:val="none" w:sz="0" w:space="0" w:color="auto"/>
            <w:left w:val="none" w:sz="0" w:space="0" w:color="auto"/>
            <w:bottom w:val="none" w:sz="0" w:space="0" w:color="auto"/>
            <w:right w:val="none" w:sz="0" w:space="0" w:color="auto"/>
          </w:divBdr>
          <w:divsChild>
            <w:div w:id="767769732">
              <w:marLeft w:val="0"/>
              <w:marRight w:val="0"/>
              <w:marTop w:val="0"/>
              <w:marBottom w:val="0"/>
              <w:divBdr>
                <w:top w:val="none" w:sz="0" w:space="0" w:color="auto"/>
                <w:left w:val="none" w:sz="0" w:space="0" w:color="auto"/>
                <w:bottom w:val="none" w:sz="0" w:space="0" w:color="auto"/>
                <w:right w:val="none" w:sz="0" w:space="0" w:color="auto"/>
              </w:divBdr>
            </w:div>
          </w:divsChild>
        </w:div>
        <w:div w:id="647787304">
          <w:marLeft w:val="0"/>
          <w:marRight w:val="0"/>
          <w:marTop w:val="0"/>
          <w:marBottom w:val="0"/>
          <w:divBdr>
            <w:top w:val="none" w:sz="0" w:space="0" w:color="auto"/>
            <w:left w:val="none" w:sz="0" w:space="0" w:color="auto"/>
            <w:bottom w:val="none" w:sz="0" w:space="0" w:color="auto"/>
            <w:right w:val="none" w:sz="0" w:space="0" w:color="auto"/>
          </w:divBdr>
        </w:div>
        <w:div w:id="1579751764">
          <w:marLeft w:val="0"/>
          <w:marRight w:val="0"/>
          <w:marTop w:val="0"/>
          <w:marBottom w:val="0"/>
          <w:divBdr>
            <w:top w:val="none" w:sz="0" w:space="0" w:color="auto"/>
            <w:left w:val="none" w:sz="0" w:space="0" w:color="auto"/>
            <w:bottom w:val="none" w:sz="0" w:space="0" w:color="auto"/>
            <w:right w:val="none" w:sz="0" w:space="0" w:color="auto"/>
          </w:divBdr>
        </w:div>
        <w:div w:id="389379063">
          <w:marLeft w:val="0"/>
          <w:marRight w:val="0"/>
          <w:marTop w:val="0"/>
          <w:marBottom w:val="0"/>
          <w:divBdr>
            <w:top w:val="none" w:sz="0" w:space="0" w:color="auto"/>
            <w:left w:val="none" w:sz="0" w:space="0" w:color="auto"/>
            <w:bottom w:val="none" w:sz="0" w:space="0" w:color="auto"/>
            <w:right w:val="none" w:sz="0" w:space="0" w:color="auto"/>
          </w:divBdr>
        </w:div>
        <w:div w:id="1405570172">
          <w:marLeft w:val="0"/>
          <w:marRight w:val="0"/>
          <w:marTop w:val="0"/>
          <w:marBottom w:val="0"/>
          <w:divBdr>
            <w:top w:val="none" w:sz="0" w:space="0" w:color="auto"/>
            <w:left w:val="none" w:sz="0" w:space="0" w:color="auto"/>
            <w:bottom w:val="none" w:sz="0" w:space="0" w:color="auto"/>
            <w:right w:val="none" w:sz="0" w:space="0" w:color="auto"/>
          </w:divBdr>
        </w:div>
        <w:div w:id="1120955586">
          <w:marLeft w:val="0"/>
          <w:marRight w:val="0"/>
          <w:marTop w:val="0"/>
          <w:marBottom w:val="0"/>
          <w:divBdr>
            <w:top w:val="none" w:sz="0" w:space="0" w:color="auto"/>
            <w:left w:val="none" w:sz="0" w:space="0" w:color="auto"/>
            <w:bottom w:val="none" w:sz="0" w:space="0" w:color="auto"/>
            <w:right w:val="none" w:sz="0" w:space="0" w:color="auto"/>
          </w:divBdr>
        </w:div>
        <w:div w:id="2135705952">
          <w:marLeft w:val="0"/>
          <w:marRight w:val="0"/>
          <w:marTop w:val="0"/>
          <w:marBottom w:val="0"/>
          <w:divBdr>
            <w:top w:val="none" w:sz="0" w:space="0" w:color="auto"/>
            <w:left w:val="none" w:sz="0" w:space="0" w:color="auto"/>
            <w:bottom w:val="none" w:sz="0" w:space="0" w:color="auto"/>
            <w:right w:val="none" w:sz="0" w:space="0" w:color="auto"/>
          </w:divBdr>
        </w:div>
        <w:div w:id="2102868618">
          <w:marLeft w:val="0"/>
          <w:marRight w:val="0"/>
          <w:marTop w:val="0"/>
          <w:marBottom w:val="0"/>
          <w:divBdr>
            <w:top w:val="none" w:sz="0" w:space="0" w:color="auto"/>
            <w:left w:val="none" w:sz="0" w:space="0" w:color="auto"/>
            <w:bottom w:val="none" w:sz="0" w:space="0" w:color="auto"/>
            <w:right w:val="none" w:sz="0" w:space="0" w:color="auto"/>
          </w:divBdr>
        </w:div>
        <w:div w:id="1597445928">
          <w:marLeft w:val="840"/>
          <w:marRight w:val="0"/>
          <w:marTop w:val="0"/>
          <w:marBottom w:val="0"/>
          <w:divBdr>
            <w:top w:val="none" w:sz="0" w:space="0" w:color="auto"/>
            <w:left w:val="none" w:sz="0" w:space="0" w:color="auto"/>
            <w:bottom w:val="none" w:sz="0" w:space="0" w:color="auto"/>
            <w:right w:val="none" w:sz="0" w:space="0" w:color="auto"/>
          </w:divBdr>
        </w:div>
        <w:div w:id="14332809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ED68-4177-46C5-9307-16C4638F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10771</Words>
  <Characters>59244</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 Pacheco Cardeña</dc:creator>
  <cp:lastModifiedBy>Laura V. Pacheco Cardeña</cp:lastModifiedBy>
  <cp:revision>4</cp:revision>
  <dcterms:created xsi:type="dcterms:W3CDTF">2024-05-02T17:49:00Z</dcterms:created>
  <dcterms:modified xsi:type="dcterms:W3CDTF">2024-05-02T18:00:00Z</dcterms:modified>
</cp:coreProperties>
</file>