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C2A51B" w14:textId="4CF8F394" w:rsidR="006F6A52" w:rsidRPr="00AA5444" w:rsidRDefault="00D530D9" w:rsidP="00F52671">
      <w:pPr>
        <w:spacing w:after="0"/>
        <w:ind w:left="1440" w:hanging="1440"/>
        <w:jc w:val="center"/>
        <w:rPr>
          <w:rFonts w:ascii="Lato" w:hAnsi="Lato"/>
          <w:szCs w:val="22"/>
        </w:rPr>
      </w:pPr>
      <w:r w:rsidRPr="00AA5444">
        <w:rPr>
          <w:rFonts w:ascii="Lato" w:hAnsi="Lato"/>
          <w:b/>
          <w:szCs w:val="22"/>
        </w:rPr>
        <w:t>Presupuesto C</w:t>
      </w:r>
      <w:r w:rsidR="00C82315" w:rsidRPr="00AA5444">
        <w:rPr>
          <w:rFonts w:ascii="Lato" w:hAnsi="Lato"/>
          <w:b/>
          <w:szCs w:val="22"/>
        </w:rPr>
        <w:t>iudadano 20</w:t>
      </w:r>
      <w:r w:rsidR="004B6C8A" w:rsidRPr="00AA5444">
        <w:rPr>
          <w:rFonts w:ascii="Lato" w:hAnsi="Lato"/>
          <w:b/>
          <w:szCs w:val="22"/>
        </w:rPr>
        <w:t>2</w:t>
      </w:r>
      <w:r w:rsidR="001537DD">
        <w:rPr>
          <w:rFonts w:ascii="Lato" w:hAnsi="Lato"/>
          <w:b/>
          <w:szCs w:val="22"/>
        </w:rPr>
        <w:t>6</w:t>
      </w:r>
    </w:p>
    <w:p w14:paraId="0444ECFB" w14:textId="77777777" w:rsidR="006F6A52" w:rsidRPr="00AA5444" w:rsidRDefault="0060747A">
      <w:pPr>
        <w:spacing w:after="0"/>
        <w:jc w:val="center"/>
        <w:rPr>
          <w:rFonts w:ascii="Lato" w:hAnsi="Lato"/>
          <w:szCs w:val="22"/>
        </w:rPr>
      </w:pPr>
      <w:r w:rsidRPr="00AA5444">
        <w:rPr>
          <w:rFonts w:ascii="Lato" w:hAnsi="Lato"/>
          <w:b/>
          <w:szCs w:val="22"/>
        </w:rPr>
        <w:t xml:space="preserve">Información para la </w:t>
      </w:r>
      <w:r w:rsidR="00B319DB" w:rsidRPr="00AA5444">
        <w:rPr>
          <w:rFonts w:ascii="Lato" w:hAnsi="Lato"/>
          <w:b/>
          <w:szCs w:val="22"/>
        </w:rPr>
        <w:t>difusión a la ciudadanía de la Ley de i</w:t>
      </w:r>
      <w:r w:rsidRPr="00AA5444">
        <w:rPr>
          <w:rFonts w:ascii="Lato" w:hAnsi="Lato"/>
          <w:b/>
          <w:szCs w:val="22"/>
        </w:rPr>
        <w:t>ngresos y del presupuesto de egresos</w:t>
      </w:r>
    </w:p>
    <w:p w14:paraId="63440970" w14:textId="77777777" w:rsidR="006F6A52" w:rsidRPr="00AA5444" w:rsidRDefault="006F6A52">
      <w:pPr>
        <w:spacing w:after="0"/>
        <w:jc w:val="center"/>
        <w:rPr>
          <w:rFonts w:ascii="Lato" w:hAnsi="Lato"/>
          <w:szCs w:val="22"/>
        </w:rPr>
      </w:pPr>
    </w:p>
    <w:p w14:paraId="4CAA9CEC" w14:textId="77777777" w:rsidR="0023238D" w:rsidRPr="00AA5444" w:rsidRDefault="0023238D" w:rsidP="0023238D">
      <w:pPr>
        <w:spacing w:after="0"/>
        <w:jc w:val="both"/>
        <w:rPr>
          <w:rFonts w:ascii="Lato" w:hAnsi="Lato"/>
          <w:szCs w:val="22"/>
        </w:rPr>
      </w:pPr>
      <w:r w:rsidRPr="00AA5444">
        <w:rPr>
          <w:rFonts w:ascii="Lato" w:hAnsi="Lato"/>
          <w:szCs w:val="22"/>
          <w:u w:val="single"/>
        </w:rPr>
        <w:t>¿Qué es la Ley de ingresos y cuál es su importancia?</w:t>
      </w:r>
    </w:p>
    <w:p w14:paraId="4852EE70" w14:textId="77777777" w:rsidR="0023238D" w:rsidRPr="00AA5444" w:rsidRDefault="0023238D" w:rsidP="0023238D">
      <w:pPr>
        <w:tabs>
          <w:tab w:val="left" w:pos="2512"/>
        </w:tabs>
        <w:spacing w:after="0"/>
        <w:jc w:val="both"/>
        <w:rPr>
          <w:rFonts w:ascii="Lato" w:hAnsi="Lato"/>
          <w:szCs w:val="22"/>
        </w:rPr>
      </w:pPr>
      <w:r w:rsidRPr="00AA5444">
        <w:rPr>
          <w:rFonts w:ascii="Lato" w:hAnsi="Lato"/>
        </w:rPr>
        <w:t>Es un documento que explica cuánto dinero recaudará el Estado y la forma en la que lo hará. El dinero recaudado se utiliza para realizar las funciones del Estado como son: otorgar educación, salud y seguridad, así como, garantizar el bienestar y desarrollo de la población</w:t>
      </w:r>
      <w:r w:rsidRPr="00AA5444">
        <w:rPr>
          <w:rFonts w:ascii="Lato" w:hAnsi="Lato"/>
          <w:szCs w:val="22"/>
        </w:rPr>
        <w:t>.</w:t>
      </w:r>
    </w:p>
    <w:p w14:paraId="30921D53" w14:textId="77777777" w:rsidR="0023238D" w:rsidRPr="00AA5444" w:rsidRDefault="0023238D" w:rsidP="0023238D">
      <w:pPr>
        <w:spacing w:after="0"/>
        <w:jc w:val="both"/>
        <w:rPr>
          <w:rFonts w:ascii="Lato" w:hAnsi="Lato"/>
          <w:szCs w:val="22"/>
        </w:rPr>
      </w:pPr>
    </w:p>
    <w:p w14:paraId="707BBC6F" w14:textId="77777777" w:rsidR="0023238D" w:rsidRPr="00AA5444" w:rsidRDefault="0023238D" w:rsidP="0023238D">
      <w:pPr>
        <w:spacing w:after="0"/>
        <w:jc w:val="both"/>
        <w:rPr>
          <w:rFonts w:ascii="Lato" w:hAnsi="Lato"/>
          <w:szCs w:val="22"/>
        </w:rPr>
      </w:pPr>
      <w:r w:rsidRPr="00AA5444">
        <w:rPr>
          <w:rFonts w:ascii="Lato" w:hAnsi="Lato"/>
          <w:szCs w:val="22"/>
          <w:u w:val="single"/>
        </w:rPr>
        <w:t>¿De dónde obtiene el gobierno sus ingresos?</w:t>
      </w:r>
    </w:p>
    <w:p w14:paraId="55F8F2DF" w14:textId="77777777" w:rsidR="0023238D" w:rsidRPr="00AA5444" w:rsidRDefault="0023238D" w:rsidP="0023238D">
      <w:pPr>
        <w:spacing w:after="0"/>
        <w:jc w:val="both"/>
        <w:rPr>
          <w:rFonts w:ascii="Lato" w:hAnsi="Lato"/>
          <w:szCs w:val="22"/>
        </w:rPr>
      </w:pPr>
      <w:r w:rsidRPr="00AA5444">
        <w:rPr>
          <w:rFonts w:ascii="Lato" w:hAnsi="Lato"/>
          <w:szCs w:val="22"/>
        </w:rPr>
        <w:t>Una parte proviene de la recaudación directa del Estado y son los impuestos, los productos, derechos y aprovechamientos. Por ejemplo: un producto se genera por la renta de un teatro público; un derecho por el pago de un acta de nacimiento, y un aprovechamiento por el pago, los recargos y gastos de cobranza de quienes pagan sus contribuciones fuera de tiempo.</w:t>
      </w:r>
    </w:p>
    <w:p w14:paraId="4A8A3B4A" w14:textId="77777777" w:rsidR="0023238D" w:rsidRPr="00AA5444" w:rsidRDefault="0023238D" w:rsidP="0023238D">
      <w:pPr>
        <w:spacing w:after="0"/>
        <w:jc w:val="both"/>
        <w:rPr>
          <w:rFonts w:ascii="Lato" w:hAnsi="Lato"/>
          <w:szCs w:val="22"/>
        </w:rPr>
      </w:pPr>
    </w:p>
    <w:p w14:paraId="34115D66" w14:textId="77777777" w:rsidR="0023238D" w:rsidRPr="00AA5444" w:rsidRDefault="0023238D" w:rsidP="0023238D">
      <w:pPr>
        <w:spacing w:after="0"/>
        <w:jc w:val="both"/>
        <w:rPr>
          <w:rFonts w:ascii="Lato" w:hAnsi="Lato"/>
          <w:szCs w:val="22"/>
        </w:rPr>
      </w:pPr>
      <w:r w:rsidRPr="00AA5444">
        <w:rPr>
          <w:rFonts w:ascii="Lato" w:hAnsi="Lato"/>
          <w:szCs w:val="22"/>
        </w:rPr>
        <w:t>Además de recibir ingresos de manera directa, el Estado obtiene recursos, entre otros, por:</w:t>
      </w:r>
    </w:p>
    <w:p w14:paraId="1938F1E4" w14:textId="77777777" w:rsidR="0023238D" w:rsidRPr="00AA5444" w:rsidRDefault="0023238D" w:rsidP="0023238D">
      <w:pPr>
        <w:spacing w:after="0"/>
        <w:jc w:val="both"/>
        <w:rPr>
          <w:rFonts w:ascii="Lato" w:hAnsi="Lato"/>
          <w:szCs w:val="22"/>
        </w:rPr>
      </w:pPr>
    </w:p>
    <w:p w14:paraId="38A47785" w14:textId="77777777" w:rsidR="0023238D" w:rsidRPr="00AA5444" w:rsidRDefault="0023238D" w:rsidP="0023238D">
      <w:pPr>
        <w:pStyle w:val="Prrafodelista"/>
        <w:numPr>
          <w:ilvl w:val="0"/>
          <w:numId w:val="8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  <w:b/>
        </w:rPr>
        <w:t>Recursos de libre disposición:</w:t>
      </w:r>
      <w:r w:rsidRPr="00AA5444">
        <w:rPr>
          <w:rFonts w:ascii="Lato" w:hAnsi="Lato"/>
        </w:rPr>
        <w:t xml:space="preserve"> Son los ingresos federales que el Estado tiene derecho a percibir conforme a las normas del Sistema Nacional de Coordinación Fiscal.</w:t>
      </w:r>
    </w:p>
    <w:p w14:paraId="1889EBEE" w14:textId="77777777" w:rsidR="0023238D" w:rsidRPr="00AA5444" w:rsidRDefault="0023238D" w:rsidP="0023238D">
      <w:pPr>
        <w:spacing w:after="0"/>
        <w:jc w:val="both"/>
        <w:rPr>
          <w:rFonts w:ascii="Lato" w:hAnsi="Lato"/>
        </w:rPr>
      </w:pPr>
    </w:p>
    <w:p w14:paraId="7E2CCF4A" w14:textId="77777777" w:rsidR="0023238D" w:rsidRPr="00AA5444" w:rsidRDefault="0023238D" w:rsidP="0023238D">
      <w:pPr>
        <w:pStyle w:val="Prrafodelista"/>
        <w:numPr>
          <w:ilvl w:val="0"/>
          <w:numId w:val="8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  <w:b/>
        </w:rPr>
        <w:t>Recursos etiquetados:</w:t>
      </w:r>
      <w:r w:rsidRPr="00AA5444">
        <w:rPr>
          <w:rFonts w:ascii="Lato" w:hAnsi="Lato"/>
        </w:rPr>
        <w:t xml:space="preserve"> Los asigna la Federación al Estado en conformidad con la Ley de Coordinación Fiscal.</w:t>
      </w:r>
    </w:p>
    <w:p w14:paraId="1819552D" w14:textId="77777777" w:rsidR="0023238D" w:rsidRPr="00AA5444" w:rsidRDefault="0023238D" w:rsidP="0023238D">
      <w:pPr>
        <w:spacing w:after="0"/>
        <w:jc w:val="both"/>
        <w:rPr>
          <w:rFonts w:ascii="Lato" w:hAnsi="Lato"/>
          <w:szCs w:val="22"/>
        </w:rPr>
      </w:pPr>
    </w:p>
    <w:p w14:paraId="1EE56C9A" w14:textId="77777777" w:rsidR="0023238D" w:rsidRDefault="0023238D" w:rsidP="0023238D">
      <w:pPr>
        <w:spacing w:after="0"/>
        <w:jc w:val="center"/>
        <w:rPr>
          <w:rFonts w:ascii="Lato" w:hAnsi="Lato"/>
        </w:rPr>
      </w:pPr>
      <w:r w:rsidRPr="00AA5444">
        <w:rPr>
          <w:rFonts w:ascii="Lato" w:hAnsi="Lato"/>
        </w:rPr>
        <w:t>Cuadro 1. Ingresos. Origen de los ingresos</w:t>
      </w:r>
    </w:p>
    <w:tbl>
      <w:tblPr>
        <w:tblW w:w="9740" w:type="dxa"/>
        <w:tblInd w:w="-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0"/>
        <w:gridCol w:w="1700"/>
        <w:gridCol w:w="1200"/>
      </w:tblGrid>
      <w:tr w:rsidR="0023238D" w:rsidRPr="00EC0567" w14:paraId="11E138E6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62840DD6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</w:pPr>
            <w:r w:rsidRPr="00EC0567"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  <w:t>Concepto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7F13A5ED" w14:textId="77777777" w:rsidR="0023238D" w:rsidRPr="00EC0567" w:rsidRDefault="0023238D" w:rsidP="00D9081B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</w:pPr>
            <w:r w:rsidRPr="00EC0567"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  <w:t>Importe (pesos)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2FD17779" w14:textId="77777777" w:rsidR="0023238D" w:rsidRPr="00EC0567" w:rsidRDefault="0023238D" w:rsidP="00D9081B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</w:pPr>
            <w:r w:rsidRPr="00EC0567"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  <w:t>Porcentaje</w:t>
            </w:r>
          </w:p>
        </w:tc>
      </w:tr>
      <w:tr w:rsidR="0023238D" w:rsidRPr="00EC0567" w14:paraId="6F55AD93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07E2A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Impuestos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C3FD" w14:textId="688D22B9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5,214,559,050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7343" w14:textId="26CA4D08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7.8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7A8C50D7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0D13F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Cuotas y aportaciones de seguridad social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826A4" w14:textId="002B495D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 xml:space="preserve">2,427,466,792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F49BB" w14:textId="5AA0A58C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3.6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52215610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63400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Contribuciones de mejoras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5D36B" w14:textId="77777777" w:rsidR="0023238D" w:rsidRPr="00EC0567" w:rsidRDefault="0023238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C8D9B" w14:textId="35F54C38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0.0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7012B1B4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8D16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Derechos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466B2" w14:textId="0B8045A1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2,401,231,235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4B578" w14:textId="2BB733AD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3.6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50A6D66A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42ED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Productos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C2D61" w14:textId="39848EDA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185,605,884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AD50" w14:textId="5E8DEF1B" w:rsidR="0023238D" w:rsidRPr="00EC0567" w:rsidRDefault="00C6723E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0.27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73CC9727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C8031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Aprovechamientos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EAFEA" w14:textId="585F0548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378,556,158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9539" w14:textId="096DF114" w:rsidR="0023238D" w:rsidRPr="00EC0567" w:rsidRDefault="00C6723E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0.57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160D6802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F9F4B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Ingresos por ventas de bienes y servicios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EB7EB" w14:textId="4BD002B6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3,074,349,341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28AA2" w14:textId="23C5F531" w:rsidR="0023238D" w:rsidRPr="00EC0567" w:rsidRDefault="00C6723E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4.6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227FEDF7" w14:textId="77777777" w:rsidTr="00D9081B">
        <w:trPr>
          <w:trHeight w:val="56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BD192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39466" w14:textId="438CCC77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48,671,595,074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D609" w14:textId="2BB050BB" w:rsidR="0023238D" w:rsidRPr="00EC0567" w:rsidRDefault="00C6723E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73.2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7FE7150E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8D647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Transferencias, asignaciones, subsidios y otras ayudas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12873" w14:textId="46399208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2,524,586,201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9A8A1" w14:textId="0A6CEBE3" w:rsidR="0023238D" w:rsidRPr="00EC0567" w:rsidRDefault="00C6723E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3.8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3D020D9E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C1EE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szCs w:val="22"/>
              </w:rPr>
            </w:pPr>
            <w:r w:rsidRPr="00EC0567">
              <w:rPr>
                <w:rFonts w:ascii="Lato" w:eastAsia="Times New Roman" w:hAnsi="Lato" w:cs="Arial"/>
                <w:szCs w:val="22"/>
              </w:rPr>
              <w:t>Ingresos derivados de financiamientos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FAD70" w14:textId="07C191BA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1,530,000,000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83B1" w14:textId="105508C8" w:rsidR="0023238D" w:rsidRPr="00EC0567" w:rsidRDefault="00C6723E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szCs w:val="22"/>
              </w:rPr>
            </w:pPr>
            <w:r>
              <w:rPr>
                <w:rFonts w:ascii="Lato" w:eastAsia="Times New Roman" w:hAnsi="Lato" w:cs="Arial"/>
                <w:szCs w:val="22"/>
              </w:rPr>
              <w:t>2.3</w:t>
            </w:r>
            <w:r w:rsidR="0023238D" w:rsidRPr="00EC0567">
              <w:rPr>
                <w:rFonts w:ascii="Lato" w:eastAsia="Times New Roman" w:hAnsi="Lato" w:cs="Arial"/>
                <w:szCs w:val="22"/>
              </w:rPr>
              <w:t>%</w:t>
            </w:r>
          </w:p>
        </w:tc>
      </w:tr>
      <w:tr w:rsidR="0023238D" w:rsidRPr="00EC0567" w14:paraId="545AF1CA" w14:textId="77777777" w:rsidTr="00D9081B">
        <w:trPr>
          <w:trHeight w:val="28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12D14AF5" w14:textId="77777777" w:rsidR="0023238D" w:rsidRPr="00EC0567" w:rsidRDefault="0023238D" w:rsidP="00D9081B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</w:pPr>
            <w:r w:rsidRPr="00EC0567"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02354358" w14:textId="7D988A54" w:rsidR="0023238D" w:rsidRPr="00EC0567" w:rsidRDefault="001537D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</w:pPr>
            <w:r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  <w:t>66,407,949,735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50652C22" w14:textId="77777777" w:rsidR="0023238D" w:rsidRPr="00EC0567" w:rsidRDefault="0023238D" w:rsidP="00D9081B">
            <w:pPr>
              <w:spacing w:after="0" w:line="240" w:lineRule="auto"/>
              <w:jc w:val="right"/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</w:pPr>
            <w:r w:rsidRPr="00EC0567">
              <w:rPr>
                <w:rFonts w:ascii="Lato" w:eastAsia="Times New Roman" w:hAnsi="Lato" w:cs="Arial"/>
                <w:b/>
                <w:bCs/>
                <w:color w:val="FFFFFF"/>
                <w:szCs w:val="22"/>
              </w:rPr>
              <w:t>100.0%</w:t>
            </w:r>
          </w:p>
        </w:tc>
      </w:tr>
    </w:tbl>
    <w:p w14:paraId="3FFAB045" w14:textId="77777777" w:rsidR="0023238D" w:rsidRPr="00EC0567" w:rsidRDefault="0023238D" w:rsidP="0023238D">
      <w:pPr>
        <w:spacing w:after="0"/>
        <w:rPr>
          <w:rFonts w:ascii="Lato" w:hAnsi="Lato"/>
        </w:rPr>
      </w:pPr>
    </w:p>
    <w:p w14:paraId="5576E135" w14:textId="77777777" w:rsidR="0023238D" w:rsidRDefault="0023238D" w:rsidP="00AA5444">
      <w:pPr>
        <w:spacing w:after="0"/>
        <w:rPr>
          <w:rFonts w:ascii="Lato" w:hAnsi="Lato"/>
          <w:color w:val="auto"/>
          <w:szCs w:val="22"/>
          <w:u w:val="single"/>
        </w:rPr>
      </w:pPr>
    </w:p>
    <w:p w14:paraId="012D30BA" w14:textId="77777777" w:rsidR="0023238D" w:rsidRDefault="0023238D">
      <w:pPr>
        <w:rPr>
          <w:rFonts w:ascii="Lato" w:hAnsi="Lato"/>
          <w:color w:val="auto"/>
          <w:szCs w:val="22"/>
          <w:u w:val="single"/>
        </w:rPr>
      </w:pPr>
      <w:r>
        <w:rPr>
          <w:rFonts w:ascii="Lato" w:hAnsi="Lato"/>
          <w:color w:val="auto"/>
          <w:szCs w:val="22"/>
          <w:u w:val="single"/>
        </w:rPr>
        <w:br w:type="page"/>
      </w:r>
    </w:p>
    <w:p w14:paraId="54590091" w14:textId="06D165E8" w:rsidR="00E64ED2" w:rsidRPr="00E64ED2" w:rsidRDefault="00AA5444" w:rsidP="00AA5444">
      <w:pPr>
        <w:spacing w:after="0"/>
        <w:rPr>
          <w:rFonts w:ascii="Lato" w:hAnsi="Lato"/>
          <w:color w:val="auto"/>
          <w:szCs w:val="22"/>
          <w:u w:val="single"/>
        </w:rPr>
      </w:pPr>
      <w:r w:rsidRPr="00AA5444">
        <w:rPr>
          <w:rFonts w:ascii="Lato" w:hAnsi="Lato"/>
          <w:color w:val="auto"/>
          <w:szCs w:val="22"/>
          <w:u w:val="single"/>
        </w:rPr>
        <w:lastRenderedPageBreak/>
        <w:t>¿Qué es el Presupuesto de Egresos?</w:t>
      </w:r>
    </w:p>
    <w:p w14:paraId="50BF67E8" w14:textId="513B963A" w:rsidR="00AA5444" w:rsidRPr="00AA5444" w:rsidRDefault="00AA5444" w:rsidP="00AA544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Es un</w:t>
      </w:r>
      <w:r w:rsidRPr="00AA5444">
        <w:rPr>
          <w:rFonts w:ascii="Lato" w:hAnsi="Lato"/>
        </w:rPr>
        <w:t xml:space="preserve"> </w:t>
      </w:r>
      <w:r>
        <w:rPr>
          <w:rFonts w:ascii="Lato" w:hAnsi="Lato"/>
        </w:rPr>
        <w:t>documento</w:t>
      </w:r>
      <w:r w:rsidRPr="00AA5444">
        <w:rPr>
          <w:rFonts w:ascii="Lato" w:hAnsi="Lato"/>
        </w:rPr>
        <w:t xml:space="preserve"> </w:t>
      </w:r>
      <w:r>
        <w:rPr>
          <w:rFonts w:ascii="Lato" w:hAnsi="Lato"/>
        </w:rPr>
        <w:t xml:space="preserve">que contiene </w:t>
      </w:r>
      <w:r w:rsidRPr="00AA5444">
        <w:rPr>
          <w:rFonts w:ascii="Lato" w:hAnsi="Lato"/>
        </w:rPr>
        <w:t>infor</w:t>
      </w:r>
      <w:r>
        <w:rPr>
          <w:rFonts w:ascii="Lato" w:hAnsi="Lato"/>
        </w:rPr>
        <w:t xml:space="preserve">mación acerca de cómo recaudará </w:t>
      </w:r>
      <w:r w:rsidRPr="00AA5444">
        <w:rPr>
          <w:rFonts w:ascii="Lato" w:hAnsi="Lato"/>
        </w:rPr>
        <w:t>recursos</w:t>
      </w:r>
      <w:r>
        <w:rPr>
          <w:rFonts w:ascii="Lato" w:hAnsi="Lato"/>
        </w:rPr>
        <w:t xml:space="preserve"> el estado y cómo los invertirá </w:t>
      </w:r>
      <w:r w:rsidRPr="00AA5444">
        <w:rPr>
          <w:rFonts w:ascii="Lato" w:hAnsi="Lato"/>
        </w:rPr>
        <w:t>durante el siguiente ejercicio fiscal.</w:t>
      </w:r>
      <w:r w:rsidR="00E64ED2">
        <w:rPr>
          <w:rFonts w:ascii="Lato" w:hAnsi="Lato"/>
        </w:rPr>
        <w:t xml:space="preserve"> </w:t>
      </w:r>
      <w:r w:rsidRPr="00AA5444">
        <w:rPr>
          <w:rFonts w:ascii="Lato" w:hAnsi="Lato"/>
        </w:rPr>
        <w:t xml:space="preserve">El </w:t>
      </w:r>
      <w:r>
        <w:rPr>
          <w:rFonts w:ascii="Lato" w:hAnsi="Lato"/>
        </w:rPr>
        <w:t xml:space="preserve">Poder Ejecutivo lo elabora y lo </w:t>
      </w:r>
      <w:r w:rsidRPr="00AA5444">
        <w:rPr>
          <w:rFonts w:ascii="Lato" w:hAnsi="Lato"/>
        </w:rPr>
        <w:t>en</w:t>
      </w:r>
      <w:r>
        <w:rPr>
          <w:rFonts w:ascii="Lato" w:hAnsi="Lato"/>
        </w:rPr>
        <w:t xml:space="preserve">vía al Congreso del Estado para </w:t>
      </w:r>
      <w:r w:rsidRPr="00AA5444">
        <w:rPr>
          <w:rFonts w:ascii="Lato" w:hAnsi="Lato"/>
        </w:rPr>
        <w:t>revisión, discusión y aprobación.</w:t>
      </w:r>
      <w:r>
        <w:rPr>
          <w:rFonts w:ascii="Lato" w:hAnsi="Lato"/>
        </w:rPr>
        <w:t xml:space="preserve"> Contiene:</w:t>
      </w:r>
    </w:p>
    <w:p w14:paraId="6F81ACF6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</w:p>
    <w:p w14:paraId="073A8977" w14:textId="4CDD7DF3" w:rsidR="00AA5444" w:rsidRPr="00AA5444" w:rsidRDefault="00AA5444" w:rsidP="00AA5444">
      <w:pPr>
        <w:pStyle w:val="Prrafodelista"/>
        <w:numPr>
          <w:ilvl w:val="0"/>
          <w:numId w:val="9"/>
        </w:numPr>
        <w:spacing w:after="0"/>
        <w:jc w:val="both"/>
        <w:rPr>
          <w:rFonts w:ascii="Lato" w:hAnsi="Lato"/>
        </w:rPr>
      </w:pPr>
      <w:r>
        <w:rPr>
          <w:rFonts w:ascii="Lato" w:hAnsi="Lato"/>
        </w:rPr>
        <w:t>Criterios Generales de Política Económica</w:t>
      </w:r>
    </w:p>
    <w:p w14:paraId="0058821A" w14:textId="77777777" w:rsidR="00AA5444" w:rsidRPr="00AA5444" w:rsidRDefault="00AA5444" w:rsidP="00AA5444">
      <w:pPr>
        <w:pStyle w:val="Prrafodelista"/>
        <w:spacing w:after="0"/>
        <w:jc w:val="both"/>
        <w:rPr>
          <w:rFonts w:ascii="Lato" w:hAnsi="Lato"/>
        </w:rPr>
      </w:pPr>
    </w:p>
    <w:p w14:paraId="5E83BD91" w14:textId="0186E05B" w:rsidR="00AA5444" w:rsidRPr="00AA5444" w:rsidRDefault="00AA5444" w:rsidP="00AA5444">
      <w:pPr>
        <w:pStyle w:val="Prrafodelista"/>
        <w:numPr>
          <w:ilvl w:val="0"/>
          <w:numId w:val="9"/>
        </w:numPr>
        <w:spacing w:after="0"/>
        <w:jc w:val="both"/>
        <w:rPr>
          <w:rFonts w:ascii="Lato" w:hAnsi="Lato"/>
        </w:rPr>
      </w:pPr>
      <w:r>
        <w:rPr>
          <w:rFonts w:ascii="Lato" w:hAnsi="Lato"/>
        </w:rPr>
        <w:t>Iniciativa de Ley de Ingresos</w:t>
      </w:r>
    </w:p>
    <w:p w14:paraId="7F0C3E43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</w:p>
    <w:p w14:paraId="1BBDFFC1" w14:textId="59CC2BB0" w:rsidR="00AA5444" w:rsidRPr="00AA5444" w:rsidRDefault="00AA5444" w:rsidP="00AA5444">
      <w:pPr>
        <w:pStyle w:val="Prrafodelista"/>
        <w:numPr>
          <w:ilvl w:val="0"/>
          <w:numId w:val="9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</w:rPr>
        <w:t>P</w:t>
      </w:r>
      <w:r>
        <w:rPr>
          <w:rFonts w:ascii="Lato" w:hAnsi="Lato"/>
        </w:rPr>
        <w:t>royecto de Presupuesto de Egresos</w:t>
      </w:r>
    </w:p>
    <w:p w14:paraId="6A3F5797" w14:textId="0E422CD1" w:rsidR="00AA5444" w:rsidRPr="00AA5444" w:rsidRDefault="00AA5444" w:rsidP="00AA5444">
      <w:pPr>
        <w:pStyle w:val="Prrafodelista"/>
        <w:spacing w:after="0"/>
        <w:jc w:val="both"/>
        <w:rPr>
          <w:rFonts w:ascii="Lato" w:hAnsi="Lato"/>
          <w:color w:val="auto"/>
          <w:szCs w:val="22"/>
        </w:rPr>
      </w:pPr>
    </w:p>
    <w:p w14:paraId="1B101C37" w14:textId="77777777" w:rsidR="00AA5444" w:rsidRPr="00AA5444" w:rsidRDefault="00AA5444" w:rsidP="00AA5444">
      <w:p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 xml:space="preserve">El Presupuesto de Egresos es importante porque contiene información valiosa para la ciudadanía, ya que se puede consultar cuánto, quién, en qué y para qué se aplicará el dinero aprobado por el Congreso del Estado. </w:t>
      </w:r>
    </w:p>
    <w:p w14:paraId="4715F9B8" w14:textId="69C554D6" w:rsidR="00AA5444" w:rsidRPr="00AA5444" w:rsidRDefault="00AA5444" w:rsidP="00AA5444">
      <w:pPr>
        <w:spacing w:after="0"/>
        <w:jc w:val="both"/>
        <w:rPr>
          <w:rFonts w:ascii="Lato" w:hAnsi="Lato"/>
          <w:color w:val="auto"/>
          <w:szCs w:val="22"/>
        </w:rPr>
      </w:pPr>
    </w:p>
    <w:p w14:paraId="3119D41F" w14:textId="77777777" w:rsidR="00AA5444" w:rsidRPr="00AA5444" w:rsidRDefault="00AA5444" w:rsidP="00AA5444">
      <w:pPr>
        <w:spacing w:after="0"/>
        <w:rPr>
          <w:rFonts w:ascii="Lato" w:hAnsi="Lato"/>
          <w:color w:val="auto"/>
          <w:szCs w:val="22"/>
          <w:u w:val="single"/>
        </w:rPr>
      </w:pPr>
      <w:r w:rsidRPr="00AA5444">
        <w:rPr>
          <w:rFonts w:ascii="Lato" w:hAnsi="Lato"/>
          <w:color w:val="auto"/>
          <w:szCs w:val="22"/>
          <w:u w:val="single"/>
        </w:rPr>
        <w:t xml:space="preserve">¿Cómo se elabora el presupuesto de egresos? </w:t>
      </w:r>
    </w:p>
    <w:p w14:paraId="46EB7FA7" w14:textId="77777777" w:rsidR="00AA5444" w:rsidRPr="00AA5444" w:rsidRDefault="00AA5444" w:rsidP="00AA5444">
      <w:pPr>
        <w:spacing w:after="0"/>
        <w:rPr>
          <w:rFonts w:ascii="Lato" w:hAnsi="Lato"/>
          <w:color w:val="auto"/>
          <w:szCs w:val="22"/>
          <w:u w:val="single"/>
        </w:rPr>
      </w:pPr>
    </w:p>
    <w:p w14:paraId="538D1411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  <w:r w:rsidRPr="00AA5444">
        <w:rPr>
          <w:rFonts w:ascii="Lato" w:hAnsi="Lato"/>
        </w:rPr>
        <w:t xml:space="preserve">El Gobierno del Estado en el transcurso de un año, debe seguir un calendario de actividades denominadas ciclo presupuestario. El ciclo presupuestario se conforma de 7 etapas: </w:t>
      </w:r>
    </w:p>
    <w:p w14:paraId="6647A751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</w:p>
    <w:p w14:paraId="65EAB1C7" w14:textId="63915F01" w:rsidR="00AA5444" w:rsidRPr="00AA5444" w:rsidRDefault="00AA5444" w:rsidP="00AA5444">
      <w:pPr>
        <w:pStyle w:val="Prrafodelista"/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  <w:b/>
        </w:rPr>
        <w:t>Planeación.</w:t>
      </w:r>
      <w:r w:rsidRPr="00AA5444">
        <w:rPr>
          <w:rFonts w:ascii="Lato" w:hAnsi="Lato"/>
        </w:rPr>
        <w:t xml:space="preserve"> Se definen grandes proyectos p</w:t>
      </w:r>
      <w:r w:rsidR="000360EF">
        <w:rPr>
          <w:rFonts w:ascii="Lato" w:hAnsi="Lato"/>
        </w:rPr>
        <w:t>ara lograr las metas Estatales.</w:t>
      </w:r>
    </w:p>
    <w:p w14:paraId="77B319F3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</w:p>
    <w:p w14:paraId="2CF76661" w14:textId="77777777" w:rsidR="00AA5444" w:rsidRPr="00AA5444" w:rsidRDefault="00AA5444" w:rsidP="00AA5444">
      <w:pPr>
        <w:pStyle w:val="Prrafodelista"/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  <w:b/>
        </w:rPr>
        <w:t>Programación.</w:t>
      </w:r>
      <w:r w:rsidRPr="00AA5444">
        <w:rPr>
          <w:rFonts w:ascii="Lato" w:hAnsi="Lato"/>
        </w:rPr>
        <w:t xml:space="preserve"> Se definen los programas presupuestarios y los recursos necesarios para cumplir los objetivos.</w:t>
      </w:r>
    </w:p>
    <w:p w14:paraId="2A1F6EAE" w14:textId="77777777" w:rsidR="00AA5444" w:rsidRPr="00AA5444" w:rsidRDefault="00AA5444" w:rsidP="00AA5444">
      <w:pPr>
        <w:spacing w:after="0"/>
        <w:jc w:val="both"/>
        <w:rPr>
          <w:rFonts w:ascii="Lato" w:hAnsi="Lato"/>
          <w:b/>
        </w:rPr>
      </w:pPr>
    </w:p>
    <w:p w14:paraId="12E5E214" w14:textId="77777777" w:rsidR="00AA5444" w:rsidRPr="00AA5444" w:rsidRDefault="00AA5444" w:rsidP="00AA5444">
      <w:pPr>
        <w:pStyle w:val="Prrafodelista"/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  <w:b/>
        </w:rPr>
        <w:t>Presupuestación.</w:t>
      </w:r>
      <w:r w:rsidRPr="00AA5444">
        <w:rPr>
          <w:rFonts w:ascii="Lato" w:hAnsi="Lato"/>
        </w:rPr>
        <w:t xml:space="preserve">  Se describen la cantidad, la forma de distribución y el destino de los recursos públicos.</w:t>
      </w:r>
    </w:p>
    <w:p w14:paraId="181EDD14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</w:p>
    <w:p w14:paraId="73140A80" w14:textId="77777777" w:rsidR="00AA5444" w:rsidRPr="00AA5444" w:rsidRDefault="00AA5444" w:rsidP="00AA5444">
      <w:pPr>
        <w:pStyle w:val="Prrafodelista"/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  <w:b/>
        </w:rPr>
        <w:t>Ejercicio y control.</w:t>
      </w:r>
      <w:r w:rsidRPr="00AA5444">
        <w:rPr>
          <w:rFonts w:ascii="Lato" w:hAnsi="Lato"/>
        </w:rPr>
        <w:t xml:space="preserve"> Se ejercen los recursos asignados conforme al calendario.</w:t>
      </w:r>
    </w:p>
    <w:p w14:paraId="62E3C037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</w:p>
    <w:p w14:paraId="5651F797" w14:textId="77777777" w:rsidR="00AA5444" w:rsidRPr="00AA5444" w:rsidRDefault="00AA5444" w:rsidP="00AA5444">
      <w:pPr>
        <w:pStyle w:val="Prrafodelista"/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  <w:b/>
        </w:rPr>
        <w:t>Seguimiento.</w:t>
      </w:r>
      <w:r w:rsidRPr="00AA5444">
        <w:rPr>
          <w:rFonts w:ascii="Lato" w:hAnsi="Lato"/>
        </w:rPr>
        <w:t xml:space="preserve"> Se analiza el grado del cumplimiento de las metas establecidas al inicio de año.</w:t>
      </w:r>
    </w:p>
    <w:p w14:paraId="21942E21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</w:p>
    <w:p w14:paraId="26DD58AD" w14:textId="786DC320" w:rsidR="00AA5444" w:rsidRPr="000360EF" w:rsidRDefault="00AA5444" w:rsidP="000360EF">
      <w:pPr>
        <w:pStyle w:val="Prrafodelista"/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  <w:b/>
        </w:rPr>
        <w:t>Evaluación.</w:t>
      </w:r>
      <w:r w:rsidRPr="00AA5444">
        <w:rPr>
          <w:rFonts w:ascii="Lato" w:hAnsi="Lato"/>
        </w:rPr>
        <w:t xml:space="preserve"> Se realiza un análisis de los programas presupuestarios para determinar el</w:t>
      </w:r>
      <w:r w:rsidR="000360EF">
        <w:rPr>
          <w:rFonts w:ascii="Lato" w:hAnsi="Lato"/>
        </w:rPr>
        <w:t xml:space="preserve"> </w:t>
      </w:r>
      <w:r w:rsidRPr="000360EF">
        <w:rPr>
          <w:rFonts w:ascii="Lato" w:hAnsi="Lato"/>
        </w:rPr>
        <w:t>beneficio que han tenido en la población.</w:t>
      </w:r>
    </w:p>
    <w:p w14:paraId="149FB39A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</w:p>
    <w:p w14:paraId="4DB9CAC0" w14:textId="77777777" w:rsidR="00AA5444" w:rsidRPr="00AA5444" w:rsidRDefault="00AA5444" w:rsidP="00AA5444">
      <w:pPr>
        <w:pStyle w:val="Prrafodelista"/>
        <w:numPr>
          <w:ilvl w:val="0"/>
          <w:numId w:val="7"/>
        </w:numPr>
        <w:spacing w:after="0"/>
        <w:jc w:val="both"/>
        <w:rPr>
          <w:rFonts w:ascii="Lato" w:hAnsi="Lato"/>
        </w:rPr>
      </w:pPr>
      <w:r w:rsidRPr="00AA5444">
        <w:rPr>
          <w:rFonts w:ascii="Lato" w:hAnsi="Lato"/>
          <w:b/>
        </w:rPr>
        <w:t>Rendición de cuentas.</w:t>
      </w:r>
      <w:r w:rsidRPr="00AA5444">
        <w:rPr>
          <w:rFonts w:ascii="Lato" w:hAnsi="Lato"/>
        </w:rPr>
        <w:t xml:space="preserve"> Se da cuenta de los resultados del ejercicio de los recursos a las instancias gubernamentales y a la ciudadanía.</w:t>
      </w:r>
    </w:p>
    <w:p w14:paraId="6BA3FD3E" w14:textId="77777777" w:rsidR="00AA5444" w:rsidRPr="00AA5444" w:rsidRDefault="00AA5444" w:rsidP="00AA5444">
      <w:pPr>
        <w:spacing w:after="0"/>
        <w:jc w:val="both"/>
        <w:rPr>
          <w:rFonts w:ascii="Lato" w:hAnsi="Lato"/>
        </w:rPr>
      </w:pPr>
    </w:p>
    <w:p w14:paraId="0895495C" w14:textId="5D7C7D29" w:rsidR="00EC0567" w:rsidRPr="0023238D" w:rsidRDefault="00AA5444" w:rsidP="0023238D">
      <w:pPr>
        <w:spacing w:after="0"/>
        <w:jc w:val="both"/>
        <w:rPr>
          <w:rFonts w:ascii="Lato" w:hAnsi="Lato"/>
        </w:rPr>
      </w:pPr>
      <w:r w:rsidRPr="00AA5444">
        <w:rPr>
          <w:rFonts w:ascii="Lato" w:hAnsi="Lato"/>
        </w:rPr>
        <w:t>Esto permite programar el gasto con eficiencia, eficacia, economía, transparencia y honradez.</w:t>
      </w:r>
      <w:r w:rsidR="00EC0567">
        <w:rPr>
          <w:rFonts w:ascii="Lato" w:hAnsi="Lato"/>
          <w:color w:val="auto"/>
          <w:szCs w:val="22"/>
        </w:rPr>
        <w:br w:type="page"/>
      </w:r>
    </w:p>
    <w:p w14:paraId="3FE48A1B" w14:textId="33FBC488" w:rsidR="00EC0567" w:rsidRDefault="00EC0567" w:rsidP="00EC0567">
      <w:pPr>
        <w:spacing w:after="0"/>
        <w:jc w:val="both"/>
        <w:rPr>
          <w:rFonts w:ascii="Lato" w:hAnsi="Lato"/>
          <w:szCs w:val="22"/>
          <w:u w:val="single"/>
        </w:rPr>
      </w:pPr>
      <w:r>
        <w:rPr>
          <w:rFonts w:ascii="Lato" w:hAnsi="Lato"/>
          <w:szCs w:val="22"/>
          <w:u w:val="single"/>
        </w:rPr>
        <w:lastRenderedPageBreak/>
        <w:t>Clasificación del gasto</w:t>
      </w:r>
    </w:p>
    <w:p w14:paraId="5CAF6D12" w14:textId="5CB97E35" w:rsidR="00EC0567" w:rsidRDefault="00EC0567" w:rsidP="00EC0567">
      <w:pPr>
        <w:spacing w:after="0"/>
        <w:jc w:val="both"/>
        <w:rPr>
          <w:rFonts w:ascii="Lato" w:hAnsi="Lato"/>
          <w:szCs w:val="22"/>
        </w:rPr>
      </w:pPr>
      <w:r w:rsidRPr="00EC0567">
        <w:rPr>
          <w:rFonts w:ascii="Lato" w:hAnsi="Lato"/>
          <w:szCs w:val="22"/>
        </w:rPr>
        <w:t>Con el fin de dar seguim</w:t>
      </w:r>
      <w:r>
        <w:rPr>
          <w:rFonts w:ascii="Lato" w:hAnsi="Lato"/>
          <w:szCs w:val="22"/>
        </w:rPr>
        <w:t xml:space="preserve">iento puntual de los recursos y </w:t>
      </w:r>
      <w:r w:rsidRPr="00EC0567">
        <w:rPr>
          <w:rFonts w:ascii="Lato" w:hAnsi="Lato"/>
          <w:szCs w:val="22"/>
        </w:rPr>
        <w:t>asignaciones presupuestaria</w:t>
      </w:r>
      <w:r>
        <w:rPr>
          <w:rFonts w:ascii="Lato" w:hAnsi="Lato"/>
          <w:szCs w:val="22"/>
        </w:rPr>
        <w:t xml:space="preserve">s, el gasto público se organiza </w:t>
      </w:r>
      <w:r w:rsidRPr="00EC0567">
        <w:rPr>
          <w:rFonts w:ascii="Lato" w:hAnsi="Lato"/>
          <w:szCs w:val="22"/>
        </w:rPr>
        <w:t>en cuatro clasificaciones para conocer su destino:</w:t>
      </w:r>
    </w:p>
    <w:p w14:paraId="532B8F98" w14:textId="77777777" w:rsidR="00DC3210" w:rsidRDefault="00DC3210" w:rsidP="00EC0567">
      <w:pPr>
        <w:spacing w:after="0"/>
        <w:jc w:val="both"/>
        <w:rPr>
          <w:rFonts w:ascii="Lato" w:hAnsi="Lato"/>
          <w:szCs w:val="22"/>
        </w:rPr>
      </w:pPr>
    </w:p>
    <w:p w14:paraId="7A7AC570" w14:textId="5A690BC8" w:rsidR="00EC0567" w:rsidRPr="00EC0567" w:rsidRDefault="00EC0567" w:rsidP="00EC0567">
      <w:pPr>
        <w:spacing w:after="0"/>
        <w:jc w:val="both"/>
        <w:rPr>
          <w:rFonts w:ascii="Lato" w:hAnsi="Lato"/>
          <w:b/>
          <w:szCs w:val="22"/>
        </w:rPr>
      </w:pPr>
      <w:r w:rsidRPr="00EC0567">
        <w:rPr>
          <w:rFonts w:ascii="Lato" w:hAnsi="Lato"/>
          <w:b/>
          <w:szCs w:val="22"/>
        </w:rPr>
        <w:t>¿Quién gasta?</w:t>
      </w:r>
    </w:p>
    <w:p w14:paraId="0AF5F098" w14:textId="30566592" w:rsidR="00EC0567" w:rsidRDefault="00EC0567" w:rsidP="00EC0567">
      <w:pPr>
        <w:spacing w:after="0"/>
        <w:jc w:val="both"/>
        <w:rPr>
          <w:rFonts w:ascii="Lato" w:hAnsi="Lato"/>
          <w:szCs w:val="22"/>
        </w:rPr>
      </w:pPr>
      <w:r w:rsidRPr="0023238D">
        <w:rPr>
          <w:rFonts w:ascii="Lato" w:hAnsi="Lato"/>
          <w:b/>
          <w:i/>
          <w:szCs w:val="22"/>
        </w:rPr>
        <w:t>Clasificación administrativa</w:t>
      </w:r>
      <w:r>
        <w:rPr>
          <w:rFonts w:ascii="Lato" w:hAnsi="Lato"/>
          <w:szCs w:val="22"/>
        </w:rPr>
        <w:t xml:space="preserve">: Reconoce </w:t>
      </w:r>
      <w:r w:rsidRPr="00EC0567">
        <w:rPr>
          <w:rFonts w:ascii="Lato" w:hAnsi="Lato"/>
          <w:szCs w:val="22"/>
        </w:rPr>
        <w:t>a los r</w:t>
      </w:r>
      <w:r>
        <w:rPr>
          <w:rFonts w:ascii="Lato" w:hAnsi="Lato"/>
          <w:szCs w:val="22"/>
        </w:rPr>
        <w:t xml:space="preserve">esponsables directos de ejercer </w:t>
      </w:r>
      <w:r w:rsidRPr="00EC0567">
        <w:rPr>
          <w:rFonts w:ascii="Lato" w:hAnsi="Lato"/>
          <w:szCs w:val="22"/>
        </w:rPr>
        <w:t>el gas</w:t>
      </w:r>
      <w:r>
        <w:rPr>
          <w:rFonts w:ascii="Lato" w:hAnsi="Lato"/>
          <w:szCs w:val="22"/>
        </w:rPr>
        <w:t xml:space="preserve">to como son el Poder Ejecutivo, </w:t>
      </w:r>
      <w:r w:rsidRPr="00EC0567">
        <w:rPr>
          <w:rFonts w:ascii="Lato" w:hAnsi="Lato"/>
          <w:szCs w:val="22"/>
        </w:rPr>
        <w:t>Legislativo, Judicial y Autónomos.</w:t>
      </w:r>
    </w:p>
    <w:p w14:paraId="7D836A87" w14:textId="77777777" w:rsidR="000574D2" w:rsidRDefault="000574D2" w:rsidP="00EC0567">
      <w:pPr>
        <w:spacing w:after="0"/>
        <w:jc w:val="both"/>
        <w:rPr>
          <w:rFonts w:ascii="Lato" w:hAnsi="Lato"/>
          <w:szCs w:val="22"/>
        </w:rPr>
      </w:pPr>
    </w:p>
    <w:p w14:paraId="3B43171C" w14:textId="77777777" w:rsidR="00EC0567" w:rsidRPr="00AA5444" w:rsidRDefault="00EC0567" w:rsidP="00EC0567">
      <w:pPr>
        <w:spacing w:after="0"/>
        <w:jc w:val="center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>Cuadro 2. Egresos. Clasificación administrativa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777"/>
        <w:gridCol w:w="1200"/>
      </w:tblGrid>
      <w:tr w:rsidR="000574D2" w:rsidRPr="000574D2" w14:paraId="088CCDD7" w14:textId="77777777" w:rsidTr="00254391">
        <w:trPr>
          <w:trHeight w:val="5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43F4F9CD" w14:textId="77777777" w:rsidR="000574D2" w:rsidRPr="000574D2" w:rsidRDefault="000574D2" w:rsidP="000574D2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0574D2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Concepto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282016F9" w14:textId="77777777" w:rsidR="000574D2" w:rsidRPr="000574D2" w:rsidRDefault="000574D2" w:rsidP="000574D2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0574D2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Importe (pesos)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noWrap/>
            <w:vAlign w:val="center"/>
            <w:hideMark/>
          </w:tcPr>
          <w:p w14:paraId="721E1EB4" w14:textId="77777777" w:rsidR="000574D2" w:rsidRPr="000574D2" w:rsidRDefault="000574D2" w:rsidP="000574D2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0574D2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Porcentaje</w:t>
            </w:r>
          </w:p>
        </w:tc>
      </w:tr>
      <w:tr w:rsidR="000574D2" w:rsidRPr="000574D2" w14:paraId="2BFE3FBF" w14:textId="77777777" w:rsidTr="00254391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15AB1" w14:textId="2A7A3D65" w:rsidR="000574D2" w:rsidRPr="000574D2" w:rsidRDefault="00254391" w:rsidP="000574D2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Poder L</w:t>
            </w:r>
            <w:r w:rsidR="000574D2" w:rsidRPr="000574D2">
              <w:rPr>
                <w:rFonts w:ascii="Lato" w:eastAsia="Times New Roman" w:hAnsi="Lato"/>
                <w:szCs w:val="22"/>
              </w:rPr>
              <w:t>egislativo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0ADF" w14:textId="41E1F604" w:rsidR="000574D2" w:rsidRPr="000574D2" w:rsidRDefault="00C6723E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338,815,716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ED4B" w14:textId="7E7BE887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0.51</w:t>
            </w:r>
            <w:r w:rsidR="000574D2" w:rsidRPr="000574D2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0574D2" w:rsidRPr="000574D2" w14:paraId="57423EC7" w14:textId="77777777" w:rsidTr="00254391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52A2" w14:textId="7AF28D45" w:rsidR="000574D2" w:rsidRPr="000574D2" w:rsidRDefault="00254391" w:rsidP="000574D2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Poder J</w:t>
            </w:r>
            <w:r w:rsidR="000574D2" w:rsidRPr="000574D2">
              <w:rPr>
                <w:rFonts w:ascii="Lato" w:eastAsia="Times New Roman" w:hAnsi="Lato"/>
                <w:szCs w:val="22"/>
              </w:rPr>
              <w:t>udicial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EFF4B" w14:textId="5E469B3D" w:rsidR="000574D2" w:rsidRPr="000574D2" w:rsidRDefault="00C6723E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1,102,580,883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D669" w14:textId="7D1A11FB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1.6</w:t>
            </w:r>
            <w:r w:rsidR="000574D2" w:rsidRPr="000574D2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0574D2" w:rsidRPr="000574D2" w14:paraId="56F72E15" w14:textId="77777777" w:rsidTr="00254391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40D2" w14:textId="5BF0DA21" w:rsidR="000574D2" w:rsidRPr="000574D2" w:rsidRDefault="00254391" w:rsidP="000574D2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Organismos  A</w:t>
            </w:r>
            <w:r w:rsidR="000574D2" w:rsidRPr="000574D2">
              <w:rPr>
                <w:rFonts w:ascii="Lato" w:eastAsia="Times New Roman" w:hAnsi="Lato"/>
                <w:szCs w:val="22"/>
              </w:rPr>
              <w:t>utónomos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67AAC" w14:textId="429D5079" w:rsidR="000574D2" w:rsidRPr="000574D2" w:rsidRDefault="00C6723E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6,889,994,112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1624" w14:textId="3E6038C6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10.3</w:t>
            </w:r>
            <w:r w:rsidR="000574D2" w:rsidRPr="000574D2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0574D2" w:rsidRPr="000574D2" w14:paraId="1429047F" w14:textId="77777777" w:rsidTr="00254391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AEA6" w14:textId="77777777" w:rsidR="000574D2" w:rsidRPr="000574D2" w:rsidRDefault="000574D2" w:rsidP="000574D2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0574D2">
              <w:rPr>
                <w:rFonts w:ascii="Lato" w:eastAsia="Times New Roman" w:hAnsi="Lato"/>
                <w:szCs w:val="22"/>
              </w:rPr>
              <w:t>Poder Ejecutivo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BFA08" w14:textId="0B51DE17" w:rsidR="000574D2" w:rsidRPr="000574D2" w:rsidRDefault="00C6723E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40,226,</w:t>
            </w:r>
            <w:r w:rsidR="0073236F">
              <w:rPr>
                <w:rFonts w:ascii="Lato" w:eastAsia="Times New Roman" w:hAnsi="Lato"/>
                <w:szCs w:val="22"/>
              </w:rPr>
              <w:t>401,583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FC0A" w14:textId="1F0F109B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60.6</w:t>
            </w:r>
            <w:r w:rsidR="000574D2" w:rsidRPr="000574D2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0574D2" w:rsidRPr="000574D2" w14:paraId="05C7A040" w14:textId="77777777" w:rsidTr="00254391">
        <w:trPr>
          <w:trHeight w:val="5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2F18" w14:textId="3B097115" w:rsidR="000574D2" w:rsidRPr="000574D2" w:rsidRDefault="000574D2" w:rsidP="000574D2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0574D2">
              <w:rPr>
                <w:rFonts w:ascii="Lato" w:eastAsia="Times New Roman" w:hAnsi="Lato"/>
                <w:szCs w:val="22"/>
              </w:rPr>
              <w:t>Entidades</w:t>
            </w:r>
            <w:r w:rsidR="00254391">
              <w:rPr>
                <w:rFonts w:ascii="Lato" w:eastAsia="Times New Roman" w:hAnsi="Lato"/>
                <w:szCs w:val="22"/>
              </w:rPr>
              <w:t xml:space="preserve"> Paraestatales Empresariales no Financieras con Participación Estatal M</w:t>
            </w:r>
            <w:r w:rsidRPr="000574D2">
              <w:rPr>
                <w:rFonts w:ascii="Lato" w:eastAsia="Times New Roman" w:hAnsi="Lato"/>
                <w:szCs w:val="22"/>
              </w:rPr>
              <w:t>ayoritaria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4C9D" w14:textId="441B7284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72,397,134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F2E8" w14:textId="5FFAFA7D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0.1</w:t>
            </w:r>
            <w:r w:rsidR="000574D2" w:rsidRPr="000574D2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0574D2" w:rsidRPr="000574D2" w14:paraId="71ADCDD2" w14:textId="77777777" w:rsidTr="00254391">
        <w:trPr>
          <w:trHeight w:val="5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B754A" w14:textId="4297C923" w:rsidR="000574D2" w:rsidRPr="000574D2" w:rsidRDefault="00254391" w:rsidP="000574D2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Entidades Paraestatales y Fideicomisos no Empresariales y No F</w:t>
            </w:r>
            <w:r w:rsidR="000574D2" w:rsidRPr="000574D2">
              <w:rPr>
                <w:rFonts w:ascii="Lato" w:eastAsia="Times New Roman" w:hAnsi="Lato"/>
                <w:szCs w:val="22"/>
              </w:rPr>
              <w:t>inancieros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F8103" w14:textId="4AE7C533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14,367,148,704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FD80" w14:textId="7A362C75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21.6</w:t>
            </w:r>
            <w:r w:rsidR="000574D2" w:rsidRPr="000574D2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0574D2" w:rsidRPr="000574D2" w14:paraId="240192D3" w14:textId="77777777" w:rsidTr="00254391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DE594" w14:textId="65C7AC2E" w:rsidR="000574D2" w:rsidRPr="000574D2" w:rsidRDefault="00254391" w:rsidP="000574D2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Instituciones Públicas de Seguridad S</w:t>
            </w:r>
            <w:r w:rsidR="000574D2" w:rsidRPr="000574D2">
              <w:rPr>
                <w:rFonts w:ascii="Lato" w:eastAsia="Times New Roman" w:hAnsi="Lato"/>
                <w:szCs w:val="22"/>
              </w:rPr>
              <w:t>ocial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D3503" w14:textId="1AF5C3F2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3,381,972,545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6A30" w14:textId="1E011F59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5.0</w:t>
            </w:r>
            <w:r w:rsidR="000574D2" w:rsidRPr="000574D2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0574D2" w:rsidRPr="000574D2" w14:paraId="045157EB" w14:textId="77777777" w:rsidTr="00254391">
        <w:trPr>
          <w:trHeight w:val="29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6B6A64E4" w14:textId="77777777" w:rsidR="000574D2" w:rsidRPr="000574D2" w:rsidRDefault="000574D2" w:rsidP="000574D2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0574D2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Total General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6BAD8087" w14:textId="746EFEDA" w:rsidR="000574D2" w:rsidRPr="000574D2" w:rsidRDefault="0073236F" w:rsidP="000574D2">
            <w:pPr>
              <w:spacing w:after="0" w:line="240" w:lineRule="auto"/>
              <w:jc w:val="right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66,379,310,677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7A28A510" w14:textId="77777777" w:rsidR="000574D2" w:rsidRPr="000574D2" w:rsidRDefault="000574D2" w:rsidP="000574D2">
            <w:pPr>
              <w:spacing w:after="0" w:line="240" w:lineRule="auto"/>
              <w:jc w:val="right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0574D2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100%</w:t>
            </w:r>
          </w:p>
        </w:tc>
      </w:tr>
    </w:tbl>
    <w:p w14:paraId="78AEFEAD" w14:textId="0A18A612" w:rsidR="00EC0567" w:rsidRDefault="00EC0567" w:rsidP="00EC0567">
      <w:pPr>
        <w:spacing w:after="0"/>
        <w:jc w:val="both"/>
        <w:rPr>
          <w:rFonts w:ascii="Lato" w:hAnsi="Lato"/>
          <w:szCs w:val="22"/>
        </w:rPr>
      </w:pPr>
    </w:p>
    <w:p w14:paraId="13146615" w14:textId="103CC2D6" w:rsidR="00EC0567" w:rsidRPr="00EC0567" w:rsidRDefault="00EC0567" w:rsidP="00EC0567">
      <w:pPr>
        <w:spacing w:after="0"/>
        <w:jc w:val="both"/>
        <w:rPr>
          <w:rFonts w:ascii="Lato" w:hAnsi="Lato"/>
          <w:b/>
          <w:szCs w:val="22"/>
        </w:rPr>
      </w:pPr>
      <w:r w:rsidRPr="00EC0567">
        <w:rPr>
          <w:rFonts w:ascii="Lato" w:hAnsi="Lato"/>
          <w:b/>
          <w:szCs w:val="22"/>
        </w:rPr>
        <w:t>¿En qué se gasta?</w:t>
      </w:r>
    </w:p>
    <w:p w14:paraId="060B4032" w14:textId="6343FDB6" w:rsidR="00EC0567" w:rsidRDefault="00EC0567" w:rsidP="00EC0567">
      <w:pPr>
        <w:spacing w:after="0"/>
        <w:jc w:val="both"/>
        <w:rPr>
          <w:rFonts w:ascii="Lato" w:hAnsi="Lato"/>
          <w:szCs w:val="22"/>
        </w:rPr>
      </w:pPr>
      <w:r w:rsidRPr="0023238D">
        <w:rPr>
          <w:rFonts w:ascii="Lato" w:hAnsi="Lato"/>
          <w:b/>
          <w:i/>
          <w:szCs w:val="22"/>
        </w:rPr>
        <w:t>Clasificación por objeto del gasto</w:t>
      </w:r>
      <w:r>
        <w:rPr>
          <w:rFonts w:ascii="Lato" w:hAnsi="Lato"/>
          <w:szCs w:val="22"/>
        </w:rPr>
        <w:t xml:space="preserve">: </w:t>
      </w:r>
      <w:r w:rsidRPr="00EC0567">
        <w:rPr>
          <w:rFonts w:ascii="Lato" w:hAnsi="Lato"/>
          <w:szCs w:val="22"/>
        </w:rPr>
        <w:t xml:space="preserve">Agrupa y </w:t>
      </w:r>
      <w:r>
        <w:rPr>
          <w:rFonts w:ascii="Lato" w:hAnsi="Lato"/>
          <w:szCs w:val="22"/>
        </w:rPr>
        <w:t xml:space="preserve">ordena los gastos según el tipo </w:t>
      </w:r>
      <w:r w:rsidRPr="00EC0567">
        <w:rPr>
          <w:rFonts w:ascii="Lato" w:hAnsi="Lato"/>
          <w:szCs w:val="22"/>
        </w:rPr>
        <w:t>de recurso que se compra o se paga.</w:t>
      </w:r>
    </w:p>
    <w:p w14:paraId="42691432" w14:textId="77777777" w:rsidR="00254391" w:rsidRDefault="00254391" w:rsidP="00EC0567">
      <w:pPr>
        <w:spacing w:after="0"/>
        <w:jc w:val="both"/>
        <w:rPr>
          <w:rFonts w:ascii="Lato" w:hAnsi="Lato"/>
          <w:szCs w:val="22"/>
        </w:rPr>
      </w:pPr>
    </w:p>
    <w:p w14:paraId="59605793" w14:textId="29EED7D5" w:rsidR="00EC0567" w:rsidRDefault="00254391" w:rsidP="00254391">
      <w:pPr>
        <w:spacing w:after="0"/>
        <w:jc w:val="center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>Cuadro 3. Egresos. Clasificación por objeto del gasto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6459"/>
        <w:gridCol w:w="2127"/>
      </w:tblGrid>
      <w:tr w:rsidR="00254391" w:rsidRPr="00254391" w14:paraId="5D12064E" w14:textId="77777777" w:rsidTr="00254391">
        <w:trPr>
          <w:trHeight w:val="5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4A0CB99A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254391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Capitulo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65392EB2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254391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Nombre Capitulo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5DC15621" w14:textId="77777777" w:rsidR="00254391" w:rsidRPr="00254391" w:rsidRDefault="00254391" w:rsidP="00254391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254391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Importe (pesos)</w:t>
            </w:r>
          </w:p>
        </w:tc>
      </w:tr>
      <w:tr w:rsidR="00254391" w:rsidRPr="00254391" w14:paraId="2AFB1682" w14:textId="77777777" w:rsidTr="0025439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8C1C5" w14:textId="77777777" w:rsidR="00254391" w:rsidRPr="00254391" w:rsidRDefault="00254391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1000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E5777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Servicios personales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E5336" w14:textId="7D6F2871" w:rsidR="00254391" w:rsidRPr="00254391" w:rsidRDefault="0073236F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18,103,544,609</w:t>
            </w:r>
          </w:p>
        </w:tc>
      </w:tr>
      <w:tr w:rsidR="00254391" w:rsidRPr="00254391" w14:paraId="52F7597E" w14:textId="77777777" w:rsidTr="0025439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B5589" w14:textId="77777777" w:rsidR="00254391" w:rsidRPr="00254391" w:rsidRDefault="00254391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2000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D6094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Materiales y suministros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EF8B1" w14:textId="4B6094F9" w:rsidR="00254391" w:rsidRPr="00254391" w:rsidRDefault="0073236F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1,314,002,080</w:t>
            </w:r>
          </w:p>
        </w:tc>
      </w:tr>
      <w:tr w:rsidR="00254391" w:rsidRPr="00254391" w14:paraId="4D3BCA2B" w14:textId="77777777" w:rsidTr="0025439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123A4" w14:textId="77777777" w:rsidR="00254391" w:rsidRPr="00254391" w:rsidRDefault="00254391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3000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147DB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Servicios generales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915F" w14:textId="3E55A3FB" w:rsidR="00254391" w:rsidRPr="00254391" w:rsidRDefault="0073236F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4,839,580,556</w:t>
            </w:r>
          </w:p>
        </w:tc>
      </w:tr>
      <w:tr w:rsidR="00254391" w:rsidRPr="00254391" w14:paraId="1D248FC1" w14:textId="77777777" w:rsidTr="0025439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B99A" w14:textId="77777777" w:rsidR="00254391" w:rsidRPr="00254391" w:rsidRDefault="00254391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4000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0496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Transferencias, asignaciones, subsidios y otras ayudas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4DECF" w14:textId="7DC8EE7E" w:rsidR="00254391" w:rsidRPr="00254391" w:rsidRDefault="00890088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29,412,379,000</w:t>
            </w:r>
          </w:p>
        </w:tc>
      </w:tr>
      <w:tr w:rsidR="00254391" w:rsidRPr="00254391" w14:paraId="6D5CE008" w14:textId="77777777" w:rsidTr="0025439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BAFF7" w14:textId="77777777" w:rsidR="00254391" w:rsidRPr="00254391" w:rsidRDefault="00254391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5000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49D5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Bienes muebles, inmuebles e intangibles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F4593" w14:textId="72242AB7" w:rsidR="00254391" w:rsidRPr="00254391" w:rsidRDefault="00890088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82,682,865</w:t>
            </w:r>
          </w:p>
        </w:tc>
      </w:tr>
      <w:tr w:rsidR="00254391" w:rsidRPr="00254391" w14:paraId="2907008B" w14:textId="77777777" w:rsidTr="0025439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85A0" w14:textId="77777777" w:rsidR="00254391" w:rsidRPr="00254391" w:rsidRDefault="00254391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6000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20233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Inversión pública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B256A" w14:textId="15A645F9" w:rsidR="00254391" w:rsidRPr="00254391" w:rsidRDefault="00890088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586,757,158</w:t>
            </w:r>
          </w:p>
        </w:tc>
      </w:tr>
      <w:tr w:rsidR="00254391" w:rsidRPr="00254391" w14:paraId="36580CB3" w14:textId="77777777" w:rsidTr="0025439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C8E58" w14:textId="77777777" w:rsidR="00254391" w:rsidRPr="00254391" w:rsidRDefault="00254391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7000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D8223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Inversiones financieras y otras provisiones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64D16" w14:textId="106522AE" w:rsidR="00254391" w:rsidRPr="00254391" w:rsidRDefault="00890088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139,752,931</w:t>
            </w:r>
          </w:p>
        </w:tc>
      </w:tr>
      <w:tr w:rsidR="00254391" w:rsidRPr="00254391" w14:paraId="6BC4763D" w14:textId="77777777" w:rsidTr="0025439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0258" w14:textId="77777777" w:rsidR="00254391" w:rsidRPr="00254391" w:rsidRDefault="00254391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8000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E991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Participaciones y aportaciones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6CC5" w14:textId="7ABBD550" w:rsidR="00254391" w:rsidRPr="00254391" w:rsidRDefault="00890088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10,401,459,100</w:t>
            </w:r>
          </w:p>
        </w:tc>
      </w:tr>
      <w:tr w:rsidR="00254391" w:rsidRPr="00254391" w14:paraId="1C4C7350" w14:textId="77777777" w:rsidTr="00254391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8F699" w14:textId="77777777" w:rsidR="00254391" w:rsidRPr="00254391" w:rsidRDefault="00254391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9000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92FE9" w14:textId="77777777" w:rsidR="00254391" w:rsidRPr="00254391" w:rsidRDefault="00254391" w:rsidP="00254391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254391">
              <w:rPr>
                <w:rFonts w:ascii="Lato" w:eastAsia="Times New Roman" w:hAnsi="Lato"/>
                <w:szCs w:val="22"/>
              </w:rPr>
              <w:t>Deuda pública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FDFE1" w14:textId="54F97FE5" w:rsidR="00254391" w:rsidRPr="00254391" w:rsidRDefault="00890088" w:rsidP="00254391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1,499,152,378</w:t>
            </w:r>
          </w:p>
        </w:tc>
      </w:tr>
      <w:tr w:rsidR="00254391" w:rsidRPr="00254391" w14:paraId="6560A876" w14:textId="77777777" w:rsidTr="00254391">
        <w:trPr>
          <w:trHeight w:val="29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3BF07CDC" w14:textId="77777777" w:rsidR="00254391" w:rsidRPr="00254391" w:rsidRDefault="00254391" w:rsidP="00254391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254391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Total general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13F2D1A0" w14:textId="391FE129" w:rsidR="00254391" w:rsidRPr="00254391" w:rsidRDefault="00890088" w:rsidP="00254391">
            <w:pPr>
              <w:spacing w:after="0" w:line="240" w:lineRule="auto"/>
              <w:jc w:val="right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66,379,310,677</w:t>
            </w:r>
          </w:p>
        </w:tc>
      </w:tr>
    </w:tbl>
    <w:p w14:paraId="4ADAC0BF" w14:textId="77777777" w:rsidR="00254391" w:rsidRPr="00254391" w:rsidRDefault="00254391" w:rsidP="00254391">
      <w:pPr>
        <w:spacing w:after="0"/>
        <w:rPr>
          <w:rFonts w:ascii="Lato" w:hAnsi="Lato"/>
          <w:color w:val="auto"/>
          <w:szCs w:val="22"/>
        </w:rPr>
      </w:pPr>
    </w:p>
    <w:p w14:paraId="5E9BF369" w14:textId="77777777" w:rsidR="00EC0567" w:rsidRPr="0023238D" w:rsidRDefault="00EC0567" w:rsidP="00EC0567">
      <w:pPr>
        <w:spacing w:after="0"/>
        <w:jc w:val="both"/>
        <w:rPr>
          <w:rFonts w:ascii="Lato" w:hAnsi="Lato"/>
          <w:b/>
          <w:i/>
          <w:szCs w:val="22"/>
        </w:rPr>
      </w:pPr>
      <w:r w:rsidRPr="0023238D">
        <w:rPr>
          <w:rFonts w:ascii="Lato" w:hAnsi="Lato"/>
          <w:b/>
          <w:i/>
          <w:szCs w:val="22"/>
        </w:rPr>
        <w:t>Clasificación económica:</w:t>
      </w:r>
    </w:p>
    <w:p w14:paraId="6AF8BC4D" w14:textId="5C3EA3F0" w:rsidR="00EC0567" w:rsidRPr="00EC0567" w:rsidRDefault="00EC0567" w:rsidP="00EC0567">
      <w:pPr>
        <w:pStyle w:val="Prrafodelista"/>
        <w:numPr>
          <w:ilvl w:val="0"/>
          <w:numId w:val="11"/>
        </w:numPr>
        <w:spacing w:after="0"/>
        <w:jc w:val="both"/>
        <w:rPr>
          <w:rFonts w:ascii="Lato" w:hAnsi="Lato"/>
          <w:szCs w:val="22"/>
        </w:rPr>
      </w:pPr>
      <w:r w:rsidRPr="00EC0567">
        <w:rPr>
          <w:rFonts w:ascii="Lato" w:hAnsi="Lato"/>
          <w:szCs w:val="22"/>
        </w:rPr>
        <w:t>Gasto corriente: Costo de mantener</w:t>
      </w:r>
      <w:r>
        <w:rPr>
          <w:rFonts w:ascii="Lato" w:hAnsi="Lato"/>
          <w:szCs w:val="22"/>
        </w:rPr>
        <w:t xml:space="preserve"> </w:t>
      </w:r>
      <w:r w:rsidRPr="00EC0567">
        <w:rPr>
          <w:rFonts w:ascii="Lato" w:hAnsi="Lato"/>
          <w:szCs w:val="22"/>
        </w:rPr>
        <w:t>al gobierno en funcionamiento.</w:t>
      </w:r>
    </w:p>
    <w:p w14:paraId="273CCDF6" w14:textId="52680D2B" w:rsidR="00EC0567" w:rsidRPr="00EC0567" w:rsidRDefault="00EC0567" w:rsidP="00EC0567">
      <w:pPr>
        <w:pStyle w:val="Prrafodelista"/>
        <w:numPr>
          <w:ilvl w:val="0"/>
          <w:numId w:val="11"/>
        </w:numPr>
        <w:spacing w:after="0"/>
        <w:jc w:val="both"/>
        <w:rPr>
          <w:rFonts w:ascii="Lato" w:hAnsi="Lato"/>
          <w:szCs w:val="22"/>
        </w:rPr>
      </w:pPr>
      <w:r w:rsidRPr="00EC0567">
        <w:rPr>
          <w:rFonts w:ascii="Lato" w:hAnsi="Lato"/>
          <w:szCs w:val="22"/>
        </w:rPr>
        <w:t>Gasto de capital: Compra o mejora</w:t>
      </w:r>
      <w:r>
        <w:rPr>
          <w:rFonts w:ascii="Lato" w:hAnsi="Lato"/>
          <w:szCs w:val="22"/>
        </w:rPr>
        <w:t xml:space="preserve"> </w:t>
      </w:r>
      <w:r w:rsidRPr="00EC0567">
        <w:rPr>
          <w:rFonts w:ascii="Lato" w:hAnsi="Lato"/>
          <w:szCs w:val="22"/>
        </w:rPr>
        <w:t>de activos fijos, como edificios, maquinaria o equipos.</w:t>
      </w:r>
    </w:p>
    <w:p w14:paraId="5C086EC0" w14:textId="600C896D" w:rsidR="00857341" w:rsidRPr="00AA5444" w:rsidRDefault="00857341" w:rsidP="00857341">
      <w:pPr>
        <w:spacing w:after="0"/>
        <w:jc w:val="both"/>
        <w:rPr>
          <w:rFonts w:ascii="Lato" w:hAnsi="Lato"/>
          <w:color w:val="FF0000"/>
          <w:szCs w:val="22"/>
        </w:rPr>
      </w:pPr>
    </w:p>
    <w:p w14:paraId="0C488386" w14:textId="170DBD29" w:rsidR="00857341" w:rsidRPr="00AA5444" w:rsidRDefault="00857341" w:rsidP="00857341">
      <w:p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 xml:space="preserve">El gasto público se destina a </w:t>
      </w:r>
      <w:r w:rsidR="00EC0567">
        <w:rPr>
          <w:rFonts w:ascii="Lato" w:hAnsi="Lato"/>
          <w:color w:val="auto"/>
          <w:szCs w:val="22"/>
        </w:rPr>
        <w:t>la inversión en infraestructura, con proyectos como la Ampliación y Modernización del Puerto Altura</w:t>
      </w:r>
      <w:r w:rsidR="000574D2">
        <w:rPr>
          <w:rFonts w:ascii="Lato" w:hAnsi="Lato"/>
          <w:color w:val="auto"/>
          <w:szCs w:val="22"/>
        </w:rPr>
        <w:t>, Centros Renacimiento – KA’SIIJIL, Construcción y reconstrucción de caminos saca</w:t>
      </w:r>
      <w:r w:rsidR="00890088">
        <w:rPr>
          <w:rFonts w:ascii="Lato" w:hAnsi="Lato"/>
          <w:color w:val="auto"/>
          <w:szCs w:val="22"/>
        </w:rPr>
        <w:t xml:space="preserve"> </w:t>
      </w:r>
      <w:r w:rsidR="000574D2">
        <w:rPr>
          <w:rFonts w:ascii="Lato" w:hAnsi="Lato"/>
          <w:color w:val="auto"/>
          <w:szCs w:val="22"/>
        </w:rPr>
        <w:t>cosechas, y</w:t>
      </w:r>
      <w:r w:rsidR="00EC0567">
        <w:rPr>
          <w:rFonts w:ascii="Lato" w:hAnsi="Lato"/>
          <w:color w:val="auto"/>
          <w:szCs w:val="22"/>
        </w:rPr>
        <w:t xml:space="preserve"> en carreteras y calles con proyectos como Infraestructura pa</w:t>
      </w:r>
      <w:r w:rsidR="000574D2">
        <w:rPr>
          <w:rFonts w:ascii="Lato" w:hAnsi="Lato"/>
          <w:color w:val="auto"/>
          <w:szCs w:val="22"/>
        </w:rPr>
        <w:t xml:space="preserve">ra el bienestar en municipios y </w:t>
      </w:r>
      <w:r w:rsidR="00EC0567">
        <w:rPr>
          <w:rFonts w:ascii="Lato" w:hAnsi="Lato"/>
          <w:color w:val="auto"/>
          <w:szCs w:val="22"/>
        </w:rPr>
        <w:t xml:space="preserve">Bienestar para </w:t>
      </w:r>
      <w:r w:rsidR="000574D2">
        <w:rPr>
          <w:rFonts w:ascii="Lato" w:hAnsi="Lato"/>
          <w:color w:val="auto"/>
          <w:szCs w:val="22"/>
        </w:rPr>
        <w:t>Mérida.</w:t>
      </w:r>
      <w:r w:rsidR="00E64ED2">
        <w:rPr>
          <w:rFonts w:ascii="Lato" w:hAnsi="Lato"/>
          <w:color w:val="auto"/>
          <w:szCs w:val="22"/>
        </w:rPr>
        <w:t xml:space="preserve"> </w:t>
      </w:r>
      <w:r w:rsidRPr="00AA5444">
        <w:rPr>
          <w:rFonts w:ascii="Lato" w:hAnsi="Lato"/>
          <w:color w:val="auto"/>
          <w:szCs w:val="22"/>
        </w:rPr>
        <w:t>Además, se utiliza para proporcionar</w:t>
      </w:r>
      <w:r w:rsidR="000574D2">
        <w:rPr>
          <w:rFonts w:ascii="Lato" w:hAnsi="Lato"/>
          <w:color w:val="auto"/>
          <w:szCs w:val="22"/>
        </w:rPr>
        <w:t xml:space="preserve"> apoyos con programas como Mujeres Renacimiento, Jóvenes Renacimiento, Caravanas de Salud, Seguridad en el Mar, entre otros.</w:t>
      </w:r>
    </w:p>
    <w:p w14:paraId="79F3E5F7" w14:textId="77777777" w:rsidR="00D918B3" w:rsidRPr="00AA5444" w:rsidRDefault="00D918B3" w:rsidP="00857341">
      <w:pPr>
        <w:spacing w:after="0"/>
        <w:jc w:val="both"/>
        <w:rPr>
          <w:rFonts w:ascii="Lato" w:hAnsi="Lato"/>
          <w:color w:val="auto"/>
          <w:szCs w:val="22"/>
        </w:rPr>
      </w:pPr>
    </w:p>
    <w:p w14:paraId="3E62926D" w14:textId="06444A9A" w:rsidR="00857341" w:rsidRPr="00AA5444" w:rsidRDefault="00E64ED2" w:rsidP="00857341">
      <w:pPr>
        <w:spacing w:after="0"/>
        <w:jc w:val="both"/>
        <w:rPr>
          <w:rFonts w:ascii="Lato" w:hAnsi="Lato"/>
          <w:color w:val="auto"/>
          <w:szCs w:val="22"/>
        </w:rPr>
      </w:pPr>
      <w:r>
        <w:rPr>
          <w:rFonts w:ascii="Lato" w:hAnsi="Lato"/>
          <w:color w:val="auto"/>
          <w:szCs w:val="22"/>
        </w:rPr>
        <w:t>Asimismo, s</w:t>
      </w:r>
      <w:r w:rsidR="00857341" w:rsidRPr="00AA5444">
        <w:rPr>
          <w:rFonts w:ascii="Lato" w:hAnsi="Lato"/>
          <w:color w:val="auto"/>
          <w:szCs w:val="22"/>
        </w:rPr>
        <w:t>e gasta en el pago de los salarios de los maestros, médicos, enfermeras, policías, jueces, personal de la Fiscalía, defensores de oficio, mediadores y demás empleados públicos. También en el pago de servicios de energía eléctrica, telefonía, agua potable, mantenimiento de vehículos y maquinaria, aseguramiento de bienes patrimoniales, arrendamiento de inmuebles, mantenimiento de inmuebles que permita su preservación como patrimonio, y el pago de la deuda pública.</w:t>
      </w:r>
    </w:p>
    <w:p w14:paraId="4FD5BA7B" w14:textId="77777777" w:rsidR="00EC0567" w:rsidRDefault="00EC0567" w:rsidP="00EC0567">
      <w:pPr>
        <w:spacing w:after="0"/>
        <w:jc w:val="both"/>
        <w:rPr>
          <w:rFonts w:ascii="Lato" w:hAnsi="Lato"/>
          <w:b/>
          <w:szCs w:val="22"/>
        </w:rPr>
      </w:pPr>
    </w:p>
    <w:p w14:paraId="6EA7C9BE" w14:textId="5627CC4E" w:rsidR="00EC0567" w:rsidRPr="00EC0567" w:rsidRDefault="00EC0567" w:rsidP="00EC0567">
      <w:pPr>
        <w:spacing w:after="0"/>
        <w:jc w:val="both"/>
        <w:rPr>
          <w:rFonts w:ascii="Lato" w:hAnsi="Lato"/>
          <w:b/>
          <w:szCs w:val="22"/>
        </w:rPr>
      </w:pPr>
      <w:r>
        <w:rPr>
          <w:rFonts w:ascii="Lato" w:hAnsi="Lato"/>
          <w:b/>
          <w:szCs w:val="22"/>
        </w:rPr>
        <w:t>¿Para</w:t>
      </w:r>
      <w:r w:rsidRPr="00EC0567">
        <w:rPr>
          <w:rFonts w:ascii="Lato" w:hAnsi="Lato"/>
          <w:b/>
          <w:szCs w:val="22"/>
        </w:rPr>
        <w:t xml:space="preserve"> qué se gasta?</w:t>
      </w:r>
    </w:p>
    <w:p w14:paraId="35F3699F" w14:textId="206F807B" w:rsidR="00EC0567" w:rsidRDefault="00EC0567" w:rsidP="00EC0567">
      <w:pPr>
        <w:spacing w:after="0"/>
        <w:jc w:val="both"/>
        <w:rPr>
          <w:rFonts w:ascii="Lato" w:hAnsi="Lato"/>
          <w:szCs w:val="22"/>
        </w:rPr>
      </w:pPr>
      <w:r w:rsidRPr="0023238D">
        <w:rPr>
          <w:rFonts w:ascii="Lato" w:hAnsi="Lato"/>
          <w:b/>
          <w:i/>
          <w:szCs w:val="22"/>
        </w:rPr>
        <w:t>Clasificación funcional programática:</w:t>
      </w:r>
      <w:r>
        <w:rPr>
          <w:rFonts w:ascii="Lato" w:hAnsi="Lato"/>
          <w:szCs w:val="22"/>
        </w:rPr>
        <w:t xml:space="preserve"> </w:t>
      </w:r>
      <w:r w:rsidRPr="00EC0567">
        <w:rPr>
          <w:rFonts w:ascii="Lato" w:hAnsi="Lato"/>
          <w:szCs w:val="22"/>
        </w:rPr>
        <w:t xml:space="preserve">Permite </w:t>
      </w:r>
      <w:r>
        <w:rPr>
          <w:rFonts w:ascii="Lato" w:hAnsi="Lato"/>
          <w:szCs w:val="22"/>
        </w:rPr>
        <w:t xml:space="preserve">identificar las prioridades del </w:t>
      </w:r>
      <w:r w:rsidRPr="00EC0567">
        <w:rPr>
          <w:rFonts w:ascii="Lato" w:hAnsi="Lato"/>
          <w:szCs w:val="22"/>
        </w:rPr>
        <w:t>gobi</w:t>
      </w:r>
      <w:r>
        <w:rPr>
          <w:rFonts w:ascii="Lato" w:hAnsi="Lato"/>
          <w:szCs w:val="22"/>
        </w:rPr>
        <w:t xml:space="preserve">erno del estado, como puede ser </w:t>
      </w:r>
      <w:r w:rsidRPr="00EC0567">
        <w:rPr>
          <w:rFonts w:ascii="Lato" w:hAnsi="Lato"/>
          <w:szCs w:val="22"/>
        </w:rPr>
        <w:t>el desarrollo económico, social u otras.</w:t>
      </w:r>
    </w:p>
    <w:p w14:paraId="70A0B94F" w14:textId="16EB1CEE" w:rsidR="000574D2" w:rsidRDefault="000574D2" w:rsidP="00EC0567">
      <w:pPr>
        <w:spacing w:after="0"/>
        <w:jc w:val="both"/>
        <w:rPr>
          <w:rFonts w:ascii="Lato" w:hAnsi="Lato"/>
          <w:szCs w:val="22"/>
        </w:rPr>
      </w:pPr>
    </w:p>
    <w:p w14:paraId="30FA1DEA" w14:textId="757484E4" w:rsidR="000574D2" w:rsidRPr="00AA5444" w:rsidRDefault="000574D2" w:rsidP="000574D2">
      <w:p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>Los recursos contenidos en el Presupuesto de Egresos se distribuyen de acuerdo con clasificaciones que distinguen la finalidad y función.</w:t>
      </w:r>
      <w:r w:rsidR="00C04D5B">
        <w:rPr>
          <w:rFonts w:ascii="Lato" w:hAnsi="Lato"/>
          <w:color w:val="auto"/>
          <w:szCs w:val="22"/>
        </w:rPr>
        <w:t xml:space="preserve"> De tal forma, e</w:t>
      </w:r>
      <w:r w:rsidRPr="00AA5444">
        <w:rPr>
          <w:rFonts w:ascii="Lato" w:hAnsi="Lato"/>
          <w:color w:val="auto"/>
          <w:szCs w:val="22"/>
        </w:rPr>
        <w:t>l Estado y el Gobierno tienen tres fines principales que persiguen en beneficio de la sociedad, que orientan la actividad del Gobierno en tres grandes rubros:</w:t>
      </w:r>
    </w:p>
    <w:p w14:paraId="065A77E6" w14:textId="77777777" w:rsidR="000574D2" w:rsidRPr="00AA5444" w:rsidRDefault="000574D2" w:rsidP="000574D2">
      <w:pPr>
        <w:spacing w:after="0"/>
        <w:jc w:val="both"/>
        <w:rPr>
          <w:rFonts w:ascii="Lato" w:hAnsi="Lato"/>
          <w:color w:val="auto"/>
          <w:szCs w:val="22"/>
        </w:rPr>
      </w:pPr>
    </w:p>
    <w:p w14:paraId="57B65685" w14:textId="77777777" w:rsidR="000574D2" w:rsidRPr="00AA5444" w:rsidRDefault="000574D2" w:rsidP="000574D2">
      <w:pPr>
        <w:pStyle w:val="Prrafodelista"/>
        <w:numPr>
          <w:ilvl w:val="0"/>
          <w:numId w:val="5"/>
        </w:num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 xml:space="preserve">Gobierno </w:t>
      </w:r>
    </w:p>
    <w:p w14:paraId="09220D5A" w14:textId="77777777" w:rsidR="000574D2" w:rsidRPr="00AA5444" w:rsidRDefault="000574D2" w:rsidP="000574D2">
      <w:pPr>
        <w:pStyle w:val="Prrafodelista"/>
        <w:numPr>
          <w:ilvl w:val="0"/>
          <w:numId w:val="5"/>
        </w:num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 xml:space="preserve">Desarrollo Social </w:t>
      </w:r>
    </w:p>
    <w:p w14:paraId="7A66F1C9" w14:textId="77777777" w:rsidR="000574D2" w:rsidRPr="00AA5444" w:rsidRDefault="000574D2" w:rsidP="000574D2">
      <w:pPr>
        <w:pStyle w:val="Prrafodelista"/>
        <w:numPr>
          <w:ilvl w:val="0"/>
          <w:numId w:val="5"/>
        </w:num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>Desarrollo Económico</w:t>
      </w:r>
    </w:p>
    <w:p w14:paraId="5A569FC8" w14:textId="77777777" w:rsidR="000574D2" w:rsidRPr="00AA5444" w:rsidRDefault="000574D2" w:rsidP="000574D2">
      <w:pPr>
        <w:spacing w:after="0"/>
        <w:jc w:val="both"/>
        <w:rPr>
          <w:rFonts w:ascii="Lato" w:hAnsi="Lato"/>
          <w:color w:val="FF0000"/>
          <w:szCs w:val="22"/>
        </w:rPr>
      </w:pPr>
    </w:p>
    <w:p w14:paraId="3A3088F2" w14:textId="082DD501" w:rsidR="000574D2" w:rsidRPr="00AA5444" w:rsidRDefault="000574D2" w:rsidP="000574D2">
      <w:p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>Cada de uno de ellos se desagrega en funciones específicas, las cuales describen la naturaleza del quehacer de los órganos gubernamentales para contribuir al logro de los fines.</w:t>
      </w:r>
    </w:p>
    <w:p w14:paraId="7302812E" w14:textId="77777777" w:rsidR="000574D2" w:rsidRPr="00AA5444" w:rsidRDefault="000574D2" w:rsidP="000574D2">
      <w:pPr>
        <w:spacing w:after="0"/>
        <w:jc w:val="both"/>
        <w:rPr>
          <w:rFonts w:ascii="Lato" w:hAnsi="Lato"/>
          <w:color w:val="auto"/>
          <w:szCs w:val="22"/>
        </w:rPr>
      </w:pPr>
    </w:p>
    <w:p w14:paraId="4222B6AD" w14:textId="721DCF24" w:rsidR="000574D2" w:rsidRPr="00AA5444" w:rsidRDefault="00633225" w:rsidP="000574D2">
      <w:pPr>
        <w:spacing w:after="0"/>
        <w:jc w:val="center"/>
        <w:rPr>
          <w:rFonts w:ascii="Lato" w:hAnsi="Lato"/>
          <w:color w:val="auto"/>
          <w:szCs w:val="22"/>
        </w:rPr>
      </w:pPr>
      <w:r>
        <w:rPr>
          <w:rFonts w:ascii="Lato" w:hAnsi="Lato"/>
          <w:color w:val="auto"/>
          <w:szCs w:val="22"/>
        </w:rPr>
        <w:t>Cuadro 4</w:t>
      </w:r>
      <w:r w:rsidR="000574D2" w:rsidRPr="00AA5444">
        <w:rPr>
          <w:rFonts w:ascii="Lato" w:hAnsi="Lato"/>
          <w:color w:val="auto"/>
          <w:szCs w:val="22"/>
        </w:rPr>
        <w:t>. Clasificación funcional del gasto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0"/>
        <w:gridCol w:w="2020"/>
      </w:tblGrid>
      <w:tr w:rsidR="00633225" w:rsidRPr="00633225" w14:paraId="0B8DAF48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3891943E" w14:textId="77777777" w:rsidR="00633225" w:rsidRPr="00633225" w:rsidRDefault="00633225" w:rsidP="00633225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Clasificación Funcional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43F0E4FE" w14:textId="77777777" w:rsidR="00633225" w:rsidRPr="00633225" w:rsidRDefault="00633225" w:rsidP="00633225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Importe (pesos)</w:t>
            </w:r>
          </w:p>
        </w:tc>
      </w:tr>
      <w:tr w:rsidR="00633225" w:rsidRPr="00633225" w14:paraId="4D599205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000000" w:fill="BC2251"/>
            <w:noWrap/>
            <w:vAlign w:val="bottom"/>
            <w:hideMark/>
          </w:tcPr>
          <w:p w14:paraId="558A09D0" w14:textId="77777777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01- Gobierno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BC2251"/>
            <w:noWrap/>
            <w:vAlign w:val="bottom"/>
            <w:hideMark/>
          </w:tcPr>
          <w:p w14:paraId="2BA7544B" w14:textId="24CCB639" w:rsidR="00633225" w:rsidRPr="00633225" w:rsidRDefault="00890088" w:rsidP="00633225">
            <w:pPr>
              <w:spacing w:after="0" w:line="240" w:lineRule="auto"/>
              <w:jc w:val="right"/>
              <w:rPr>
                <w:rFonts w:ascii="Lato" w:eastAsia="Times New Roman" w:hAnsi="Lato"/>
                <w:color w:val="FFFFFF"/>
                <w:szCs w:val="22"/>
              </w:rPr>
            </w:pPr>
            <w:r>
              <w:rPr>
                <w:rFonts w:ascii="Lato" w:eastAsia="Times New Roman" w:hAnsi="Lato"/>
                <w:color w:val="FFFFFF"/>
                <w:szCs w:val="22"/>
              </w:rPr>
              <w:t>10,432,116,195</w:t>
            </w:r>
          </w:p>
        </w:tc>
      </w:tr>
      <w:tr w:rsidR="00633225" w:rsidRPr="00633225" w14:paraId="26268A80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9C51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Asuntos De Orden Publico Y Seguridad Interior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8261" w14:textId="7563A2CA" w:rsidR="00633225" w:rsidRPr="00633225" w:rsidRDefault="00890088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5,577,587,523</w:t>
            </w:r>
          </w:p>
        </w:tc>
      </w:tr>
      <w:tr w:rsidR="00633225" w:rsidRPr="00633225" w14:paraId="2A03A5B7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0866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Asuntos Financieros Y Hacendarios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F7DD" w14:textId="493059A4" w:rsidR="00633225" w:rsidRPr="00633225" w:rsidRDefault="00890088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396,175,264</w:t>
            </w:r>
          </w:p>
        </w:tc>
      </w:tr>
      <w:tr w:rsidR="00633225" w:rsidRPr="00633225" w14:paraId="6134A6EE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1B72" w14:textId="1B2865A5" w:rsidR="00633225" w:rsidRPr="00633225" w:rsidRDefault="0023238D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Coordinación</w:t>
            </w:r>
            <w:r w:rsidR="00633225" w:rsidRPr="00633225">
              <w:rPr>
                <w:rFonts w:ascii="Lato" w:eastAsia="Times New Roman" w:hAnsi="Lato"/>
                <w:szCs w:val="22"/>
              </w:rPr>
              <w:t xml:space="preserve"> De La </w:t>
            </w:r>
            <w:r w:rsidRPr="00633225">
              <w:rPr>
                <w:rFonts w:ascii="Lato" w:eastAsia="Times New Roman" w:hAnsi="Lato"/>
                <w:szCs w:val="22"/>
              </w:rPr>
              <w:t>Política</w:t>
            </w:r>
            <w:r w:rsidR="00633225" w:rsidRPr="00633225">
              <w:rPr>
                <w:rFonts w:ascii="Lato" w:eastAsia="Times New Roman" w:hAnsi="Lato"/>
                <w:szCs w:val="22"/>
              </w:rPr>
              <w:t xml:space="preserve"> De Gobierno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C692" w14:textId="16FA174E" w:rsidR="00633225" w:rsidRPr="00633225" w:rsidRDefault="00890088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1,026,195,968</w:t>
            </w:r>
          </w:p>
        </w:tc>
      </w:tr>
      <w:tr w:rsidR="00633225" w:rsidRPr="00633225" w14:paraId="47D72AB9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D4C6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Justicia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8161" w14:textId="1AD06874" w:rsidR="00633225" w:rsidRPr="00633225" w:rsidRDefault="00890088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2,183,195,135</w:t>
            </w:r>
          </w:p>
        </w:tc>
      </w:tr>
      <w:tr w:rsidR="00633225" w:rsidRPr="00633225" w14:paraId="7BF7D233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D5CC" w14:textId="4E05E957" w:rsidR="00633225" w:rsidRPr="00633225" w:rsidRDefault="0023238D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Legislación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BDBE" w14:textId="252A095C" w:rsidR="00633225" w:rsidRPr="00633225" w:rsidRDefault="00890088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326,358,855</w:t>
            </w:r>
          </w:p>
        </w:tc>
      </w:tr>
      <w:tr w:rsidR="00633225" w:rsidRPr="00633225" w14:paraId="48385DFF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E6DC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Otros Servicios Generales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7B55" w14:textId="11DC3FEF" w:rsidR="00633225" w:rsidRPr="00633225" w:rsidRDefault="00890088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922,603,450</w:t>
            </w:r>
          </w:p>
        </w:tc>
      </w:tr>
      <w:tr w:rsidR="00633225" w:rsidRPr="00633225" w14:paraId="674243C7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000000" w:fill="BC2251"/>
            <w:noWrap/>
            <w:vAlign w:val="bottom"/>
            <w:hideMark/>
          </w:tcPr>
          <w:p w14:paraId="357ACBB1" w14:textId="77777777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02- Desarrollo Social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BC2251"/>
            <w:noWrap/>
            <w:vAlign w:val="bottom"/>
            <w:hideMark/>
          </w:tcPr>
          <w:p w14:paraId="42E506CA" w14:textId="0C8042A0" w:rsidR="00633225" w:rsidRPr="00633225" w:rsidRDefault="00890088" w:rsidP="00633225">
            <w:pPr>
              <w:spacing w:after="0" w:line="240" w:lineRule="auto"/>
              <w:jc w:val="right"/>
              <w:rPr>
                <w:rFonts w:ascii="Lato" w:eastAsia="Times New Roman" w:hAnsi="Lato"/>
                <w:color w:val="FFFFFF"/>
                <w:szCs w:val="22"/>
              </w:rPr>
            </w:pPr>
            <w:r>
              <w:rPr>
                <w:rFonts w:ascii="Lato" w:eastAsia="Times New Roman" w:hAnsi="Lato"/>
                <w:color w:val="FFFFFF"/>
                <w:szCs w:val="22"/>
              </w:rPr>
              <w:t>37,119,477,882</w:t>
            </w:r>
          </w:p>
        </w:tc>
      </w:tr>
      <w:tr w:rsidR="00633225" w:rsidRPr="00633225" w14:paraId="5938CC3D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25AC" w14:textId="684428DB" w:rsidR="00633225" w:rsidRPr="00633225" w:rsidRDefault="0023238D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Educación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2567" w14:textId="76D549D5" w:rsidR="00633225" w:rsidRPr="00633225" w:rsidRDefault="00890088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18,489,265,295</w:t>
            </w:r>
          </w:p>
        </w:tc>
      </w:tr>
      <w:tr w:rsidR="00633225" w:rsidRPr="00633225" w14:paraId="19BD9FA1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289B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Otros Asuntos Sociales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CA74" w14:textId="3B91D797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126,363,723</w:t>
            </w:r>
          </w:p>
        </w:tc>
      </w:tr>
      <w:tr w:rsidR="00633225" w:rsidRPr="00633225" w14:paraId="3CBD4DF7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B503" w14:textId="5CDDB198" w:rsidR="00633225" w:rsidRPr="00633225" w:rsidRDefault="0023238D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lastRenderedPageBreak/>
              <w:t>Protección</w:t>
            </w:r>
            <w:r w:rsidR="00633225" w:rsidRPr="00633225">
              <w:rPr>
                <w:rFonts w:ascii="Lato" w:eastAsia="Times New Roman" w:hAnsi="Lato"/>
                <w:szCs w:val="22"/>
              </w:rPr>
              <w:t xml:space="preserve"> Ambiental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FF8B" w14:textId="4A36EAF4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478,265,016</w:t>
            </w:r>
          </w:p>
        </w:tc>
      </w:tr>
      <w:tr w:rsidR="00633225" w:rsidRPr="00633225" w14:paraId="6AE2E927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7BC" w14:textId="1321EFA3" w:rsidR="00633225" w:rsidRPr="00633225" w:rsidRDefault="0023238D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Protección</w:t>
            </w:r>
            <w:r w:rsidR="00633225" w:rsidRPr="00633225">
              <w:rPr>
                <w:rFonts w:ascii="Lato" w:eastAsia="Times New Roman" w:hAnsi="Lato"/>
                <w:szCs w:val="22"/>
              </w:rPr>
              <w:t xml:space="preserve"> Social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4A51" w14:textId="2051E152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6,987,396,959</w:t>
            </w:r>
          </w:p>
        </w:tc>
      </w:tr>
      <w:tr w:rsidR="00633225" w:rsidRPr="00633225" w14:paraId="1373D270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744E" w14:textId="329999C7" w:rsidR="00633225" w:rsidRPr="00633225" w:rsidRDefault="0023238D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Recreación</w:t>
            </w:r>
            <w:r w:rsidR="00633225" w:rsidRPr="00633225">
              <w:rPr>
                <w:rFonts w:ascii="Lato" w:eastAsia="Times New Roman" w:hAnsi="Lato"/>
                <w:szCs w:val="22"/>
              </w:rPr>
              <w:t>, Cultura Y Otras Manifestaciones Sociales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A6FC" w14:textId="25B5E531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3,617,906,362</w:t>
            </w:r>
          </w:p>
        </w:tc>
      </w:tr>
      <w:tr w:rsidR="00633225" w:rsidRPr="00633225" w14:paraId="23AAD904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D1B3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Salud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B703" w14:textId="3F79FC05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5,642,487,545</w:t>
            </w:r>
          </w:p>
        </w:tc>
      </w:tr>
      <w:tr w:rsidR="00633225" w:rsidRPr="00633225" w14:paraId="55D6818E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29A5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Vivienda Y Servicios A La Comunidad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8BCF" w14:textId="7FD50F90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1,777,792,982</w:t>
            </w:r>
          </w:p>
        </w:tc>
      </w:tr>
      <w:tr w:rsidR="00633225" w:rsidRPr="00633225" w14:paraId="00A5CBCD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000000" w:fill="BC2251"/>
            <w:noWrap/>
            <w:vAlign w:val="bottom"/>
            <w:hideMark/>
          </w:tcPr>
          <w:p w14:paraId="2134FA15" w14:textId="66344B04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 xml:space="preserve">03- Desarrollo </w:t>
            </w:r>
            <w:r w:rsidR="0023238D"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Económico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BC2251"/>
            <w:noWrap/>
            <w:vAlign w:val="bottom"/>
            <w:hideMark/>
          </w:tcPr>
          <w:p w14:paraId="086AB4C6" w14:textId="35EB0B50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color w:val="FFFFFF"/>
                <w:szCs w:val="22"/>
              </w:rPr>
            </w:pPr>
            <w:r>
              <w:rPr>
                <w:rFonts w:ascii="Lato" w:eastAsia="Times New Roman" w:hAnsi="Lato"/>
                <w:color w:val="FFFFFF"/>
                <w:szCs w:val="22"/>
              </w:rPr>
              <w:t>6,602,228,136</w:t>
            </w:r>
          </w:p>
        </w:tc>
      </w:tr>
      <w:tr w:rsidR="00633225" w:rsidRPr="00633225" w14:paraId="3A2E6EF5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2FF7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Agropecuaria, Silvicultura, Pesca Y Caza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1549" w14:textId="385E687D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762,644,514</w:t>
            </w:r>
          </w:p>
        </w:tc>
      </w:tr>
      <w:tr w:rsidR="00633225" w:rsidRPr="00633225" w14:paraId="28183E22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73E3" w14:textId="40B16CCF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 xml:space="preserve">Asuntos </w:t>
            </w:r>
            <w:r w:rsidR="0023238D" w:rsidRPr="00633225">
              <w:rPr>
                <w:rFonts w:ascii="Lato" w:eastAsia="Times New Roman" w:hAnsi="Lato"/>
                <w:szCs w:val="22"/>
              </w:rPr>
              <w:t>Económicos</w:t>
            </w:r>
            <w:r w:rsidRPr="00633225">
              <w:rPr>
                <w:rFonts w:ascii="Lato" w:eastAsia="Times New Roman" w:hAnsi="Lato"/>
                <w:szCs w:val="22"/>
              </w:rPr>
              <w:t>, Comerciales Y Laborales En General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9EDC" w14:textId="28966117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47,031,908</w:t>
            </w:r>
          </w:p>
        </w:tc>
      </w:tr>
      <w:tr w:rsidR="00633225" w:rsidRPr="00633225" w14:paraId="3C464BA5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5A85" w14:textId="0D8ED3B8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 xml:space="preserve">Ciencia, </w:t>
            </w:r>
            <w:r w:rsidR="0023238D" w:rsidRPr="00633225">
              <w:rPr>
                <w:rFonts w:ascii="Lato" w:eastAsia="Times New Roman" w:hAnsi="Lato"/>
                <w:szCs w:val="22"/>
              </w:rPr>
              <w:t>Tecnología</w:t>
            </w:r>
            <w:r w:rsidRPr="00633225">
              <w:rPr>
                <w:rFonts w:ascii="Lato" w:eastAsia="Times New Roman" w:hAnsi="Lato"/>
                <w:szCs w:val="22"/>
              </w:rPr>
              <w:t xml:space="preserve"> E </w:t>
            </w:r>
            <w:r w:rsidR="0023238D" w:rsidRPr="00633225">
              <w:rPr>
                <w:rFonts w:ascii="Lato" w:eastAsia="Times New Roman" w:hAnsi="Lato"/>
                <w:szCs w:val="22"/>
              </w:rPr>
              <w:t>Innovación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74B0" w14:textId="7960663E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45,571,468</w:t>
            </w:r>
          </w:p>
        </w:tc>
      </w:tr>
      <w:tr w:rsidR="00633225" w:rsidRPr="00633225" w14:paraId="7DB1B77D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CC42" w14:textId="78F1DE79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 xml:space="preserve">Combustible Y </w:t>
            </w:r>
            <w:r w:rsidR="0023238D" w:rsidRPr="00633225">
              <w:rPr>
                <w:rFonts w:ascii="Lato" w:eastAsia="Times New Roman" w:hAnsi="Lato"/>
                <w:szCs w:val="22"/>
              </w:rPr>
              <w:t>Energía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FF95" w14:textId="499735B5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22,532,383</w:t>
            </w:r>
          </w:p>
        </w:tc>
      </w:tr>
      <w:tr w:rsidR="00633225" w:rsidRPr="00633225" w14:paraId="30FB4B3F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37BD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Comunicaciones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14EB" w14:textId="48F4380C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0</w:t>
            </w:r>
          </w:p>
        </w:tc>
      </w:tr>
      <w:tr w:rsidR="00633225" w:rsidRPr="00633225" w14:paraId="32846AB0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7B7E" w14:textId="3BA930BF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 xml:space="preserve">Otras Industrias Y Otros Asuntos </w:t>
            </w:r>
            <w:r w:rsidR="0023238D" w:rsidRPr="00633225">
              <w:rPr>
                <w:rFonts w:ascii="Lato" w:eastAsia="Times New Roman" w:hAnsi="Lato"/>
                <w:szCs w:val="22"/>
              </w:rPr>
              <w:t>Económicos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4ED1" w14:textId="77AC169C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1,101,967,478</w:t>
            </w:r>
          </w:p>
        </w:tc>
      </w:tr>
      <w:tr w:rsidR="00633225" w:rsidRPr="00633225" w14:paraId="04E065FB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B5B6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Transporte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BD71" w14:textId="5806E6D2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4,151,704,614</w:t>
            </w:r>
          </w:p>
        </w:tc>
      </w:tr>
      <w:tr w:rsidR="00633225" w:rsidRPr="00633225" w14:paraId="4A0FC4D0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FE10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Turismo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8846" w14:textId="38DBDFC6" w:rsidR="00633225" w:rsidRPr="00633225" w:rsidRDefault="00355A0E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470,775,771</w:t>
            </w:r>
          </w:p>
        </w:tc>
      </w:tr>
      <w:tr w:rsidR="00633225" w:rsidRPr="00633225" w14:paraId="6BD80EF3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000000" w:fill="BC2251"/>
            <w:noWrap/>
            <w:vAlign w:val="bottom"/>
            <w:hideMark/>
          </w:tcPr>
          <w:p w14:paraId="59FE422B" w14:textId="77777777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04- Otras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BC2251"/>
            <w:noWrap/>
            <w:vAlign w:val="bottom"/>
            <w:hideMark/>
          </w:tcPr>
          <w:p w14:paraId="0A3D46F6" w14:textId="65F3B312" w:rsidR="00633225" w:rsidRPr="00633225" w:rsidRDefault="00397594" w:rsidP="00633225">
            <w:pPr>
              <w:spacing w:after="0" w:line="240" w:lineRule="auto"/>
              <w:jc w:val="right"/>
              <w:rPr>
                <w:rFonts w:ascii="Lato" w:eastAsia="Times New Roman" w:hAnsi="Lato"/>
                <w:color w:val="FFFFFF"/>
                <w:szCs w:val="22"/>
              </w:rPr>
            </w:pPr>
            <w:r>
              <w:rPr>
                <w:rFonts w:ascii="Lato" w:eastAsia="Times New Roman" w:hAnsi="Lato"/>
                <w:color w:val="FFFFFF"/>
                <w:szCs w:val="22"/>
              </w:rPr>
              <w:t>12,225,488,464</w:t>
            </w:r>
          </w:p>
        </w:tc>
      </w:tr>
      <w:tr w:rsidR="00633225" w:rsidRPr="00633225" w14:paraId="21A03149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7A56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Adeudos De Ejercicios Fiscales Anteriores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0B08" w14:textId="0E69D5DA" w:rsidR="00633225" w:rsidRPr="00633225" w:rsidRDefault="00397594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1,621,846,848</w:t>
            </w:r>
          </w:p>
        </w:tc>
      </w:tr>
      <w:tr w:rsidR="00633225" w:rsidRPr="00633225" w14:paraId="1E40A3EB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F45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Transacciones De La Deuda Publica / Costo Financiero De La Deuda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410" w14:textId="17E5D904" w:rsidR="00633225" w:rsidRPr="00633225" w:rsidRDefault="00397594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0</w:t>
            </w:r>
          </w:p>
        </w:tc>
      </w:tr>
      <w:tr w:rsidR="00633225" w:rsidRPr="00633225" w14:paraId="2BD66B48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3A80" w14:textId="77777777" w:rsidR="00633225" w:rsidRPr="00633225" w:rsidRDefault="00633225" w:rsidP="00633225">
            <w:pPr>
              <w:spacing w:after="0" w:line="240" w:lineRule="auto"/>
              <w:ind w:firstLineChars="100" w:firstLine="220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Transferencias, Participaciones Y Aportaciones Entre Diferentes Niveles Y Ordenes De Gobierno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08F5" w14:textId="2B720914" w:rsidR="00633225" w:rsidRPr="00633225" w:rsidRDefault="00397594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10,603,641,616</w:t>
            </w:r>
          </w:p>
        </w:tc>
      </w:tr>
      <w:tr w:rsidR="00633225" w:rsidRPr="00633225" w14:paraId="24D9A31F" w14:textId="77777777" w:rsidTr="00633225">
        <w:trPr>
          <w:trHeight w:val="29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5BDE7F8C" w14:textId="77777777" w:rsidR="00633225" w:rsidRPr="00633225" w:rsidRDefault="00633225" w:rsidP="00633225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Total General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01D00843" w14:textId="3A44B5C3" w:rsidR="00633225" w:rsidRPr="00633225" w:rsidRDefault="00397594" w:rsidP="00633225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>
              <w:rPr>
                <w:rFonts w:ascii="Lato" w:eastAsia="Times New Roman" w:hAnsi="Lato"/>
                <w:b/>
                <w:bCs/>
                <w:color w:val="FFFFFF"/>
                <w:szCs w:val="22"/>
              </w:rPr>
              <w:t xml:space="preserve">       66,379,310,677</w:t>
            </w:r>
          </w:p>
        </w:tc>
      </w:tr>
    </w:tbl>
    <w:p w14:paraId="54C19014" w14:textId="77777777" w:rsidR="000574D2" w:rsidRDefault="000574D2" w:rsidP="00EC0567">
      <w:pPr>
        <w:spacing w:after="0"/>
        <w:jc w:val="both"/>
        <w:rPr>
          <w:rFonts w:ascii="Lato" w:hAnsi="Lato"/>
          <w:szCs w:val="22"/>
        </w:rPr>
      </w:pPr>
    </w:p>
    <w:p w14:paraId="071CB477" w14:textId="33CF1C0F" w:rsidR="00857341" w:rsidRPr="00AA5444" w:rsidRDefault="00857341" w:rsidP="00857341">
      <w:pPr>
        <w:spacing w:after="0"/>
        <w:jc w:val="both"/>
        <w:rPr>
          <w:rFonts w:ascii="Lato" w:hAnsi="Lato"/>
          <w:color w:val="auto"/>
          <w:szCs w:val="22"/>
        </w:rPr>
      </w:pPr>
    </w:p>
    <w:p w14:paraId="7343E9E5" w14:textId="7C839C95" w:rsidR="00857341" w:rsidRPr="00AA5444" w:rsidRDefault="000574D2" w:rsidP="00857341">
      <w:pPr>
        <w:spacing w:after="0"/>
        <w:jc w:val="both"/>
        <w:rPr>
          <w:rFonts w:ascii="Lato" w:hAnsi="Lato"/>
          <w:color w:val="auto"/>
          <w:szCs w:val="22"/>
        </w:rPr>
      </w:pPr>
      <w:r w:rsidRPr="000574D2">
        <w:rPr>
          <w:rFonts w:ascii="Lato" w:hAnsi="Lato"/>
          <w:color w:val="auto"/>
          <w:szCs w:val="22"/>
        </w:rPr>
        <w:t>El Plan Estatal de Desarrollo Renacimiento Maya 2024-2030 es la ruta que guiará las acciones y políticas del gobierno en los próximos años, asegurando que cada esfuerzo se traduzca en beneficios reales donde las y los yucatecos tengamos mejores oportunidades y una mejor calidad de vida.</w:t>
      </w:r>
      <w:r>
        <w:rPr>
          <w:rFonts w:ascii="Lato" w:hAnsi="Lato"/>
          <w:color w:val="auto"/>
          <w:szCs w:val="22"/>
        </w:rPr>
        <w:t xml:space="preserve"> Las áreas prioritarias en las que se enfocarán las acciones y políticas para mejorar el bienestar de las y los yucatecos son:</w:t>
      </w:r>
    </w:p>
    <w:p w14:paraId="0F70E247" w14:textId="77777777" w:rsidR="00857341" w:rsidRPr="00AA5444" w:rsidRDefault="00857341" w:rsidP="00857341">
      <w:pPr>
        <w:spacing w:after="0"/>
        <w:jc w:val="both"/>
        <w:rPr>
          <w:rFonts w:ascii="Lato" w:hAnsi="Lato"/>
          <w:color w:val="FF0000"/>
          <w:szCs w:val="22"/>
        </w:rPr>
      </w:pPr>
    </w:p>
    <w:p w14:paraId="08AB39A0" w14:textId="60D8DEE6" w:rsidR="00AC1ED5" w:rsidRPr="00AA5444" w:rsidRDefault="000574D2" w:rsidP="0015799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Lato" w:eastAsia="Times New Roman" w:hAnsi="Lato"/>
          <w:szCs w:val="22"/>
          <w:lang w:eastAsia="en-US"/>
        </w:rPr>
      </w:pPr>
      <w:r>
        <w:rPr>
          <w:rFonts w:ascii="Lato" w:eastAsia="Times New Roman" w:hAnsi="Lato"/>
          <w:szCs w:val="22"/>
          <w:lang w:eastAsia="en-US"/>
        </w:rPr>
        <w:t>Gobierno Honesto, Humanista y Cercano al Pueblo</w:t>
      </w:r>
    </w:p>
    <w:p w14:paraId="55A7FB53" w14:textId="77777777" w:rsidR="00D30A12" w:rsidRPr="00AA5444" w:rsidRDefault="00D30A12" w:rsidP="00D30A12">
      <w:pPr>
        <w:pStyle w:val="Prrafodelista"/>
        <w:spacing w:after="0" w:line="240" w:lineRule="auto"/>
        <w:jc w:val="both"/>
        <w:rPr>
          <w:rFonts w:ascii="Lato" w:eastAsia="Times New Roman" w:hAnsi="Lato"/>
          <w:szCs w:val="22"/>
          <w:lang w:eastAsia="en-US"/>
        </w:rPr>
      </w:pPr>
    </w:p>
    <w:p w14:paraId="65A22003" w14:textId="5DCAA7C4" w:rsidR="00157998" w:rsidRPr="00AA5444" w:rsidRDefault="000574D2" w:rsidP="0015799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Lato" w:eastAsia="Times New Roman" w:hAnsi="Lato"/>
          <w:szCs w:val="22"/>
          <w:lang w:eastAsia="en-US"/>
        </w:rPr>
      </w:pPr>
      <w:r>
        <w:rPr>
          <w:rFonts w:ascii="Lato" w:eastAsia="Times New Roman" w:hAnsi="Lato"/>
          <w:szCs w:val="22"/>
          <w:lang w:eastAsia="en-US"/>
        </w:rPr>
        <w:t>Bienestar Social para la Salud de Todas y Todos</w:t>
      </w:r>
    </w:p>
    <w:p w14:paraId="423B5E14" w14:textId="5A05EC1E" w:rsidR="00D30A12" w:rsidRPr="00AA5444" w:rsidRDefault="00D30A12" w:rsidP="00D30A12">
      <w:pPr>
        <w:spacing w:after="0" w:line="240" w:lineRule="auto"/>
        <w:jc w:val="both"/>
        <w:rPr>
          <w:rFonts w:ascii="Lato" w:eastAsia="Times New Roman" w:hAnsi="Lato"/>
          <w:szCs w:val="22"/>
          <w:lang w:eastAsia="en-US"/>
        </w:rPr>
      </w:pPr>
    </w:p>
    <w:p w14:paraId="77FFD9D9" w14:textId="1BF08927" w:rsidR="00157998" w:rsidRPr="00AA5444" w:rsidRDefault="000574D2" w:rsidP="00157998">
      <w:pPr>
        <w:pStyle w:val="Prrafodelista"/>
        <w:numPr>
          <w:ilvl w:val="0"/>
          <w:numId w:val="2"/>
        </w:numPr>
        <w:spacing w:after="0" w:line="240" w:lineRule="auto"/>
        <w:rPr>
          <w:rFonts w:ascii="Lato" w:eastAsia="Times New Roman" w:hAnsi="Lato"/>
          <w:szCs w:val="22"/>
          <w:lang w:eastAsia="en-US"/>
        </w:rPr>
      </w:pPr>
      <w:r>
        <w:rPr>
          <w:rFonts w:ascii="Lato" w:eastAsia="Times New Roman" w:hAnsi="Lato"/>
          <w:szCs w:val="22"/>
          <w:lang w:eastAsia="en-US"/>
        </w:rPr>
        <w:t>Educación, Cultura y Deporte Pilares del Renacimiento</w:t>
      </w:r>
    </w:p>
    <w:p w14:paraId="2853C6B6" w14:textId="04BCF336" w:rsidR="00D30A12" w:rsidRPr="00AA5444" w:rsidRDefault="00D30A12" w:rsidP="00D30A12">
      <w:pPr>
        <w:spacing w:after="0" w:line="240" w:lineRule="auto"/>
        <w:rPr>
          <w:rFonts w:ascii="Lato" w:eastAsia="Times New Roman" w:hAnsi="Lato"/>
          <w:szCs w:val="22"/>
          <w:lang w:eastAsia="en-US"/>
        </w:rPr>
      </w:pPr>
    </w:p>
    <w:p w14:paraId="28AE87C8" w14:textId="247972F4" w:rsidR="00157998" w:rsidRPr="00AA5444" w:rsidRDefault="000574D2" w:rsidP="00157998">
      <w:pPr>
        <w:pStyle w:val="Prrafodelista"/>
        <w:numPr>
          <w:ilvl w:val="0"/>
          <w:numId w:val="2"/>
        </w:numPr>
        <w:spacing w:after="0" w:line="240" w:lineRule="auto"/>
        <w:rPr>
          <w:rFonts w:ascii="Lato" w:eastAsia="Times New Roman" w:hAnsi="Lato"/>
          <w:szCs w:val="22"/>
          <w:lang w:eastAsia="en-US"/>
        </w:rPr>
      </w:pPr>
      <w:r>
        <w:rPr>
          <w:rFonts w:ascii="Lato" w:eastAsia="Times New Roman" w:hAnsi="Lato"/>
          <w:szCs w:val="22"/>
          <w:lang w:eastAsia="en-US"/>
        </w:rPr>
        <w:t>Economía con Prosperidad Compartida y Rescate del Campo</w:t>
      </w:r>
    </w:p>
    <w:p w14:paraId="0BB01DD6" w14:textId="7C62794B" w:rsidR="00D30A12" w:rsidRPr="00AA5444" w:rsidRDefault="00D30A12" w:rsidP="00D30A12">
      <w:pPr>
        <w:spacing w:after="0" w:line="240" w:lineRule="auto"/>
        <w:rPr>
          <w:rFonts w:ascii="Lato" w:eastAsia="Times New Roman" w:hAnsi="Lato"/>
          <w:szCs w:val="22"/>
          <w:lang w:eastAsia="en-US"/>
        </w:rPr>
      </w:pPr>
    </w:p>
    <w:p w14:paraId="3DE2A56C" w14:textId="2DEB3266" w:rsidR="00D30A12" w:rsidRDefault="000574D2" w:rsidP="00322C44">
      <w:pPr>
        <w:pStyle w:val="Prrafodelista"/>
        <w:numPr>
          <w:ilvl w:val="0"/>
          <w:numId w:val="2"/>
        </w:numPr>
        <w:spacing w:after="0" w:line="240" w:lineRule="auto"/>
        <w:rPr>
          <w:rFonts w:ascii="Lato" w:eastAsia="Times New Roman" w:hAnsi="Lato"/>
          <w:szCs w:val="22"/>
          <w:lang w:eastAsia="en-US"/>
        </w:rPr>
      </w:pPr>
      <w:r>
        <w:rPr>
          <w:rFonts w:ascii="Lato" w:eastAsia="Times New Roman" w:hAnsi="Lato"/>
          <w:szCs w:val="22"/>
          <w:lang w:eastAsia="en-US"/>
        </w:rPr>
        <w:t>Infraestructura para un Desarrollo Territorial, Ordenado y Sostenible</w:t>
      </w:r>
    </w:p>
    <w:p w14:paraId="1F13955E" w14:textId="77777777" w:rsidR="000574D2" w:rsidRPr="000574D2" w:rsidRDefault="000574D2" w:rsidP="000574D2">
      <w:pPr>
        <w:pStyle w:val="Prrafodelista"/>
        <w:rPr>
          <w:rFonts w:ascii="Lato" w:eastAsia="Times New Roman" w:hAnsi="Lato"/>
          <w:szCs w:val="22"/>
          <w:lang w:eastAsia="en-US"/>
        </w:rPr>
      </w:pPr>
    </w:p>
    <w:p w14:paraId="32F93FDB" w14:textId="24C09EF2" w:rsidR="000574D2" w:rsidRPr="00AA5444" w:rsidRDefault="000574D2" w:rsidP="00322C44">
      <w:pPr>
        <w:pStyle w:val="Prrafodelista"/>
        <w:numPr>
          <w:ilvl w:val="0"/>
          <w:numId w:val="2"/>
        </w:numPr>
        <w:spacing w:after="0" w:line="240" w:lineRule="auto"/>
        <w:rPr>
          <w:rFonts w:ascii="Lato" w:eastAsia="Times New Roman" w:hAnsi="Lato"/>
          <w:szCs w:val="22"/>
          <w:lang w:eastAsia="en-US"/>
        </w:rPr>
      </w:pPr>
      <w:r>
        <w:rPr>
          <w:rFonts w:ascii="Lato" w:eastAsia="Times New Roman" w:hAnsi="Lato"/>
          <w:szCs w:val="22"/>
          <w:lang w:eastAsia="en-US"/>
        </w:rPr>
        <w:t>Justicia, Seguridad Ciudadana y Cultura de la Paz</w:t>
      </w:r>
    </w:p>
    <w:p w14:paraId="36837305" w14:textId="2D556114" w:rsidR="00857341" w:rsidRPr="00AA5444" w:rsidRDefault="00857341" w:rsidP="00857341">
      <w:pPr>
        <w:spacing w:after="0"/>
        <w:jc w:val="both"/>
        <w:rPr>
          <w:rFonts w:ascii="Lato" w:hAnsi="Lato"/>
          <w:color w:val="FF0000"/>
          <w:szCs w:val="22"/>
        </w:rPr>
      </w:pPr>
    </w:p>
    <w:p w14:paraId="686327C3" w14:textId="77777777" w:rsidR="00633225" w:rsidRDefault="00633225">
      <w:pPr>
        <w:rPr>
          <w:rFonts w:ascii="Lato" w:hAnsi="Lato"/>
          <w:color w:val="auto"/>
          <w:szCs w:val="22"/>
        </w:rPr>
      </w:pPr>
      <w:r>
        <w:rPr>
          <w:rFonts w:ascii="Lato" w:hAnsi="Lato"/>
          <w:color w:val="auto"/>
          <w:szCs w:val="22"/>
        </w:rPr>
        <w:br w:type="page"/>
      </w:r>
    </w:p>
    <w:p w14:paraId="6BE056D6" w14:textId="7983A58F" w:rsidR="00857341" w:rsidRPr="00AA5444" w:rsidRDefault="00633225" w:rsidP="00857341">
      <w:pPr>
        <w:spacing w:after="0"/>
        <w:jc w:val="center"/>
        <w:rPr>
          <w:rFonts w:ascii="Lato" w:hAnsi="Lato"/>
          <w:color w:val="auto"/>
          <w:szCs w:val="22"/>
        </w:rPr>
      </w:pPr>
      <w:r>
        <w:rPr>
          <w:rFonts w:ascii="Lato" w:hAnsi="Lato"/>
          <w:color w:val="auto"/>
          <w:szCs w:val="22"/>
        </w:rPr>
        <w:lastRenderedPageBreak/>
        <w:t>Cuadro 5</w:t>
      </w:r>
      <w:r w:rsidR="00857341" w:rsidRPr="00AA5444">
        <w:rPr>
          <w:rFonts w:ascii="Lato" w:hAnsi="Lato"/>
          <w:color w:val="auto"/>
          <w:szCs w:val="22"/>
        </w:rPr>
        <w:t xml:space="preserve">. Egresos. Clasificación por </w:t>
      </w:r>
      <w:r w:rsidR="00AA5444">
        <w:rPr>
          <w:rFonts w:ascii="Lato" w:hAnsi="Lato"/>
          <w:color w:val="auto"/>
          <w:szCs w:val="22"/>
        </w:rPr>
        <w:t>Directrices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2300"/>
        <w:gridCol w:w="1860"/>
      </w:tblGrid>
      <w:tr w:rsidR="00633225" w:rsidRPr="00633225" w14:paraId="183310EC" w14:textId="77777777" w:rsidTr="00633225">
        <w:trPr>
          <w:trHeight w:val="29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51CD3024" w14:textId="77777777" w:rsidR="00633225" w:rsidRPr="00633225" w:rsidRDefault="00633225" w:rsidP="00633225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Directrices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47BCB2AA" w14:textId="77777777" w:rsidR="00633225" w:rsidRPr="00633225" w:rsidRDefault="00633225" w:rsidP="00633225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Importe (pesos)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2D1EF894" w14:textId="77777777" w:rsidR="00633225" w:rsidRPr="00633225" w:rsidRDefault="00633225" w:rsidP="00633225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Porcentaje</w:t>
            </w:r>
          </w:p>
        </w:tc>
      </w:tr>
      <w:tr w:rsidR="00633225" w:rsidRPr="00633225" w14:paraId="298674CA" w14:textId="77777777" w:rsidTr="00633225">
        <w:trPr>
          <w:trHeight w:val="5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CE853" w14:textId="77777777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01- Gobierno Honesto, Humanista y Cercano al Pueblo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BA01" w14:textId="5D05F40F" w:rsidR="00633225" w:rsidRPr="00633225" w:rsidRDefault="002D38F9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14,66</w:t>
            </w:r>
            <w:r w:rsidR="00397594">
              <w:rPr>
                <w:rFonts w:ascii="Lato" w:eastAsia="Times New Roman" w:hAnsi="Lato"/>
                <w:szCs w:val="22"/>
              </w:rPr>
              <w:t>4,382,734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189F7" w14:textId="262140E4" w:rsidR="00633225" w:rsidRPr="00633225" w:rsidRDefault="00CB65BF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22</w:t>
            </w:r>
            <w:r w:rsidR="00633225" w:rsidRPr="00633225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633225" w:rsidRPr="00633225" w14:paraId="2C05BF70" w14:textId="77777777" w:rsidTr="00633225">
        <w:trPr>
          <w:trHeight w:val="5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3BBB" w14:textId="77777777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02- Bienestar Social para la Salud de Todas y Todos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F4050" w14:textId="26B9E260" w:rsidR="00633225" w:rsidRPr="00633225" w:rsidRDefault="00397594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8,584,063,078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30C90" w14:textId="05C71470" w:rsidR="00633225" w:rsidRPr="00633225" w:rsidRDefault="00CB65BF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12.9</w:t>
            </w:r>
            <w:r w:rsidR="00633225" w:rsidRPr="00633225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633225" w:rsidRPr="00633225" w14:paraId="31F17B84" w14:textId="77777777" w:rsidTr="00633225">
        <w:trPr>
          <w:trHeight w:val="5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DFE55" w14:textId="77777777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03- Educación, Cultura y Deporte Pilares del Renacimiento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2EA22" w14:textId="25F6628A" w:rsidR="00633225" w:rsidRPr="00633225" w:rsidRDefault="00397594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21,790,492,945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CD984" w14:textId="7E19BC32" w:rsidR="00633225" w:rsidRPr="00633225" w:rsidRDefault="00CB65BF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32.8</w:t>
            </w:r>
            <w:r w:rsidR="00633225" w:rsidRPr="00633225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633225" w:rsidRPr="00633225" w14:paraId="75B6F7AC" w14:textId="77777777" w:rsidTr="00633225">
        <w:trPr>
          <w:trHeight w:val="5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3346" w14:textId="77777777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04- Economía con Prosperidad Compartida y Rescate del Campo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7C060" w14:textId="3A130D0E" w:rsidR="00633225" w:rsidRPr="00633225" w:rsidRDefault="00397594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2,501,250,224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BE257" w14:textId="326FBFDD" w:rsidR="00633225" w:rsidRPr="00633225" w:rsidRDefault="00CB65BF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3.7</w:t>
            </w:r>
            <w:r w:rsidR="00633225" w:rsidRPr="00633225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633225" w:rsidRPr="00633225" w14:paraId="61D7B93F" w14:textId="77777777" w:rsidTr="00633225">
        <w:trPr>
          <w:trHeight w:val="5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87A0C" w14:textId="77777777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05- Infraestructura para un Desarrollo Territorial, Ordenado y Sostenible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DBE1" w14:textId="0C2387B0" w:rsidR="00633225" w:rsidRPr="00633225" w:rsidRDefault="00397594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11,286,023,089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5FF15" w14:textId="654C8F36" w:rsidR="00633225" w:rsidRPr="00633225" w:rsidRDefault="00CB65BF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17</w:t>
            </w:r>
            <w:r w:rsidR="00633225" w:rsidRPr="00633225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633225" w:rsidRPr="00633225" w14:paraId="62422917" w14:textId="77777777" w:rsidTr="00633225">
        <w:trPr>
          <w:trHeight w:val="5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96F4" w14:textId="08130696" w:rsidR="00633225" w:rsidRPr="00633225" w:rsidRDefault="00633225" w:rsidP="00633225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 w:rsidRPr="00633225">
              <w:rPr>
                <w:rFonts w:ascii="Lato" w:eastAsia="Times New Roman" w:hAnsi="Lato"/>
                <w:szCs w:val="22"/>
              </w:rPr>
              <w:t>06- Justicia, Seguridad Ciudadana y Cultura de la Paz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25A1E" w14:textId="77777777" w:rsidR="00633225" w:rsidRDefault="002D38F9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7,252,498,920</w:t>
            </w:r>
          </w:p>
          <w:p w14:paraId="61ADEC26" w14:textId="26E8953F" w:rsidR="002D38F9" w:rsidRPr="00633225" w:rsidRDefault="002D38F9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96204" w14:textId="78942AF0" w:rsidR="00633225" w:rsidRPr="00633225" w:rsidRDefault="00CB65BF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10.9</w:t>
            </w:r>
            <w:r w:rsidR="00633225" w:rsidRPr="00633225">
              <w:rPr>
                <w:rFonts w:ascii="Lato" w:eastAsia="Times New Roman" w:hAnsi="Lato"/>
                <w:szCs w:val="22"/>
              </w:rPr>
              <w:t>%</w:t>
            </w:r>
          </w:p>
        </w:tc>
      </w:tr>
      <w:tr w:rsidR="002D38F9" w:rsidRPr="00633225" w14:paraId="687513D6" w14:textId="77777777" w:rsidTr="00633225">
        <w:trPr>
          <w:trHeight w:val="5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9FCF0" w14:textId="3747E6C6" w:rsidR="002D38F9" w:rsidRPr="00633225" w:rsidRDefault="002D38F9" w:rsidP="00633225">
            <w:pPr>
              <w:spacing w:after="0" w:line="240" w:lineRule="auto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07 – Pueblo Maya Raíz y Razón de Ser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95948" w14:textId="63725936" w:rsidR="002D38F9" w:rsidRDefault="002D38F9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300,599,687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2EDAE" w14:textId="2BEBB774" w:rsidR="002D38F9" w:rsidRPr="00633225" w:rsidRDefault="00CB65BF" w:rsidP="00633225">
            <w:pPr>
              <w:spacing w:after="0" w:line="240" w:lineRule="auto"/>
              <w:jc w:val="right"/>
              <w:rPr>
                <w:rFonts w:ascii="Lato" w:eastAsia="Times New Roman" w:hAnsi="Lato"/>
                <w:szCs w:val="22"/>
              </w:rPr>
            </w:pPr>
            <w:r>
              <w:rPr>
                <w:rFonts w:ascii="Lato" w:eastAsia="Times New Roman" w:hAnsi="Lato"/>
                <w:szCs w:val="22"/>
              </w:rPr>
              <w:t>0.45%</w:t>
            </w:r>
          </w:p>
        </w:tc>
      </w:tr>
      <w:tr w:rsidR="00633225" w:rsidRPr="00633225" w14:paraId="5D9273E6" w14:textId="77777777" w:rsidTr="00633225">
        <w:trPr>
          <w:trHeight w:val="29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1F2F37F1" w14:textId="77777777" w:rsidR="00633225" w:rsidRPr="00633225" w:rsidRDefault="00633225" w:rsidP="00633225">
            <w:pPr>
              <w:spacing w:after="0" w:line="240" w:lineRule="auto"/>
              <w:jc w:val="center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Total general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7181D132" w14:textId="5541568A" w:rsidR="00633225" w:rsidRPr="00633225" w:rsidRDefault="002D38F9" w:rsidP="00633225">
            <w:pPr>
              <w:spacing w:after="0" w:line="240" w:lineRule="auto"/>
              <w:jc w:val="right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66,379,,310,677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70E48"/>
            <w:vAlign w:val="center"/>
            <w:hideMark/>
          </w:tcPr>
          <w:p w14:paraId="1C43514B" w14:textId="5A050A6F" w:rsidR="00633225" w:rsidRPr="00633225" w:rsidRDefault="00CB65BF" w:rsidP="00633225">
            <w:pPr>
              <w:spacing w:after="0" w:line="240" w:lineRule="auto"/>
              <w:jc w:val="right"/>
              <w:rPr>
                <w:rFonts w:ascii="Lato" w:eastAsia="Times New Roman" w:hAnsi="Lato"/>
                <w:b/>
                <w:bCs/>
                <w:color w:val="FFFFFF"/>
                <w:szCs w:val="22"/>
              </w:rPr>
            </w:pPr>
            <w:r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100</w:t>
            </w:r>
            <w:bookmarkStart w:id="0" w:name="_GoBack"/>
            <w:bookmarkEnd w:id="0"/>
            <w:r w:rsidR="00633225" w:rsidRPr="00633225">
              <w:rPr>
                <w:rFonts w:ascii="Lato" w:eastAsia="Times New Roman" w:hAnsi="Lato"/>
                <w:b/>
                <w:bCs/>
                <w:color w:val="FFFFFF"/>
                <w:szCs w:val="22"/>
              </w:rPr>
              <w:t>%</w:t>
            </w:r>
          </w:p>
        </w:tc>
      </w:tr>
    </w:tbl>
    <w:p w14:paraId="02D9A962" w14:textId="344FFE53" w:rsidR="00857341" w:rsidRPr="00AA5444" w:rsidRDefault="00857341" w:rsidP="00857341">
      <w:pPr>
        <w:spacing w:after="0"/>
        <w:rPr>
          <w:rFonts w:ascii="Lato" w:hAnsi="Lato"/>
          <w:color w:val="FF0000"/>
          <w:szCs w:val="22"/>
        </w:rPr>
      </w:pPr>
    </w:p>
    <w:p w14:paraId="7343C707" w14:textId="77777777" w:rsidR="00857341" w:rsidRPr="00AA5444" w:rsidRDefault="00857341" w:rsidP="00857341">
      <w:p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  <w:u w:val="single"/>
        </w:rPr>
        <w:t>¿Qué pueden hacer los ciudadanos?</w:t>
      </w:r>
    </w:p>
    <w:p w14:paraId="0A373AC1" w14:textId="77777777" w:rsidR="00857341" w:rsidRPr="00AA5444" w:rsidRDefault="00857341" w:rsidP="00857341">
      <w:pPr>
        <w:spacing w:after="0"/>
        <w:jc w:val="both"/>
        <w:rPr>
          <w:rFonts w:ascii="Lato" w:hAnsi="Lato"/>
          <w:color w:val="auto"/>
          <w:szCs w:val="22"/>
        </w:rPr>
      </w:pPr>
    </w:p>
    <w:p w14:paraId="3894B952" w14:textId="11809B3B" w:rsidR="00857341" w:rsidRPr="00AA5444" w:rsidRDefault="00405654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Lato" w:hAnsi="Lato"/>
          <w:color w:val="FF0000"/>
          <w:szCs w:val="22"/>
        </w:rPr>
      </w:pPr>
      <w:r w:rsidRPr="00AA5444">
        <w:rPr>
          <w:rFonts w:ascii="Lato" w:hAnsi="Lato"/>
          <w:color w:val="auto"/>
          <w:szCs w:val="22"/>
        </w:rPr>
        <w:t>Consultar y analizar la información pública</w:t>
      </w:r>
      <w:r w:rsidR="00D05121" w:rsidRPr="00AA5444">
        <w:rPr>
          <w:rFonts w:ascii="Lato" w:hAnsi="Lato"/>
          <w:color w:val="auto"/>
          <w:szCs w:val="22"/>
        </w:rPr>
        <w:t>.</w:t>
      </w:r>
    </w:p>
    <w:p w14:paraId="4F6DA9CC" w14:textId="0DCFD99D" w:rsidR="00405654" w:rsidRPr="00AA5444" w:rsidRDefault="00405654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Lato" w:hAnsi="Lato"/>
          <w:color w:val="FF0000"/>
          <w:szCs w:val="22"/>
        </w:rPr>
      </w:pPr>
      <w:r w:rsidRPr="00AA5444">
        <w:rPr>
          <w:rFonts w:ascii="Lato" w:hAnsi="Lato"/>
        </w:rPr>
        <w:t>Verificar la correcta aplicación de los recursos públicos</w:t>
      </w:r>
      <w:r w:rsidR="00D05121" w:rsidRPr="00AA5444">
        <w:rPr>
          <w:rFonts w:ascii="Lato" w:hAnsi="Lato"/>
        </w:rPr>
        <w:t>.</w:t>
      </w:r>
    </w:p>
    <w:p w14:paraId="4B9686FA" w14:textId="7F11A553" w:rsidR="00D30A12" w:rsidRPr="00AA5444" w:rsidRDefault="00D05121" w:rsidP="00D30A12">
      <w:pPr>
        <w:pStyle w:val="Prrafodelista"/>
        <w:numPr>
          <w:ilvl w:val="0"/>
          <w:numId w:val="6"/>
        </w:num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</w:rPr>
        <w:t>Monitorear el cumplimiento de las metas del gobierno del Estado a través de la página de Transparencia del Estado (https://transparencia.yucatan.gob.mx/).</w:t>
      </w:r>
    </w:p>
    <w:p w14:paraId="6DDBB548" w14:textId="5D76FB2A" w:rsidR="00857341" w:rsidRPr="00AA5444" w:rsidRDefault="00857341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 xml:space="preserve">Participar en el análisis y elaboración de recomendaciones para el presupuesto a través de los integrantes del Consejo Consultivo de Presupuesto y Ejercicio del Gasto del Gobierno del Estado de Yucatán. El Consejo está </w:t>
      </w:r>
      <w:r w:rsidR="00A92773" w:rsidRPr="00AA5444">
        <w:rPr>
          <w:rFonts w:ascii="Lato" w:hAnsi="Lato"/>
          <w:color w:val="auto"/>
          <w:szCs w:val="22"/>
        </w:rPr>
        <w:t>integrado en su mayoría por ciudadanos de cámaras empresariales, integrantes de la academia, colegios de profesionales, expertos en administración y finanzas, así como representantes de la sociedad civil en un ejercicio de participación ciudadana y de total transparencia.</w:t>
      </w:r>
    </w:p>
    <w:p w14:paraId="7C2B3EAC" w14:textId="105304C4" w:rsidR="00A92773" w:rsidRPr="00AA5444" w:rsidRDefault="00857341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Lato" w:hAnsi="Lato"/>
          <w:color w:val="auto"/>
          <w:szCs w:val="22"/>
        </w:rPr>
      </w:pPr>
      <w:r w:rsidRPr="00AA5444">
        <w:rPr>
          <w:rFonts w:ascii="Lato" w:hAnsi="Lato"/>
          <w:color w:val="auto"/>
          <w:szCs w:val="22"/>
        </w:rPr>
        <w:t>Ejercer su derecho a solicitar información gubernamental a través del Sistema de A</w:t>
      </w:r>
      <w:r w:rsidR="00042E92" w:rsidRPr="00AA5444">
        <w:rPr>
          <w:rFonts w:ascii="Lato" w:hAnsi="Lato"/>
          <w:color w:val="auto"/>
          <w:szCs w:val="22"/>
        </w:rPr>
        <w:t>cceso a la Información Pública (https://www.plataformadetransparencia.org.mx/).</w:t>
      </w:r>
    </w:p>
    <w:p w14:paraId="5755F746" w14:textId="77777777" w:rsidR="00857341" w:rsidRPr="00AA5444" w:rsidRDefault="00857341" w:rsidP="00D05121">
      <w:pPr>
        <w:pStyle w:val="Prrafodelista"/>
        <w:numPr>
          <w:ilvl w:val="0"/>
          <w:numId w:val="6"/>
        </w:numPr>
        <w:spacing w:after="0"/>
        <w:jc w:val="both"/>
        <w:rPr>
          <w:rFonts w:ascii="Lato" w:hAnsi="Lato"/>
          <w:color w:val="auto"/>
          <w:szCs w:val="22"/>
        </w:rPr>
      </w:pPr>
      <w:bookmarkStart w:id="1" w:name="h.8blfvbp5purg" w:colFirst="0" w:colLast="0"/>
      <w:bookmarkEnd w:id="1"/>
      <w:r w:rsidRPr="00AA5444">
        <w:rPr>
          <w:rFonts w:ascii="Lato" w:hAnsi="Lato"/>
          <w:color w:val="auto"/>
          <w:szCs w:val="22"/>
        </w:rPr>
        <w:t>Visitar la página web del Gobierno del Estado (www.yucatan.gob.mx) que proporciona información de interés. Puede encontrarse el Padrón de Trámites y Servicios Estatales, así como el Catálogo de Programas de Bienes y Servicios Públicos, en el cual se informa quiénes pueden acceder a ellos, sus requisitos, las oficinas y personas a quien dirigirse para solicitar sus beneficios.</w:t>
      </w:r>
    </w:p>
    <w:p w14:paraId="17FC2E25" w14:textId="50AE469A" w:rsidR="00857341" w:rsidRPr="00AA5444" w:rsidRDefault="00857341" w:rsidP="00D05121">
      <w:pPr>
        <w:spacing w:after="0"/>
        <w:ind w:firstLine="45"/>
        <w:jc w:val="both"/>
        <w:rPr>
          <w:rFonts w:ascii="Lato" w:hAnsi="Lato"/>
          <w:color w:val="FF0000"/>
          <w:szCs w:val="22"/>
        </w:rPr>
      </w:pPr>
      <w:bookmarkStart w:id="2" w:name="h.f93i3qqukjj1" w:colFirst="0" w:colLast="0"/>
      <w:bookmarkEnd w:id="2"/>
    </w:p>
    <w:p w14:paraId="408302A1" w14:textId="77777777" w:rsidR="00857341" w:rsidRPr="00AA5444" w:rsidRDefault="00857341" w:rsidP="00857341">
      <w:pPr>
        <w:tabs>
          <w:tab w:val="center" w:pos="4419"/>
        </w:tabs>
        <w:spacing w:after="0"/>
        <w:jc w:val="both"/>
        <w:rPr>
          <w:rFonts w:ascii="Lato" w:hAnsi="Lato"/>
          <w:color w:val="auto"/>
          <w:szCs w:val="22"/>
        </w:rPr>
      </w:pPr>
    </w:p>
    <w:sectPr w:rsidR="00857341" w:rsidRPr="00AA5444" w:rsidSect="00C72577">
      <w:pgSz w:w="12240" w:h="15840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3742F" w14:textId="77777777" w:rsidR="007B7205" w:rsidRDefault="007B7205" w:rsidP="002D12C8">
      <w:pPr>
        <w:spacing w:after="0" w:line="240" w:lineRule="auto"/>
      </w:pPr>
      <w:r>
        <w:separator/>
      </w:r>
    </w:p>
  </w:endnote>
  <w:endnote w:type="continuationSeparator" w:id="0">
    <w:p w14:paraId="76027D06" w14:textId="77777777" w:rsidR="007B7205" w:rsidRDefault="007B7205" w:rsidP="002D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CF41D" w14:textId="77777777" w:rsidR="007B7205" w:rsidRDefault="007B7205" w:rsidP="002D12C8">
      <w:pPr>
        <w:spacing w:after="0" w:line="240" w:lineRule="auto"/>
      </w:pPr>
      <w:r>
        <w:separator/>
      </w:r>
    </w:p>
  </w:footnote>
  <w:footnote w:type="continuationSeparator" w:id="0">
    <w:p w14:paraId="206ADEF7" w14:textId="77777777" w:rsidR="007B7205" w:rsidRDefault="007B7205" w:rsidP="002D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D6A"/>
    <w:multiLevelType w:val="hybridMultilevel"/>
    <w:tmpl w:val="2EFA79FE"/>
    <w:lvl w:ilvl="0" w:tplc="993A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1B09"/>
    <w:multiLevelType w:val="hybridMultilevel"/>
    <w:tmpl w:val="D6725B1E"/>
    <w:lvl w:ilvl="0" w:tplc="7B50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12B38"/>
    <w:multiLevelType w:val="hybridMultilevel"/>
    <w:tmpl w:val="9E360A4C"/>
    <w:lvl w:ilvl="0" w:tplc="7B50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79B0"/>
    <w:multiLevelType w:val="hybridMultilevel"/>
    <w:tmpl w:val="48D0AD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979F9"/>
    <w:multiLevelType w:val="hybridMultilevel"/>
    <w:tmpl w:val="56D45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D2A64"/>
    <w:multiLevelType w:val="hybridMultilevel"/>
    <w:tmpl w:val="04F45E70"/>
    <w:lvl w:ilvl="0" w:tplc="09D0F36C">
      <w:start w:val="100"/>
      <w:numFmt w:val="bullet"/>
      <w:lvlText w:val="-"/>
      <w:lvlJc w:val="left"/>
      <w:pPr>
        <w:ind w:left="720" w:hanging="360"/>
      </w:pPr>
      <w:rPr>
        <w:rFonts w:ascii="Lato" w:eastAsia="Calibri" w:hAnsi="Lato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B35BD"/>
    <w:multiLevelType w:val="hybridMultilevel"/>
    <w:tmpl w:val="B9346F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23109"/>
    <w:multiLevelType w:val="hybridMultilevel"/>
    <w:tmpl w:val="D2CA0EC0"/>
    <w:lvl w:ilvl="0" w:tplc="7B50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B36B9"/>
    <w:multiLevelType w:val="hybridMultilevel"/>
    <w:tmpl w:val="65B421EA"/>
    <w:lvl w:ilvl="0" w:tplc="7B50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14677"/>
    <w:multiLevelType w:val="hybridMultilevel"/>
    <w:tmpl w:val="2CF2B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55A69"/>
    <w:multiLevelType w:val="hybridMultilevel"/>
    <w:tmpl w:val="962A4138"/>
    <w:lvl w:ilvl="0" w:tplc="7D14E310">
      <w:start w:val="100"/>
      <w:numFmt w:val="bullet"/>
      <w:lvlText w:val="-"/>
      <w:lvlJc w:val="left"/>
      <w:pPr>
        <w:ind w:left="720" w:hanging="360"/>
      </w:pPr>
      <w:rPr>
        <w:rFonts w:ascii="Lato" w:eastAsia="Calibri" w:hAnsi="Lato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52"/>
    <w:rsid w:val="00003468"/>
    <w:rsid w:val="000037EA"/>
    <w:rsid w:val="00005EB0"/>
    <w:rsid w:val="00021CB8"/>
    <w:rsid w:val="00032E90"/>
    <w:rsid w:val="000360EF"/>
    <w:rsid w:val="00042E92"/>
    <w:rsid w:val="00053852"/>
    <w:rsid w:val="00055C2D"/>
    <w:rsid w:val="000574D2"/>
    <w:rsid w:val="00071D36"/>
    <w:rsid w:val="00074356"/>
    <w:rsid w:val="000814BC"/>
    <w:rsid w:val="00087332"/>
    <w:rsid w:val="000952E7"/>
    <w:rsid w:val="000D364C"/>
    <w:rsid w:val="000E576A"/>
    <w:rsid w:val="000F749E"/>
    <w:rsid w:val="001043B8"/>
    <w:rsid w:val="00130030"/>
    <w:rsid w:val="00132B49"/>
    <w:rsid w:val="00134EC4"/>
    <w:rsid w:val="001537DD"/>
    <w:rsid w:val="00157998"/>
    <w:rsid w:val="00163D6E"/>
    <w:rsid w:val="00164187"/>
    <w:rsid w:val="001838E2"/>
    <w:rsid w:val="00183E0E"/>
    <w:rsid w:val="0019557F"/>
    <w:rsid w:val="001B0436"/>
    <w:rsid w:val="001B73EB"/>
    <w:rsid w:val="001C329C"/>
    <w:rsid w:val="001E4E06"/>
    <w:rsid w:val="0023238D"/>
    <w:rsid w:val="00251B3F"/>
    <w:rsid w:val="00254391"/>
    <w:rsid w:val="002721A2"/>
    <w:rsid w:val="00283052"/>
    <w:rsid w:val="002D12C8"/>
    <w:rsid w:val="002D38F9"/>
    <w:rsid w:val="00322C44"/>
    <w:rsid w:val="00334DEC"/>
    <w:rsid w:val="00337FD8"/>
    <w:rsid w:val="003438B7"/>
    <w:rsid w:val="00355A0E"/>
    <w:rsid w:val="003746D8"/>
    <w:rsid w:val="00397594"/>
    <w:rsid w:val="003A5EB0"/>
    <w:rsid w:val="003A6E4F"/>
    <w:rsid w:val="003B3E71"/>
    <w:rsid w:val="00405654"/>
    <w:rsid w:val="0040712B"/>
    <w:rsid w:val="0041732F"/>
    <w:rsid w:val="00436BE8"/>
    <w:rsid w:val="00436E54"/>
    <w:rsid w:val="004459C1"/>
    <w:rsid w:val="004571CD"/>
    <w:rsid w:val="00462613"/>
    <w:rsid w:val="004642A8"/>
    <w:rsid w:val="00464BA3"/>
    <w:rsid w:val="00490240"/>
    <w:rsid w:val="004A289B"/>
    <w:rsid w:val="004B2CD6"/>
    <w:rsid w:val="004B617E"/>
    <w:rsid w:val="004B6C8A"/>
    <w:rsid w:val="004C36AC"/>
    <w:rsid w:val="004D0194"/>
    <w:rsid w:val="004E246E"/>
    <w:rsid w:val="0050131B"/>
    <w:rsid w:val="00503E76"/>
    <w:rsid w:val="00506909"/>
    <w:rsid w:val="0051306B"/>
    <w:rsid w:val="005158CD"/>
    <w:rsid w:val="005B2EC9"/>
    <w:rsid w:val="005D75EB"/>
    <w:rsid w:val="005E133C"/>
    <w:rsid w:val="006063F0"/>
    <w:rsid w:val="0060747A"/>
    <w:rsid w:val="00607A27"/>
    <w:rsid w:val="00607AE4"/>
    <w:rsid w:val="00617A09"/>
    <w:rsid w:val="0062AD87"/>
    <w:rsid w:val="00631AE4"/>
    <w:rsid w:val="00633225"/>
    <w:rsid w:val="006C49C9"/>
    <w:rsid w:val="006D5CBA"/>
    <w:rsid w:val="006F6A52"/>
    <w:rsid w:val="00710E11"/>
    <w:rsid w:val="0071216A"/>
    <w:rsid w:val="00714DF2"/>
    <w:rsid w:val="00716A27"/>
    <w:rsid w:val="0073236F"/>
    <w:rsid w:val="00734C19"/>
    <w:rsid w:val="0077155F"/>
    <w:rsid w:val="00774783"/>
    <w:rsid w:val="00782987"/>
    <w:rsid w:val="00792423"/>
    <w:rsid w:val="007B2BCF"/>
    <w:rsid w:val="007B6572"/>
    <w:rsid w:val="007B6AF7"/>
    <w:rsid w:val="007B7205"/>
    <w:rsid w:val="007E18FF"/>
    <w:rsid w:val="007F3A7B"/>
    <w:rsid w:val="00805D32"/>
    <w:rsid w:val="008160FE"/>
    <w:rsid w:val="008248BF"/>
    <w:rsid w:val="00857341"/>
    <w:rsid w:val="00880F06"/>
    <w:rsid w:val="00883BEC"/>
    <w:rsid w:val="00887372"/>
    <w:rsid w:val="00890088"/>
    <w:rsid w:val="008951CF"/>
    <w:rsid w:val="008A07FA"/>
    <w:rsid w:val="008C669D"/>
    <w:rsid w:val="008C79BA"/>
    <w:rsid w:val="008D3876"/>
    <w:rsid w:val="008D5FD8"/>
    <w:rsid w:val="00912F10"/>
    <w:rsid w:val="00986995"/>
    <w:rsid w:val="00996222"/>
    <w:rsid w:val="009A5738"/>
    <w:rsid w:val="009A64D7"/>
    <w:rsid w:val="009B3E30"/>
    <w:rsid w:val="009D06A0"/>
    <w:rsid w:val="00A0052E"/>
    <w:rsid w:val="00A07B47"/>
    <w:rsid w:val="00A2797B"/>
    <w:rsid w:val="00A92773"/>
    <w:rsid w:val="00AA5444"/>
    <w:rsid w:val="00AC1ED5"/>
    <w:rsid w:val="00AE1240"/>
    <w:rsid w:val="00AF0224"/>
    <w:rsid w:val="00B17362"/>
    <w:rsid w:val="00B319DB"/>
    <w:rsid w:val="00B6498C"/>
    <w:rsid w:val="00B80052"/>
    <w:rsid w:val="00B85CC8"/>
    <w:rsid w:val="00B92FAE"/>
    <w:rsid w:val="00BB17B9"/>
    <w:rsid w:val="00BD255D"/>
    <w:rsid w:val="00BD49BA"/>
    <w:rsid w:val="00C04D5B"/>
    <w:rsid w:val="00C23EB6"/>
    <w:rsid w:val="00C6723E"/>
    <w:rsid w:val="00C72577"/>
    <w:rsid w:val="00C82315"/>
    <w:rsid w:val="00C854AA"/>
    <w:rsid w:val="00CA0BE3"/>
    <w:rsid w:val="00CB3318"/>
    <w:rsid w:val="00CB65BF"/>
    <w:rsid w:val="00CC1D1F"/>
    <w:rsid w:val="00CC34EF"/>
    <w:rsid w:val="00CC5D14"/>
    <w:rsid w:val="00CD49BB"/>
    <w:rsid w:val="00CF5B8B"/>
    <w:rsid w:val="00D05121"/>
    <w:rsid w:val="00D17B30"/>
    <w:rsid w:val="00D30A12"/>
    <w:rsid w:val="00D42A1F"/>
    <w:rsid w:val="00D530D9"/>
    <w:rsid w:val="00D55BA8"/>
    <w:rsid w:val="00D61209"/>
    <w:rsid w:val="00D7483C"/>
    <w:rsid w:val="00D918B3"/>
    <w:rsid w:val="00D95F9F"/>
    <w:rsid w:val="00DC3210"/>
    <w:rsid w:val="00DC6958"/>
    <w:rsid w:val="00DE1E26"/>
    <w:rsid w:val="00DE7640"/>
    <w:rsid w:val="00DF02C2"/>
    <w:rsid w:val="00E02B40"/>
    <w:rsid w:val="00E11D30"/>
    <w:rsid w:val="00E43967"/>
    <w:rsid w:val="00E47490"/>
    <w:rsid w:val="00E64ED2"/>
    <w:rsid w:val="00E70AB5"/>
    <w:rsid w:val="00E818B5"/>
    <w:rsid w:val="00E940DE"/>
    <w:rsid w:val="00E97EA3"/>
    <w:rsid w:val="00EC0567"/>
    <w:rsid w:val="00EC05F0"/>
    <w:rsid w:val="00EC2C18"/>
    <w:rsid w:val="00EF2DAC"/>
    <w:rsid w:val="00F30817"/>
    <w:rsid w:val="00F35667"/>
    <w:rsid w:val="00F40EC0"/>
    <w:rsid w:val="00F47F89"/>
    <w:rsid w:val="00F503B5"/>
    <w:rsid w:val="00F52671"/>
    <w:rsid w:val="00F66CB8"/>
    <w:rsid w:val="00F7169A"/>
    <w:rsid w:val="00FC2E2B"/>
    <w:rsid w:val="00FE2683"/>
    <w:rsid w:val="00FE754A"/>
    <w:rsid w:val="0487C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DB61"/>
  <w15:docId w15:val="{BA395C61-7089-4BC2-AB10-5A24411F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59"/>
    <w:rsid w:val="00CC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1A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071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712B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712B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71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712B"/>
    <w:rPr>
      <w:b/>
      <w:bCs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1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6995"/>
    <w:pPr>
      <w:ind w:left="720"/>
      <w:contextualSpacing/>
    </w:pPr>
  </w:style>
  <w:style w:type="table" w:styleId="Sombreadomedio1-nfasis1">
    <w:name w:val="Medium Shading 1 Accent 1"/>
    <w:basedOn w:val="Tablanormal"/>
    <w:uiPriority w:val="63"/>
    <w:rsid w:val="001838E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1838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0131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D1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2C8"/>
  </w:style>
  <w:style w:type="paragraph" w:styleId="Piedepgina">
    <w:name w:val="footer"/>
    <w:basedOn w:val="Normal"/>
    <w:link w:val="PiedepginaCar"/>
    <w:uiPriority w:val="99"/>
    <w:unhideWhenUsed/>
    <w:rsid w:val="002D1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ACBE-080A-46A8-B87B-9B7B4B7B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1711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Presupuesto ciudadano (solo texto).docx</vt:lpstr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ciudadano (solo texto).docx</dc:title>
  <dc:creator>Wendy L. Rejon Barrancos</dc:creator>
  <cp:lastModifiedBy>Alvar Ricardo Cachón Diaz</cp:lastModifiedBy>
  <cp:revision>3</cp:revision>
  <cp:lastPrinted>2023-01-30T20:39:00Z</cp:lastPrinted>
  <dcterms:created xsi:type="dcterms:W3CDTF">2025-01-30T18:26:00Z</dcterms:created>
  <dcterms:modified xsi:type="dcterms:W3CDTF">2026-01-29T21:49:00Z</dcterms:modified>
</cp:coreProperties>
</file>