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6A52" w:rsidRDefault="0094148C">
      <w:pPr>
        <w:spacing w:after="0"/>
        <w:jc w:val="center"/>
      </w:pPr>
      <w:bookmarkStart w:id="0" w:name="_GoBack"/>
      <w:bookmarkEnd w:id="0"/>
      <w:r>
        <w:rPr>
          <w:b/>
        </w:rPr>
        <w:t>Presupuesto ciudadano 2018</w:t>
      </w:r>
    </w:p>
    <w:p w:rsidR="006F6A52" w:rsidRDefault="0060747A">
      <w:pPr>
        <w:spacing w:after="0"/>
        <w:jc w:val="center"/>
      </w:pPr>
      <w:r>
        <w:rPr>
          <w:b/>
        </w:rPr>
        <w:t>Información para la difusión a la ciudadanía de la ley de ingresos y del presupuesto de egresos</w:t>
      </w:r>
    </w:p>
    <w:p w:rsidR="006F6A52" w:rsidRDefault="006F6A52">
      <w:pPr>
        <w:spacing w:after="0"/>
        <w:jc w:val="center"/>
      </w:pPr>
    </w:p>
    <w:p w:rsidR="006F6A52" w:rsidRDefault="0060747A">
      <w:pPr>
        <w:spacing w:after="0"/>
        <w:jc w:val="both"/>
      </w:pPr>
      <w:r>
        <w:rPr>
          <w:u w:val="single"/>
        </w:rPr>
        <w:t>¿QUÉ ES LA LEY DE INGRESOS Y CUÁL ES SU IMPORTANCIA?</w:t>
      </w:r>
    </w:p>
    <w:p w:rsidR="006F6A52" w:rsidRDefault="0060747A">
      <w:pPr>
        <w:tabs>
          <w:tab w:val="left" w:pos="2512"/>
        </w:tabs>
        <w:spacing w:after="0"/>
        <w:jc w:val="both"/>
      </w:pPr>
      <w:r>
        <w:t>Es un documento que previa autorización del Congreso del Estado establece cuánto va a obtener de recursos en un año. Con el dinero obtenido en un año, el Gobierno del Estado proporciona bienes y servicios que necesitan las personas y familias. También sirve para financiar las acciones que den cumplimiento a los objetivos del Plan Estatal de Desarrollo.</w:t>
      </w:r>
    </w:p>
    <w:p w:rsidR="006F6A52" w:rsidRDefault="006F6A52">
      <w:pPr>
        <w:spacing w:after="0"/>
        <w:jc w:val="both"/>
      </w:pPr>
    </w:p>
    <w:p w:rsidR="006F6A52" w:rsidRDefault="0060747A">
      <w:pPr>
        <w:spacing w:after="0"/>
        <w:jc w:val="both"/>
      </w:pPr>
      <w:r>
        <w:rPr>
          <w:u w:val="single"/>
        </w:rPr>
        <w:t>¿DE DÓNDE OBTIENE EL GOBIERNO SUS INGRESOS?</w:t>
      </w:r>
    </w:p>
    <w:p w:rsidR="006F6A52" w:rsidRDefault="0060747A">
      <w:pPr>
        <w:spacing w:after="0"/>
        <w:jc w:val="both"/>
      </w:pPr>
      <w:r>
        <w:t>Una parte proviene de la recaudación directa del Estado y son los impuestos, los productos, derechos y aprovechamientos. Por ejemplo: un producto se genera por la renta de un teatro público; un derecho por el pago de un acta de nacimiento, y un aprovechamiento por el pago,</w:t>
      </w:r>
      <w:r w:rsidR="00B85CC8">
        <w:t xml:space="preserve"> </w:t>
      </w:r>
      <w:r>
        <w:t>los recargos y gastos de cobranza de quienes pagan sus contribuciones fuera de tiempo.</w:t>
      </w:r>
    </w:p>
    <w:p w:rsidR="006F6A52" w:rsidRDefault="006F6A52">
      <w:pPr>
        <w:spacing w:after="0"/>
        <w:jc w:val="both"/>
      </w:pPr>
    </w:p>
    <w:p w:rsidR="006F6A52" w:rsidRDefault="0060747A">
      <w:pPr>
        <w:spacing w:after="0"/>
        <w:jc w:val="both"/>
      </w:pPr>
      <w:r>
        <w:t xml:space="preserve">Además de recibir ingresos de manera directa, el Estado obtiene recursos, entre otros, por concepto de participaciones y aportaciones que le envía el Gobierno federal </w:t>
      </w:r>
      <w:r w:rsidR="009B1D5A">
        <w:t xml:space="preserve">y </w:t>
      </w:r>
      <w:r w:rsidR="009B1D5A" w:rsidRPr="009B1D5A">
        <w:t>convenios</w:t>
      </w:r>
      <w:r w:rsidRPr="009B1D5A">
        <w:t xml:space="preserve"> para la ejecución de programas, obras de infraestructura u otros fines.</w:t>
      </w:r>
    </w:p>
    <w:p w:rsidR="006F6A52" w:rsidRDefault="006F6A52">
      <w:pPr>
        <w:spacing w:after="0"/>
        <w:jc w:val="both"/>
      </w:pPr>
    </w:p>
    <w:p w:rsidR="006F6A52" w:rsidRDefault="0060747A">
      <w:pPr>
        <w:spacing w:after="0"/>
        <w:jc w:val="both"/>
      </w:pPr>
      <w:r>
        <w:t>Cuadro 1. Ingresos. Origen de los ingresos.</w:t>
      </w:r>
    </w:p>
    <w:p w:rsidR="006F6A52" w:rsidRDefault="006F6A52">
      <w:pPr>
        <w:spacing w:after="0"/>
        <w:jc w:val="both"/>
      </w:pPr>
    </w:p>
    <w:tbl>
      <w:tblPr>
        <w:tblW w:w="5000" w:type="pct"/>
        <w:tblCellMar>
          <w:left w:w="70" w:type="dxa"/>
          <w:right w:w="70" w:type="dxa"/>
        </w:tblCellMar>
        <w:tblLook w:val="04A0" w:firstRow="1" w:lastRow="0" w:firstColumn="1" w:lastColumn="0" w:noHBand="0" w:noVBand="1"/>
      </w:tblPr>
      <w:tblGrid>
        <w:gridCol w:w="4706"/>
        <w:gridCol w:w="2656"/>
        <w:gridCol w:w="1616"/>
      </w:tblGrid>
      <w:tr w:rsidR="008A07FA" w:rsidRPr="008A07FA" w:rsidTr="004459C1">
        <w:trPr>
          <w:trHeight w:val="315"/>
        </w:trPr>
        <w:tc>
          <w:tcPr>
            <w:tcW w:w="2621" w:type="pct"/>
            <w:tcBorders>
              <w:top w:val="nil"/>
              <w:left w:val="nil"/>
              <w:bottom w:val="single" w:sz="12" w:space="0" w:color="FFFFFF"/>
              <w:right w:val="single" w:sz="8" w:space="0" w:color="FFFFFF"/>
            </w:tcBorders>
            <w:shd w:val="clear" w:color="auto" w:fill="9BBB59" w:themeFill="accent3"/>
            <w:vAlign w:val="center"/>
            <w:hideMark/>
          </w:tcPr>
          <w:p w:rsidR="004571CD" w:rsidRPr="008A07FA" w:rsidRDefault="004571CD" w:rsidP="004571CD">
            <w:pPr>
              <w:spacing w:after="0" w:line="240" w:lineRule="auto"/>
              <w:jc w:val="center"/>
              <w:rPr>
                <w:rFonts w:eastAsia="Times New Roman" w:cs="Times New Roman"/>
                <w:b/>
                <w:bCs/>
                <w:color w:val="auto"/>
                <w:szCs w:val="22"/>
              </w:rPr>
            </w:pPr>
            <w:r w:rsidRPr="008A07FA">
              <w:rPr>
                <w:rFonts w:eastAsia="Times New Roman" w:cs="Times New Roman"/>
                <w:b/>
                <w:bCs/>
                <w:color w:val="auto"/>
                <w:szCs w:val="22"/>
              </w:rPr>
              <w:t>Concepto</w:t>
            </w:r>
          </w:p>
        </w:tc>
        <w:tc>
          <w:tcPr>
            <w:tcW w:w="1479" w:type="pct"/>
            <w:tcBorders>
              <w:top w:val="nil"/>
              <w:left w:val="nil"/>
              <w:bottom w:val="single" w:sz="12" w:space="0" w:color="FFFFFF"/>
              <w:right w:val="single" w:sz="8" w:space="0" w:color="FFFFFF"/>
            </w:tcBorders>
            <w:shd w:val="clear" w:color="auto" w:fill="9BBB59" w:themeFill="accent3"/>
            <w:vAlign w:val="center"/>
            <w:hideMark/>
          </w:tcPr>
          <w:p w:rsidR="004571CD" w:rsidRPr="008A07FA" w:rsidRDefault="004571CD" w:rsidP="004571CD">
            <w:pPr>
              <w:spacing w:after="0" w:line="240" w:lineRule="auto"/>
              <w:jc w:val="center"/>
              <w:rPr>
                <w:rFonts w:eastAsia="Times New Roman" w:cs="Times New Roman"/>
                <w:b/>
                <w:bCs/>
                <w:color w:val="auto"/>
                <w:szCs w:val="22"/>
              </w:rPr>
            </w:pPr>
            <w:r w:rsidRPr="008A07FA">
              <w:rPr>
                <w:rFonts w:eastAsia="Times New Roman" w:cs="Times New Roman"/>
                <w:b/>
                <w:bCs/>
                <w:color w:val="auto"/>
                <w:szCs w:val="22"/>
              </w:rPr>
              <w:t>Monto</w:t>
            </w:r>
          </w:p>
        </w:tc>
        <w:tc>
          <w:tcPr>
            <w:tcW w:w="900" w:type="pct"/>
            <w:tcBorders>
              <w:top w:val="nil"/>
              <w:left w:val="nil"/>
              <w:bottom w:val="single" w:sz="12" w:space="0" w:color="FFFFFF"/>
              <w:right w:val="nil"/>
            </w:tcBorders>
            <w:shd w:val="clear" w:color="auto" w:fill="9BBB59" w:themeFill="accent3"/>
            <w:vAlign w:val="center"/>
            <w:hideMark/>
          </w:tcPr>
          <w:p w:rsidR="004571CD" w:rsidRPr="008A07FA" w:rsidRDefault="004571CD" w:rsidP="004571CD">
            <w:pPr>
              <w:spacing w:after="0" w:line="240" w:lineRule="auto"/>
              <w:jc w:val="center"/>
              <w:rPr>
                <w:rFonts w:eastAsia="Times New Roman" w:cs="Times New Roman"/>
                <w:b/>
                <w:bCs/>
                <w:color w:val="auto"/>
                <w:szCs w:val="22"/>
              </w:rPr>
            </w:pPr>
            <w:r w:rsidRPr="008A07FA">
              <w:rPr>
                <w:rFonts w:eastAsia="Times New Roman" w:cs="Times New Roman"/>
                <w:b/>
                <w:bCs/>
                <w:color w:val="auto"/>
                <w:szCs w:val="22"/>
              </w:rPr>
              <w:t>Porcentaje</w:t>
            </w:r>
          </w:p>
        </w:tc>
      </w:tr>
      <w:tr w:rsidR="009B1D5A" w:rsidRPr="004571CD" w:rsidTr="00A00FC2">
        <w:trPr>
          <w:trHeight w:val="330"/>
        </w:trPr>
        <w:tc>
          <w:tcPr>
            <w:tcW w:w="2621" w:type="pct"/>
            <w:tcBorders>
              <w:top w:val="nil"/>
              <w:left w:val="nil"/>
              <w:bottom w:val="single" w:sz="8" w:space="0" w:color="FFFFFF"/>
              <w:right w:val="single" w:sz="8" w:space="0" w:color="FFFFFF"/>
            </w:tcBorders>
            <w:shd w:val="clear" w:color="000000" w:fill="D8E4BC"/>
            <w:vAlign w:val="center"/>
            <w:hideMark/>
          </w:tcPr>
          <w:p w:rsidR="009B1D5A" w:rsidRPr="004571CD" w:rsidRDefault="009B1D5A" w:rsidP="004571CD">
            <w:pPr>
              <w:spacing w:after="0" w:line="240" w:lineRule="auto"/>
              <w:jc w:val="both"/>
              <w:rPr>
                <w:rFonts w:eastAsia="Times New Roman" w:cs="Times New Roman"/>
                <w:szCs w:val="22"/>
              </w:rPr>
            </w:pPr>
            <w:r w:rsidRPr="004571CD">
              <w:rPr>
                <w:rFonts w:eastAsia="Times New Roman" w:cs="Times New Roman"/>
                <w:szCs w:val="22"/>
              </w:rPr>
              <w:t xml:space="preserve"> Impuestos</w:t>
            </w:r>
          </w:p>
        </w:tc>
        <w:tc>
          <w:tcPr>
            <w:tcW w:w="1479" w:type="pct"/>
            <w:tcBorders>
              <w:top w:val="nil"/>
              <w:left w:val="nil"/>
              <w:bottom w:val="single" w:sz="8" w:space="0" w:color="FFFFFF"/>
              <w:right w:val="single" w:sz="8" w:space="0" w:color="FFFFFF"/>
            </w:tcBorders>
            <w:shd w:val="clear" w:color="000000" w:fill="D8E4BC"/>
            <w:vAlign w:val="center"/>
            <w:hideMark/>
          </w:tcPr>
          <w:p w:rsidR="009B1D5A" w:rsidRPr="009B1D5A" w:rsidRDefault="009B1D5A" w:rsidP="00985956">
            <w:pPr>
              <w:spacing w:after="0" w:line="240" w:lineRule="auto"/>
              <w:jc w:val="right"/>
              <w:rPr>
                <w:rFonts w:eastAsia="Times New Roman" w:cs="Times New Roman"/>
                <w:color w:val="000000" w:themeColor="text1"/>
                <w:szCs w:val="22"/>
              </w:rPr>
            </w:pPr>
            <w:r w:rsidRPr="009B1D5A">
              <w:rPr>
                <w:rFonts w:eastAsia="Times New Roman" w:cs="Times New Roman"/>
                <w:color w:val="000000" w:themeColor="text1"/>
                <w:szCs w:val="22"/>
              </w:rPr>
              <w:t>1,891,007,550</w:t>
            </w:r>
          </w:p>
        </w:tc>
        <w:tc>
          <w:tcPr>
            <w:tcW w:w="900" w:type="pct"/>
            <w:tcBorders>
              <w:top w:val="nil"/>
              <w:left w:val="nil"/>
              <w:bottom w:val="single" w:sz="8" w:space="0" w:color="FFFFFF"/>
              <w:right w:val="nil"/>
            </w:tcBorders>
            <w:shd w:val="clear" w:color="000000" w:fill="D8E4BC"/>
            <w:vAlign w:val="bottom"/>
          </w:tcPr>
          <w:p w:rsidR="009B1D5A" w:rsidRPr="009B1D5A" w:rsidRDefault="009B1D5A">
            <w:pPr>
              <w:jc w:val="right"/>
              <w:rPr>
                <w:color w:val="000000" w:themeColor="text1"/>
                <w:szCs w:val="22"/>
              </w:rPr>
            </w:pPr>
            <w:r w:rsidRPr="009B1D5A">
              <w:rPr>
                <w:color w:val="000000" w:themeColor="text1"/>
                <w:szCs w:val="22"/>
              </w:rPr>
              <w:t>4.63</w:t>
            </w:r>
            <w:r w:rsidR="00E6135A">
              <w:rPr>
                <w:color w:val="000000" w:themeColor="text1"/>
                <w:szCs w:val="22"/>
              </w:rPr>
              <w:t>%</w:t>
            </w:r>
          </w:p>
        </w:tc>
      </w:tr>
      <w:tr w:rsidR="009B1D5A" w:rsidRPr="004571CD" w:rsidTr="00A00FC2">
        <w:trPr>
          <w:trHeight w:val="315"/>
        </w:trPr>
        <w:tc>
          <w:tcPr>
            <w:tcW w:w="2621" w:type="pct"/>
            <w:tcBorders>
              <w:top w:val="nil"/>
              <w:left w:val="nil"/>
              <w:bottom w:val="single" w:sz="8" w:space="0" w:color="FFFFFF"/>
              <w:right w:val="single" w:sz="8" w:space="0" w:color="FFFFFF"/>
            </w:tcBorders>
            <w:shd w:val="clear" w:color="000000" w:fill="EBF1DE"/>
            <w:vAlign w:val="center"/>
            <w:hideMark/>
          </w:tcPr>
          <w:p w:rsidR="009B1D5A" w:rsidRPr="004571CD" w:rsidRDefault="009B1D5A" w:rsidP="004571CD">
            <w:pPr>
              <w:spacing w:after="0" w:line="240" w:lineRule="auto"/>
              <w:jc w:val="both"/>
              <w:rPr>
                <w:rFonts w:eastAsia="Times New Roman" w:cs="Times New Roman"/>
                <w:szCs w:val="22"/>
              </w:rPr>
            </w:pPr>
            <w:r w:rsidRPr="004571CD">
              <w:rPr>
                <w:rFonts w:eastAsia="Times New Roman" w:cs="Times New Roman"/>
                <w:szCs w:val="22"/>
              </w:rPr>
              <w:t xml:space="preserve"> Cuotas y aportaciones de seguridad social</w:t>
            </w:r>
          </w:p>
        </w:tc>
        <w:tc>
          <w:tcPr>
            <w:tcW w:w="1479" w:type="pct"/>
            <w:tcBorders>
              <w:top w:val="nil"/>
              <w:left w:val="nil"/>
              <w:bottom w:val="single" w:sz="8" w:space="0" w:color="FFFFFF"/>
              <w:right w:val="single" w:sz="8" w:space="0" w:color="FFFFFF"/>
            </w:tcBorders>
            <w:shd w:val="clear" w:color="000000" w:fill="EBF1DE"/>
            <w:vAlign w:val="center"/>
            <w:hideMark/>
          </w:tcPr>
          <w:p w:rsidR="009B1D5A" w:rsidRPr="009B1D5A" w:rsidRDefault="009B1D5A" w:rsidP="004571CD">
            <w:pPr>
              <w:spacing w:after="0" w:line="240" w:lineRule="auto"/>
              <w:jc w:val="center"/>
              <w:rPr>
                <w:rFonts w:eastAsia="Times New Roman" w:cs="Times New Roman"/>
                <w:color w:val="000000" w:themeColor="text1"/>
                <w:szCs w:val="22"/>
              </w:rPr>
            </w:pPr>
            <w:r w:rsidRPr="009B1D5A">
              <w:rPr>
                <w:rFonts w:eastAsia="Times New Roman" w:cs="Times New Roman"/>
                <w:color w:val="000000" w:themeColor="text1"/>
                <w:szCs w:val="22"/>
              </w:rPr>
              <w:t>-</w:t>
            </w:r>
          </w:p>
        </w:tc>
        <w:tc>
          <w:tcPr>
            <w:tcW w:w="900" w:type="pct"/>
            <w:tcBorders>
              <w:top w:val="nil"/>
              <w:left w:val="nil"/>
              <w:bottom w:val="single" w:sz="8" w:space="0" w:color="FFFFFF"/>
              <w:right w:val="single" w:sz="8" w:space="0" w:color="FFFFFF"/>
            </w:tcBorders>
            <w:shd w:val="clear" w:color="000000" w:fill="EBF1DE"/>
            <w:vAlign w:val="bottom"/>
          </w:tcPr>
          <w:p w:rsidR="009B1D5A" w:rsidRPr="009B1D5A" w:rsidRDefault="009B1D5A">
            <w:pPr>
              <w:jc w:val="center"/>
              <w:rPr>
                <w:color w:val="000000" w:themeColor="text1"/>
                <w:szCs w:val="22"/>
              </w:rPr>
            </w:pPr>
          </w:p>
        </w:tc>
      </w:tr>
      <w:tr w:rsidR="009B1D5A" w:rsidRPr="004571CD" w:rsidTr="00A00FC2">
        <w:trPr>
          <w:trHeight w:val="315"/>
        </w:trPr>
        <w:tc>
          <w:tcPr>
            <w:tcW w:w="2621" w:type="pct"/>
            <w:tcBorders>
              <w:top w:val="nil"/>
              <w:left w:val="nil"/>
              <w:bottom w:val="single" w:sz="8" w:space="0" w:color="FFFFFF"/>
              <w:right w:val="single" w:sz="8" w:space="0" w:color="FFFFFF"/>
            </w:tcBorders>
            <w:shd w:val="clear" w:color="000000" w:fill="D8E4BC"/>
            <w:vAlign w:val="center"/>
            <w:hideMark/>
          </w:tcPr>
          <w:p w:rsidR="009B1D5A" w:rsidRPr="004571CD" w:rsidRDefault="009B1D5A" w:rsidP="004571CD">
            <w:pPr>
              <w:spacing w:after="0" w:line="240" w:lineRule="auto"/>
              <w:jc w:val="both"/>
              <w:rPr>
                <w:rFonts w:eastAsia="Times New Roman" w:cs="Times New Roman"/>
                <w:szCs w:val="22"/>
              </w:rPr>
            </w:pPr>
            <w:r w:rsidRPr="004571CD">
              <w:rPr>
                <w:rFonts w:eastAsia="Times New Roman" w:cs="Times New Roman"/>
                <w:szCs w:val="22"/>
              </w:rPr>
              <w:t xml:space="preserve"> Contribuciones de mejoras</w:t>
            </w:r>
          </w:p>
        </w:tc>
        <w:tc>
          <w:tcPr>
            <w:tcW w:w="1479" w:type="pct"/>
            <w:tcBorders>
              <w:top w:val="nil"/>
              <w:left w:val="nil"/>
              <w:bottom w:val="single" w:sz="8" w:space="0" w:color="FFFFFF"/>
              <w:right w:val="single" w:sz="8" w:space="0" w:color="FFFFFF"/>
            </w:tcBorders>
            <w:shd w:val="clear" w:color="000000" w:fill="D8E4BC"/>
            <w:vAlign w:val="center"/>
            <w:hideMark/>
          </w:tcPr>
          <w:p w:rsidR="009B1D5A" w:rsidRPr="009B1D5A" w:rsidRDefault="009B1D5A" w:rsidP="004571CD">
            <w:pPr>
              <w:spacing w:after="0" w:line="240" w:lineRule="auto"/>
              <w:jc w:val="center"/>
              <w:rPr>
                <w:rFonts w:eastAsia="Times New Roman" w:cs="Times New Roman"/>
                <w:color w:val="000000" w:themeColor="text1"/>
                <w:szCs w:val="22"/>
              </w:rPr>
            </w:pPr>
            <w:r w:rsidRPr="009B1D5A">
              <w:rPr>
                <w:rFonts w:eastAsia="Times New Roman" w:cs="Times New Roman"/>
                <w:color w:val="000000" w:themeColor="text1"/>
                <w:szCs w:val="22"/>
              </w:rPr>
              <w:t>-</w:t>
            </w:r>
          </w:p>
        </w:tc>
        <w:tc>
          <w:tcPr>
            <w:tcW w:w="900" w:type="pct"/>
            <w:tcBorders>
              <w:top w:val="nil"/>
              <w:left w:val="nil"/>
              <w:bottom w:val="single" w:sz="8" w:space="0" w:color="FFFFFF"/>
              <w:right w:val="single" w:sz="8" w:space="0" w:color="FFFFFF"/>
            </w:tcBorders>
            <w:shd w:val="clear" w:color="000000" w:fill="D8E4BC"/>
            <w:vAlign w:val="bottom"/>
          </w:tcPr>
          <w:p w:rsidR="009B1D5A" w:rsidRPr="009B1D5A" w:rsidRDefault="009B1D5A">
            <w:pPr>
              <w:jc w:val="center"/>
              <w:rPr>
                <w:color w:val="000000" w:themeColor="text1"/>
                <w:szCs w:val="22"/>
              </w:rPr>
            </w:pPr>
          </w:p>
        </w:tc>
      </w:tr>
      <w:tr w:rsidR="009B1D5A" w:rsidRPr="004571CD" w:rsidTr="00A00FC2">
        <w:trPr>
          <w:trHeight w:val="315"/>
        </w:trPr>
        <w:tc>
          <w:tcPr>
            <w:tcW w:w="2621" w:type="pct"/>
            <w:tcBorders>
              <w:top w:val="nil"/>
              <w:left w:val="nil"/>
              <w:bottom w:val="single" w:sz="8" w:space="0" w:color="FFFFFF"/>
              <w:right w:val="single" w:sz="8" w:space="0" w:color="FFFFFF"/>
            </w:tcBorders>
            <w:shd w:val="clear" w:color="auto" w:fill="EAF1DD" w:themeFill="accent3" w:themeFillTint="33"/>
            <w:vAlign w:val="center"/>
            <w:hideMark/>
          </w:tcPr>
          <w:p w:rsidR="009B1D5A" w:rsidRPr="004571CD" w:rsidRDefault="009B1D5A" w:rsidP="004571CD">
            <w:pPr>
              <w:spacing w:after="0" w:line="240" w:lineRule="auto"/>
              <w:jc w:val="both"/>
              <w:rPr>
                <w:rFonts w:eastAsia="Times New Roman" w:cs="Times New Roman"/>
                <w:szCs w:val="22"/>
              </w:rPr>
            </w:pPr>
            <w:r w:rsidRPr="004571CD">
              <w:rPr>
                <w:rFonts w:eastAsia="Times New Roman" w:cs="Times New Roman"/>
                <w:szCs w:val="22"/>
              </w:rPr>
              <w:t xml:space="preserve"> Derechos</w:t>
            </w:r>
          </w:p>
        </w:tc>
        <w:tc>
          <w:tcPr>
            <w:tcW w:w="1479" w:type="pct"/>
            <w:tcBorders>
              <w:top w:val="nil"/>
              <w:left w:val="nil"/>
              <w:bottom w:val="single" w:sz="8" w:space="0" w:color="FFFFFF"/>
              <w:right w:val="single" w:sz="8" w:space="0" w:color="FFFFFF"/>
            </w:tcBorders>
            <w:shd w:val="clear" w:color="auto" w:fill="EAF1DD" w:themeFill="accent3" w:themeFillTint="33"/>
            <w:vAlign w:val="center"/>
          </w:tcPr>
          <w:p w:rsidR="009B1D5A" w:rsidRPr="009B1D5A" w:rsidRDefault="009B1D5A" w:rsidP="00985956">
            <w:pPr>
              <w:spacing w:after="0" w:line="240" w:lineRule="auto"/>
              <w:jc w:val="right"/>
              <w:rPr>
                <w:rFonts w:eastAsia="Times New Roman" w:cs="Times New Roman"/>
                <w:color w:val="000000" w:themeColor="text1"/>
                <w:szCs w:val="22"/>
              </w:rPr>
            </w:pPr>
            <w:r w:rsidRPr="009B1D5A">
              <w:rPr>
                <w:rFonts w:eastAsia="Times New Roman" w:cs="Times New Roman"/>
                <w:color w:val="000000" w:themeColor="text1"/>
                <w:szCs w:val="22"/>
              </w:rPr>
              <w:t>913,790,281</w:t>
            </w:r>
          </w:p>
        </w:tc>
        <w:tc>
          <w:tcPr>
            <w:tcW w:w="900" w:type="pct"/>
            <w:tcBorders>
              <w:top w:val="nil"/>
              <w:left w:val="nil"/>
              <w:bottom w:val="single" w:sz="8" w:space="0" w:color="FFFFFF"/>
              <w:right w:val="nil"/>
            </w:tcBorders>
            <w:shd w:val="clear" w:color="auto" w:fill="EAF1DD" w:themeFill="accent3" w:themeFillTint="33"/>
            <w:vAlign w:val="bottom"/>
          </w:tcPr>
          <w:p w:rsidR="009B1D5A" w:rsidRPr="009B1D5A" w:rsidRDefault="009B1D5A">
            <w:pPr>
              <w:jc w:val="right"/>
              <w:rPr>
                <w:color w:val="000000" w:themeColor="text1"/>
                <w:szCs w:val="22"/>
              </w:rPr>
            </w:pPr>
            <w:r w:rsidRPr="009B1D5A">
              <w:rPr>
                <w:color w:val="000000" w:themeColor="text1"/>
                <w:szCs w:val="22"/>
              </w:rPr>
              <w:t>2.24</w:t>
            </w:r>
            <w:r w:rsidR="00E6135A">
              <w:rPr>
                <w:color w:val="000000" w:themeColor="text1"/>
                <w:szCs w:val="22"/>
              </w:rPr>
              <w:t>%</w:t>
            </w:r>
          </w:p>
        </w:tc>
      </w:tr>
      <w:tr w:rsidR="009B1D5A" w:rsidRPr="004571CD" w:rsidTr="00A00FC2">
        <w:trPr>
          <w:trHeight w:val="315"/>
        </w:trPr>
        <w:tc>
          <w:tcPr>
            <w:tcW w:w="2621" w:type="pct"/>
            <w:tcBorders>
              <w:top w:val="nil"/>
              <w:left w:val="nil"/>
              <w:bottom w:val="single" w:sz="8" w:space="0" w:color="FFFFFF"/>
              <w:right w:val="single" w:sz="8" w:space="0" w:color="FFFFFF"/>
            </w:tcBorders>
            <w:shd w:val="clear" w:color="000000" w:fill="D8E4BC"/>
            <w:vAlign w:val="center"/>
            <w:hideMark/>
          </w:tcPr>
          <w:p w:rsidR="009B1D5A" w:rsidRPr="004571CD" w:rsidRDefault="009B1D5A" w:rsidP="004571CD">
            <w:pPr>
              <w:spacing w:after="0" w:line="240" w:lineRule="auto"/>
              <w:jc w:val="both"/>
              <w:rPr>
                <w:rFonts w:eastAsia="Times New Roman" w:cs="Times New Roman"/>
                <w:szCs w:val="22"/>
              </w:rPr>
            </w:pPr>
            <w:r w:rsidRPr="004571CD">
              <w:rPr>
                <w:rFonts w:eastAsia="Times New Roman" w:cs="Times New Roman"/>
                <w:szCs w:val="22"/>
              </w:rPr>
              <w:t xml:space="preserve"> Productos</w:t>
            </w:r>
          </w:p>
        </w:tc>
        <w:tc>
          <w:tcPr>
            <w:tcW w:w="1479" w:type="pct"/>
            <w:tcBorders>
              <w:top w:val="nil"/>
              <w:left w:val="nil"/>
              <w:bottom w:val="single" w:sz="8" w:space="0" w:color="FFFFFF"/>
              <w:right w:val="single" w:sz="8" w:space="0" w:color="FFFFFF"/>
            </w:tcBorders>
            <w:shd w:val="clear" w:color="000000" w:fill="D8E4BC"/>
            <w:vAlign w:val="center"/>
          </w:tcPr>
          <w:p w:rsidR="009B1D5A" w:rsidRPr="009B1D5A" w:rsidRDefault="009B1D5A" w:rsidP="00985956">
            <w:pPr>
              <w:spacing w:after="0" w:line="240" w:lineRule="auto"/>
              <w:jc w:val="right"/>
              <w:rPr>
                <w:rFonts w:eastAsia="Times New Roman" w:cs="Times New Roman"/>
                <w:color w:val="000000" w:themeColor="text1"/>
                <w:szCs w:val="22"/>
              </w:rPr>
            </w:pPr>
            <w:r w:rsidRPr="009B1D5A">
              <w:rPr>
                <w:rFonts w:eastAsia="Times New Roman" w:cs="Times New Roman"/>
                <w:color w:val="000000" w:themeColor="text1"/>
                <w:szCs w:val="22"/>
              </w:rPr>
              <w:t>220,356,771</w:t>
            </w:r>
          </w:p>
        </w:tc>
        <w:tc>
          <w:tcPr>
            <w:tcW w:w="900" w:type="pct"/>
            <w:tcBorders>
              <w:top w:val="nil"/>
              <w:left w:val="nil"/>
              <w:bottom w:val="single" w:sz="8" w:space="0" w:color="FFFFFF"/>
              <w:right w:val="nil"/>
            </w:tcBorders>
            <w:shd w:val="clear" w:color="000000" w:fill="D8E4BC"/>
            <w:vAlign w:val="bottom"/>
          </w:tcPr>
          <w:p w:rsidR="009B1D5A" w:rsidRPr="009B1D5A" w:rsidRDefault="009B1D5A">
            <w:pPr>
              <w:jc w:val="right"/>
              <w:rPr>
                <w:color w:val="000000" w:themeColor="text1"/>
                <w:szCs w:val="22"/>
              </w:rPr>
            </w:pPr>
            <w:r w:rsidRPr="009B1D5A">
              <w:rPr>
                <w:color w:val="000000" w:themeColor="text1"/>
                <w:szCs w:val="22"/>
              </w:rPr>
              <w:t>0.54</w:t>
            </w:r>
            <w:r w:rsidR="00E6135A">
              <w:rPr>
                <w:color w:val="000000" w:themeColor="text1"/>
                <w:szCs w:val="22"/>
              </w:rPr>
              <w:t>%</w:t>
            </w:r>
          </w:p>
        </w:tc>
      </w:tr>
      <w:tr w:rsidR="009B1D5A" w:rsidRPr="004571CD" w:rsidTr="00A00FC2">
        <w:trPr>
          <w:trHeight w:val="315"/>
        </w:trPr>
        <w:tc>
          <w:tcPr>
            <w:tcW w:w="2621" w:type="pct"/>
            <w:tcBorders>
              <w:top w:val="nil"/>
              <w:left w:val="nil"/>
              <w:bottom w:val="single" w:sz="8" w:space="0" w:color="FFFFFF"/>
              <w:right w:val="single" w:sz="8" w:space="0" w:color="FFFFFF"/>
            </w:tcBorders>
            <w:shd w:val="clear" w:color="auto" w:fill="EAF1DD" w:themeFill="accent3" w:themeFillTint="33"/>
            <w:vAlign w:val="center"/>
            <w:hideMark/>
          </w:tcPr>
          <w:p w:rsidR="009B1D5A" w:rsidRPr="004571CD" w:rsidRDefault="009B1D5A" w:rsidP="004571CD">
            <w:pPr>
              <w:spacing w:after="0" w:line="240" w:lineRule="auto"/>
              <w:jc w:val="both"/>
              <w:rPr>
                <w:rFonts w:eastAsia="Times New Roman" w:cs="Times New Roman"/>
                <w:szCs w:val="22"/>
              </w:rPr>
            </w:pPr>
            <w:r w:rsidRPr="004571CD">
              <w:rPr>
                <w:rFonts w:eastAsia="Times New Roman" w:cs="Times New Roman"/>
                <w:szCs w:val="22"/>
              </w:rPr>
              <w:t xml:space="preserve"> Aprovechamientos</w:t>
            </w:r>
          </w:p>
        </w:tc>
        <w:tc>
          <w:tcPr>
            <w:tcW w:w="1479" w:type="pct"/>
            <w:tcBorders>
              <w:top w:val="nil"/>
              <w:left w:val="nil"/>
              <w:bottom w:val="single" w:sz="8" w:space="0" w:color="FFFFFF"/>
              <w:right w:val="single" w:sz="8" w:space="0" w:color="FFFFFF"/>
            </w:tcBorders>
            <w:shd w:val="clear" w:color="auto" w:fill="EAF1DD" w:themeFill="accent3" w:themeFillTint="33"/>
            <w:vAlign w:val="center"/>
          </w:tcPr>
          <w:p w:rsidR="009B1D5A" w:rsidRPr="009B1D5A" w:rsidRDefault="009B1D5A" w:rsidP="00985956">
            <w:pPr>
              <w:spacing w:after="0" w:line="240" w:lineRule="auto"/>
              <w:jc w:val="right"/>
              <w:rPr>
                <w:rFonts w:eastAsia="Times New Roman" w:cs="Times New Roman"/>
                <w:color w:val="000000" w:themeColor="text1"/>
                <w:szCs w:val="22"/>
              </w:rPr>
            </w:pPr>
            <w:r w:rsidRPr="009B1D5A">
              <w:rPr>
                <w:rFonts w:eastAsia="Times New Roman" w:cs="Times New Roman"/>
                <w:color w:val="000000" w:themeColor="text1"/>
                <w:szCs w:val="22"/>
              </w:rPr>
              <w:t>845,620,982</w:t>
            </w:r>
          </w:p>
        </w:tc>
        <w:tc>
          <w:tcPr>
            <w:tcW w:w="900" w:type="pct"/>
            <w:tcBorders>
              <w:top w:val="nil"/>
              <w:left w:val="nil"/>
              <w:bottom w:val="single" w:sz="8" w:space="0" w:color="FFFFFF"/>
              <w:right w:val="nil"/>
            </w:tcBorders>
            <w:shd w:val="clear" w:color="auto" w:fill="EAF1DD" w:themeFill="accent3" w:themeFillTint="33"/>
            <w:vAlign w:val="bottom"/>
          </w:tcPr>
          <w:p w:rsidR="009B1D5A" w:rsidRPr="009B1D5A" w:rsidRDefault="009B1D5A">
            <w:pPr>
              <w:jc w:val="right"/>
              <w:rPr>
                <w:color w:val="000000" w:themeColor="text1"/>
                <w:szCs w:val="22"/>
              </w:rPr>
            </w:pPr>
            <w:r w:rsidRPr="009B1D5A">
              <w:rPr>
                <w:color w:val="000000" w:themeColor="text1"/>
                <w:szCs w:val="22"/>
              </w:rPr>
              <w:t>2.07</w:t>
            </w:r>
            <w:r w:rsidR="00E6135A">
              <w:rPr>
                <w:color w:val="000000" w:themeColor="text1"/>
                <w:szCs w:val="22"/>
              </w:rPr>
              <w:t>%</w:t>
            </w:r>
          </w:p>
        </w:tc>
      </w:tr>
      <w:tr w:rsidR="009B1D5A" w:rsidRPr="004571CD" w:rsidTr="00A00FC2">
        <w:trPr>
          <w:trHeight w:val="315"/>
        </w:trPr>
        <w:tc>
          <w:tcPr>
            <w:tcW w:w="2621" w:type="pct"/>
            <w:tcBorders>
              <w:top w:val="nil"/>
              <w:left w:val="nil"/>
              <w:bottom w:val="single" w:sz="8" w:space="0" w:color="FFFFFF"/>
              <w:right w:val="single" w:sz="8" w:space="0" w:color="FFFFFF"/>
            </w:tcBorders>
            <w:shd w:val="clear" w:color="000000" w:fill="D8E4BC"/>
            <w:vAlign w:val="center"/>
            <w:hideMark/>
          </w:tcPr>
          <w:p w:rsidR="009B1D5A" w:rsidRPr="004571CD" w:rsidRDefault="009B1D5A" w:rsidP="004571CD">
            <w:pPr>
              <w:spacing w:after="0" w:line="240" w:lineRule="auto"/>
              <w:jc w:val="both"/>
              <w:rPr>
                <w:rFonts w:eastAsia="Times New Roman" w:cs="Times New Roman"/>
                <w:szCs w:val="22"/>
              </w:rPr>
            </w:pPr>
            <w:r w:rsidRPr="004571CD">
              <w:rPr>
                <w:rFonts w:eastAsia="Times New Roman" w:cs="Times New Roman"/>
                <w:szCs w:val="22"/>
              </w:rPr>
              <w:t xml:space="preserve"> Por venta de bienes y servicios</w:t>
            </w:r>
          </w:p>
        </w:tc>
        <w:tc>
          <w:tcPr>
            <w:tcW w:w="1479" w:type="pct"/>
            <w:tcBorders>
              <w:top w:val="nil"/>
              <w:left w:val="nil"/>
              <w:bottom w:val="single" w:sz="8" w:space="0" w:color="FFFFFF"/>
              <w:right w:val="single" w:sz="8" w:space="0" w:color="FFFFFF"/>
            </w:tcBorders>
            <w:shd w:val="clear" w:color="000000" w:fill="D8E4BC"/>
            <w:vAlign w:val="center"/>
          </w:tcPr>
          <w:p w:rsidR="009B1D5A" w:rsidRPr="009B1D5A" w:rsidRDefault="009B1D5A" w:rsidP="0010050A">
            <w:pPr>
              <w:spacing w:after="0" w:line="240" w:lineRule="auto"/>
              <w:jc w:val="right"/>
              <w:rPr>
                <w:rFonts w:eastAsia="Times New Roman" w:cs="Times New Roman"/>
                <w:color w:val="000000" w:themeColor="text1"/>
                <w:szCs w:val="22"/>
              </w:rPr>
            </w:pPr>
            <w:r w:rsidRPr="009B1D5A">
              <w:rPr>
                <w:rFonts w:eastAsia="Times New Roman" w:cs="Times New Roman"/>
                <w:color w:val="000000" w:themeColor="text1"/>
                <w:szCs w:val="22"/>
              </w:rPr>
              <w:t>3,126,559,657</w:t>
            </w:r>
          </w:p>
        </w:tc>
        <w:tc>
          <w:tcPr>
            <w:tcW w:w="900" w:type="pct"/>
            <w:tcBorders>
              <w:top w:val="nil"/>
              <w:left w:val="nil"/>
              <w:bottom w:val="single" w:sz="8" w:space="0" w:color="FFFFFF"/>
              <w:right w:val="nil"/>
            </w:tcBorders>
            <w:shd w:val="clear" w:color="000000" w:fill="D8E4BC"/>
            <w:vAlign w:val="bottom"/>
          </w:tcPr>
          <w:p w:rsidR="009B1D5A" w:rsidRPr="009B1D5A" w:rsidRDefault="009B1D5A">
            <w:pPr>
              <w:jc w:val="right"/>
              <w:rPr>
                <w:color w:val="000000" w:themeColor="text1"/>
                <w:szCs w:val="22"/>
              </w:rPr>
            </w:pPr>
            <w:r w:rsidRPr="009B1D5A">
              <w:rPr>
                <w:color w:val="000000" w:themeColor="text1"/>
                <w:szCs w:val="22"/>
              </w:rPr>
              <w:t>7.66</w:t>
            </w:r>
            <w:r w:rsidR="00E6135A">
              <w:rPr>
                <w:color w:val="000000" w:themeColor="text1"/>
                <w:szCs w:val="22"/>
              </w:rPr>
              <w:t>%</w:t>
            </w:r>
          </w:p>
        </w:tc>
      </w:tr>
      <w:tr w:rsidR="009B1D5A" w:rsidRPr="004571CD" w:rsidTr="00A00FC2">
        <w:trPr>
          <w:trHeight w:val="315"/>
        </w:trPr>
        <w:tc>
          <w:tcPr>
            <w:tcW w:w="2621" w:type="pct"/>
            <w:tcBorders>
              <w:top w:val="nil"/>
              <w:left w:val="nil"/>
              <w:bottom w:val="single" w:sz="8" w:space="0" w:color="FFFFFF"/>
              <w:right w:val="single" w:sz="8" w:space="0" w:color="FFFFFF"/>
            </w:tcBorders>
            <w:shd w:val="clear" w:color="auto" w:fill="EAF1DD" w:themeFill="accent3" w:themeFillTint="33"/>
            <w:vAlign w:val="center"/>
            <w:hideMark/>
          </w:tcPr>
          <w:p w:rsidR="009B1D5A" w:rsidRPr="004571CD" w:rsidRDefault="009B1D5A" w:rsidP="00FE1359">
            <w:pPr>
              <w:spacing w:after="0" w:line="240" w:lineRule="auto"/>
              <w:jc w:val="both"/>
              <w:rPr>
                <w:rFonts w:eastAsia="Times New Roman" w:cs="Times New Roman"/>
                <w:szCs w:val="22"/>
              </w:rPr>
            </w:pPr>
            <w:r w:rsidRPr="004571CD">
              <w:rPr>
                <w:rFonts w:eastAsia="Times New Roman" w:cs="Times New Roman"/>
                <w:szCs w:val="22"/>
              </w:rPr>
              <w:t xml:space="preserve"> Participaciones</w:t>
            </w:r>
            <w:r>
              <w:rPr>
                <w:rFonts w:eastAsia="Times New Roman" w:cs="Times New Roman"/>
                <w:szCs w:val="22"/>
              </w:rPr>
              <w:t xml:space="preserve">, </w:t>
            </w:r>
            <w:r w:rsidRPr="004571CD">
              <w:rPr>
                <w:rFonts w:eastAsia="Times New Roman" w:cs="Times New Roman"/>
                <w:szCs w:val="22"/>
              </w:rPr>
              <w:t>aportaciones</w:t>
            </w:r>
            <w:r>
              <w:rPr>
                <w:rFonts w:eastAsia="Times New Roman" w:cs="Times New Roman"/>
                <w:szCs w:val="22"/>
              </w:rPr>
              <w:t xml:space="preserve"> y convenios</w:t>
            </w:r>
          </w:p>
        </w:tc>
        <w:tc>
          <w:tcPr>
            <w:tcW w:w="1479" w:type="pct"/>
            <w:tcBorders>
              <w:top w:val="nil"/>
              <w:left w:val="nil"/>
              <w:bottom w:val="single" w:sz="8" w:space="0" w:color="FFFFFF"/>
              <w:right w:val="single" w:sz="8" w:space="0" w:color="FFFFFF"/>
            </w:tcBorders>
            <w:shd w:val="clear" w:color="auto" w:fill="EAF1DD" w:themeFill="accent3" w:themeFillTint="33"/>
            <w:vAlign w:val="center"/>
          </w:tcPr>
          <w:p w:rsidR="009B1D5A" w:rsidRPr="009B1D5A" w:rsidRDefault="009B1D5A" w:rsidP="00FE1359">
            <w:pPr>
              <w:spacing w:after="0" w:line="240" w:lineRule="auto"/>
              <w:jc w:val="right"/>
              <w:rPr>
                <w:rFonts w:eastAsia="Times New Roman" w:cs="Times New Roman"/>
                <w:color w:val="000000" w:themeColor="text1"/>
                <w:szCs w:val="22"/>
              </w:rPr>
            </w:pPr>
            <w:r w:rsidRPr="009B1D5A">
              <w:rPr>
                <w:rFonts w:eastAsia="Times New Roman" w:cs="Times New Roman"/>
                <w:color w:val="000000" w:themeColor="text1"/>
                <w:szCs w:val="22"/>
              </w:rPr>
              <w:t>31,917,099,861</w:t>
            </w:r>
          </w:p>
        </w:tc>
        <w:tc>
          <w:tcPr>
            <w:tcW w:w="900" w:type="pct"/>
            <w:tcBorders>
              <w:top w:val="nil"/>
              <w:left w:val="nil"/>
              <w:bottom w:val="single" w:sz="8" w:space="0" w:color="FFFFFF"/>
              <w:right w:val="nil"/>
            </w:tcBorders>
            <w:shd w:val="clear" w:color="auto" w:fill="EAF1DD" w:themeFill="accent3" w:themeFillTint="33"/>
            <w:vAlign w:val="bottom"/>
          </w:tcPr>
          <w:p w:rsidR="009B1D5A" w:rsidRPr="009B1D5A" w:rsidRDefault="009B1D5A">
            <w:pPr>
              <w:jc w:val="right"/>
              <w:rPr>
                <w:color w:val="000000" w:themeColor="text1"/>
                <w:szCs w:val="22"/>
              </w:rPr>
            </w:pPr>
            <w:r w:rsidRPr="009B1D5A">
              <w:rPr>
                <w:color w:val="000000" w:themeColor="text1"/>
                <w:szCs w:val="22"/>
              </w:rPr>
              <w:t>78.20</w:t>
            </w:r>
            <w:r w:rsidR="00E6135A">
              <w:rPr>
                <w:color w:val="000000" w:themeColor="text1"/>
                <w:szCs w:val="22"/>
              </w:rPr>
              <w:t>%</w:t>
            </w:r>
          </w:p>
        </w:tc>
      </w:tr>
      <w:tr w:rsidR="009B1D5A" w:rsidRPr="004571CD" w:rsidTr="00A00FC2">
        <w:trPr>
          <w:trHeight w:val="615"/>
        </w:trPr>
        <w:tc>
          <w:tcPr>
            <w:tcW w:w="2621" w:type="pct"/>
            <w:tcBorders>
              <w:top w:val="nil"/>
              <w:left w:val="nil"/>
              <w:bottom w:val="single" w:sz="8" w:space="0" w:color="FFFFFF"/>
              <w:right w:val="single" w:sz="8" w:space="0" w:color="FFFFFF"/>
            </w:tcBorders>
            <w:shd w:val="clear" w:color="000000" w:fill="D8E4BC"/>
            <w:vAlign w:val="center"/>
            <w:hideMark/>
          </w:tcPr>
          <w:p w:rsidR="009B1D5A" w:rsidRPr="004571CD" w:rsidRDefault="009B1D5A" w:rsidP="004571CD">
            <w:pPr>
              <w:spacing w:after="0" w:line="240" w:lineRule="auto"/>
              <w:jc w:val="both"/>
              <w:rPr>
                <w:rFonts w:eastAsia="Times New Roman" w:cs="Times New Roman"/>
                <w:szCs w:val="22"/>
              </w:rPr>
            </w:pPr>
            <w:r w:rsidRPr="004571CD">
              <w:rPr>
                <w:rFonts w:eastAsia="Times New Roman" w:cs="Times New Roman"/>
                <w:szCs w:val="22"/>
              </w:rPr>
              <w:t xml:space="preserve"> Transferencias, asignaciones, subsidios y otras ayudas</w:t>
            </w:r>
          </w:p>
        </w:tc>
        <w:tc>
          <w:tcPr>
            <w:tcW w:w="1479" w:type="pct"/>
            <w:tcBorders>
              <w:top w:val="nil"/>
              <w:left w:val="nil"/>
              <w:bottom w:val="single" w:sz="8" w:space="0" w:color="FFFFFF"/>
              <w:right w:val="single" w:sz="8" w:space="0" w:color="FFFFFF"/>
            </w:tcBorders>
            <w:shd w:val="clear" w:color="000000" w:fill="D8E4BC"/>
            <w:vAlign w:val="center"/>
          </w:tcPr>
          <w:p w:rsidR="009B1D5A" w:rsidRPr="009B1D5A" w:rsidRDefault="009B1D5A" w:rsidP="00FE1359">
            <w:pPr>
              <w:spacing w:after="0" w:line="240" w:lineRule="auto"/>
              <w:jc w:val="right"/>
              <w:rPr>
                <w:rFonts w:eastAsia="Times New Roman" w:cs="Times New Roman"/>
                <w:color w:val="000000" w:themeColor="text1"/>
                <w:szCs w:val="22"/>
              </w:rPr>
            </w:pPr>
            <w:r w:rsidRPr="009B1D5A">
              <w:rPr>
                <w:rFonts w:eastAsia="Times New Roman" w:cs="Times New Roman"/>
                <w:color w:val="000000" w:themeColor="text1"/>
                <w:szCs w:val="22"/>
              </w:rPr>
              <w:t>1,898,757,773</w:t>
            </w:r>
          </w:p>
        </w:tc>
        <w:tc>
          <w:tcPr>
            <w:tcW w:w="900" w:type="pct"/>
            <w:tcBorders>
              <w:top w:val="nil"/>
              <w:left w:val="nil"/>
              <w:bottom w:val="single" w:sz="8" w:space="0" w:color="FFFFFF"/>
              <w:right w:val="nil"/>
            </w:tcBorders>
            <w:shd w:val="clear" w:color="000000" w:fill="D8E4BC"/>
            <w:vAlign w:val="bottom"/>
          </w:tcPr>
          <w:p w:rsidR="009B1D5A" w:rsidRPr="009B1D5A" w:rsidRDefault="009B1D5A">
            <w:pPr>
              <w:jc w:val="right"/>
              <w:rPr>
                <w:color w:val="000000" w:themeColor="text1"/>
                <w:szCs w:val="22"/>
              </w:rPr>
            </w:pPr>
            <w:r w:rsidRPr="009B1D5A">
              <w:rPr>
                <w:color w:val="000000" w:themeColor="text1"/>
                <w:szCs w:val="22"/>
              </w:rPr>
              <w:t>4.65</w:t>
            </w:r>
            <w:r w:rsidR="00E6135A">
              <w:rPr>
                <w:color w:val="000000" w:themeColor="text1"/>
                <w:szCs w:val="22"/>
              </w:rPr>
              <w:t>%</w:t>
            </w:r>
          </w:p>
        </w:tc>
      </w:tr>
      <w:tr w:rsidR="009B1D5A" w:rsidRPr="004571CD" w:rsidTr="00A00FC2">
        <w:trPr>
          <w:trHeight w:val="315"/>
        </w:trPr>
        <w:tc>
          <w:tcPr>
            <w:tcW w:w="2621" w:type="pct"/>
            <w:tcBorders>
              <w:top w:val="nil"/>
              <w:left w:val="nil"/>
              <w:bottom w:val="single" w:sz="8" w:space="0" w:color="FFFFFF"/>
              <w:right w:val="single" w:sz="8" w:space="0" w:color="FFFFFF"/>
            </w:tcBorders>
            <w:shd w:val="clear" w:color="auto" w:fill="EAF1DD" w:themeFill="accent3" w:themeFillTint="33"/>
            <w:vAlign w:val="center"/>
            <w:hideMark/>
          </w:tcPr>
          <w:p w:rsidR="009B1D5A" w:rsidRPr="004571CD" w:rsidRDefault="009B1D5A" w:rsidP="004571CD">
            <w:pPr>
              <w:spacing w:after="0" w:line="240" w:lineRule="auto"/>
              <w:jc w:val="both"/>
              <w:rPr>
                <w:rFonts w:eastAsia="Times New Roman" w:cs="Times New Roman"/>
                <w:szCs w:val="22"/>
              </w:rPr>
            </w:pPr>
            <w:r w:rsidRPr="004571CD">
              <w:rPr>
                <w:rFonts w:eastAsia="Times New Roman" w:cs="Times New Roman"/>
                <w:szCs w:val="22"/>
              </w:rPr>
              <w:t xml:space="preserve"> Financiamiento</w:t>
            </w:r>
          </w:p>
        </w:tc>
        <w:tc>
          <w:tcPr>
            <w:tcW w:w="1479" w:type="pct"/>
            <w:tcBorders>
              <w:top w:val="nil"/>
              <w:left w:val="nil"/>
              <w:bottom w:val="single" w:sz="8" w:space="0" w:color="FFFFFF"/>
              <w:right w:val="single" w:sz="8" w:space="0" w:color="FFFFFF"/>
            </w:tcBorders>
            <w:shd w:val="clear" w:color="auto" w:fill="EAF1DD" w:themeFill="accent3" w:themeFillTint="33"/>
            <w:vAlign w:val="center"/>
          </w:tcPr>
          <w:p w:rsidR="009B1D5A" w:rsidRPr="009B1D5A" w:rsidRDefault="009B1D5A" w:rsidP="009B1D5A">
            <w:pPr>
              <w:spacing w:after="0" w:line="240" w:lineRule="auto"/>
              <w:jc w:val="center"/>
              <w:rPr>
                <w:rFonts w:eastAsia="Times New Roman" w:cs="Times New Roman"/>
                <w:color w:val="000000" w:themeColor="text1"/>
                <w:szCs w:val="22"/>
              </w:rPr>
            </w:pPr>
            <w:r w:rsidRPr="009B1D5A">
              <w:rPr>
                <w:rFonts w:eastAsia="Times New Roman" w:cs="Times New Roman"/>
                <w:color w:val="000000" w:themeColor="text1"/>
                <w:szCs w:val="22"/>
              </w:rPr>
              <w:t>-</w:t>
            </w:r>
          </w:p>
        </w:tc>
        <w:tc>
          <w:tcPr>
            <w:tcW w:w="900" w:type="pct"/>
            <w:tcBorders>
              <w:top w:val="nil"/>
              <w:left w:val="nil"/>
              <w:bottom w:val="single" w:sz="8" w:space="0" w:color="FFFFFF"/>
              <w:right w:val="nil"/>
            </w:tcBorders>
            <w:shd w:val="clear" w:color="auto" w:fill="EAF1DD" w:themeFill="accent3" w:themeFillTint="33"/>
            <w:vAlign w:val="bottom"/>
          </w:tcPr>
          <w:p w:rsidR="009B1D5A" w:rsidRPr="009B1D5A" w:rsidRDefault="009B1D5A">
            <w:pPr>
              <w:jc w:val="right"/>
              <w:rPr>
                <w:color w:val="000000" w:themeColor="text1"/>
                <w:szCs w:val="22"/>
              </w:rPr>
            </w:pPr>
          </w:p>
        </w:tc>
      </w:tr>
      <w:tr w:rsidR="008A07FA" w:rsidRPr="008A07FA" w:rsidTr="004459C1">
        <w:trPr>
          <w:trHeight w:val="300"/>
        </w:trPr>
        <w:tc>
          <w:tcPr>
            <w:tcW w:w="2621" w:type="pct"/>
            <w:tcBorders>
              <w:top w:val="nil"/>
              <w:left w:val="nil"/>
              <w:bottom w:val="nil"/>
              <w:right w:val="single" w:sz="8" w:space="0" w:color="FFFFFF"/>
            </w:tcBorders>
            <w:shd w:val="clear" w:color="auto" w:fill="9BBB59" w:themeFill="accent3"/>
            <w:vAlign w:val="center"/>
            <w:hideMark/>
          </w:tcPr>
          <w:p w:rsidR="004571CD" w:rsidRPr="008A07FA" w:rsidRDefault="004571CD" w:rsidP="004571CD">
            <w:pPr>
              <w:spacing w:after="0" w:line="240" w:lineRule="auto"/>
              <w:jc w:val="both"/>
              <w:rPr>
                <w:rFonts w:eastAsia="Times New Roman" w:cs="Times New Roman"/>
                <w:b/>
                <w:bCs/>
                <w:color w:val="auto"/>
                <w:szCs w:val="22"/>
              </w:rPr>
            </w:pPr>
            <w:r w:rsidRPr="008A07FA">
              <w:rPr>
                <w:rFonts w:eastAsia="Times New Roman" w:cs="Times New Roman"/>
                <w:b/>
                <w:bCs/>
                <w:color w:val="auto"/>
                <w:szCs w:val="22"/>
              </w:rPr>
              <w:t xml:space="preserve"> Total</w:t>
            </w:r>
          </w:p>
        </w:tc>
        <w:tc>
          <w:tcPr>
            <w:tcW w:w="1479" w:type="pct"/>
            <w:tcBorders>
              <w:top w:val="nil"/>
              <w:left w:val="nil"/>
              <w:bottom w:val="nil"/>
              <w:right w:val="single" w:sz="8" w:space="0" w:color="FFFFFF"/>
            </w:tcBorders>
            <w:shd w:val="clear" w:color="auto" w:fill="9BBB59" w:themeFill="accent3"/>
            <w:vAlign w:val="center"/>
            <w:hideMark/>
          </w:tcPr>
          <w:p w:rsidR="004571CD" w:rsidRPr="008A07FA" w:rsidRDefault="009B1D5A" w:rsidP="009B1D5A">
            <w:pPr>
              <w:spacing w:after="0" w:line="240" w:lineRule="auto"/>
              <w:jc w:val="right"/>
              <w:rPr>
                <w:rFonts w:eastAsia="Times New Roman" w:cs="Times New Roman"/>
                <w:b/>
                <w:bCs/>
                <w:color w:val="auto"/>
                <w:szCs w:val="22"/>
              </w:rPr>
            </w:pPr>
            <w:r>
              <w:rPr>
                <w:rFonts w:eastAsia="Times New Roman" w:cs="Times New Roman"/>
                <w:b/>
                <w:bCs/>
                <w:color w:val="auto"/>
                <w:szCs w:val="22"/>
              </w:rPr>
              <w:t>40</w:t>
            </w:r>
            <w:r w:rsidR="00714DF2" w:rsidRPr="008A07FA">
              <w:rPr>
                <w:rFonts w:eastAsia="Times New Roman" w:cs="Times New Roman"/>
                <w:b/>
                <w:bCs/>
                <w:color w:val="auto"/>
                <w:szCs w:val="22"/>
              </w:rPr>
              <w:t>,</w:t>
            </w:r>
            <w:r>
              <w:rPr>
                <w:rFonts w:eastAsia="Times New Roman" w:cs="Times New Roman"/>
                <w:b/>
                <w:bCs/>
                <w:color w:val="auto"/>
                <w:szCs w:val="22"/>
              </w:rPr>
              <w:t>813</w:t>
            </w:r>
            <w:r w:rsidR="00714DF2" w:rsidRPr="008A07FA">
              <w:rPr>
                <w:rFonts w:eastAsia="Times New Roman" w:cs="Times New Roman"/>
                <w:b/>
                <w:bCs/>
                <w:color w:val="auto"/>
                <w:szCs w:val="22"/>
              </w:rPr>
              <w:t>,</w:t>
            </w:r>
            <w:r>
              <w:rPr>
                <w:rFonts w:eastAsia="Times New Roman" w:cs="Times New Roman"/>
                <w:b/>
                <w:bCs/>
                <w:color w:val="auto"/>
                <w:szCs w:val="22"/>
              </w:rPr>
              <w:t>192</w:t>
            </w:r>
            <w:r w:rsidR="00714DF2" w:rsidRPr="008A07FA">
              <w:rPr>
                <w:rFonts w:eastAsia="Times New Roman" w:cs="Times New Roman"/>
                <w:b/>
                <w:bCs/>
                <w:color w:val="auto"/>
                <w:szCs w:val="22"/>
              </w:rPr>
              <w:t>,87</w:t>
            </w:r>
            <w:r>
              <w:rPr>
                <w:rFonts w:eastAsia="Times New Roman" w:cs="Times New Roman"/>
                <w:b/>
                <w:bCs/>
                <w:color w:val="auto"/>
                <w:szCs w:val="22"/>
              </w:rPr>
              <w:t>5</w:t>
            </w:r>
          </w:p>
        </w:tc>
        <w:tc>
          <w:tcPr>
            <w:tcW w:w="900" w:type="pct"/>
            <w:tcBorders>
              <w:top w:val="nil"/>
              <w:left w:val="nil"/>
              <w:bottom w:val="nil"/>
              <w:right w:val="nil"/>
            </w:tcBorders>
            <w:shd w:val="clear" w:color="auto" w:fill="9BBB59" w:themeFill="accent3"/>
            <w:vAlign w:val="center"/>
          </w:tcPr>
          <w:p w:rsidR="004571CD" w:rsidRPr="008A07FA" w:rsidRDefault="003A5EB0" w:rsidP="004571CD">
            <w:pPr>
              <w:spacing w:after="0" w:line="240" w:lineRule="auto"/>
              <w:jc w:val="right"/>
              <w:rPr>
                <w:rFonts w:eastAsia="Times New Roman" w:cs="Times New Roman"/>
                <w:b/>
                <w:bCs/>
                <w:color w:val="auto"/>
                <w:szCs w:val="22"/>
              </w:rPr>
            </w:pPr>
            <w:r w:rsidRPr="008A07FA">
              <w:rPr>
                <w:rFonts w:eastAsia="Times New Roman" w:cs="Times New Roman"/>
                <w:b/>
                <w:bCs/>
                <w:color w:val="auto"/>
                <w:szCs w:val="22"/>
              </w:rPr>
              <w:t>100%</w:t>
            </w:r>
          </w:p>
        </w:tc>
      </w:tr>
    </w:tbl>
    <w:p w:rsidR="004571CD" w:rsidRDefault="004571CD">
      <w:pPr>
        <w:spacing w:after="0"/>
        <w:jc w:val="both"/>
      </w:pPr>
    </w:p>
    <w:p w:rsidR="006F6A52" w:rsidRDefault="0060747A">
      <w:pPr>
        <w:spacing w:after="0"/>
        <w:jc w:val="both"/>
      </w:pPr>
      <w:r>
        <w:rPr>
          <w:u w:val="single"/>
        </w:rPr>
        <w:lastRenderedPageBreak/>
        <w:t>¿QUÉ ES EL PRESUPUESTO DE EGRESOS Y CUÁL ES SU IMPORTANCIA?</w:t>
      </w:r>
    </w:p>
    <w:p w:rsidR="006F6A52" w:rsidRDefault="006F6A52">
      <w:pPr>
        <w:spacing w:after="0"/>
        <w:jc w:val="both"/>
      </w:pPr>
    </w:p>
    <w:p w:rsidR="006F6A52" w:rsidRDefault="0060747A">
      <w:pPr>
        <w:spacing w:after="0"/>
        <w:jc w:val="both"/>
      </w:pPr>
      <w:r>
        <w:t xml:space="preserve">Es el documento donde el Gobierno establece los objetivos, las metas y los recursos económicos para todos los programas, proyectos y acciones que van a realizar durante el año los tres poderes (Ejecutivo, Legislativo y Judicial) y los organismos autónomos como </w:t>
      </w:r>
      <w:r w:rsidRPr="00F35667">
        <w:t xml:space="preserve">el Instituto </w:t>
      </w:r>
      <w:r w:rsidR="00E47490" w:rsidRPr="00F35667">
        <w:t>Electoral y de Pa</w:t>
      </w:r>
      <w:r w:rsidRPr="00F35667">
        <w:t>rticipación Ciudadana, y la Universidad Autónoma de Yucatán, entre otros.</w:t>
      </w:r>
    </w:p>
    <w:p w:rsidR="006F6A52" w:rsidRDefault="006F6A52">
      <w:pPr>
        <w:spacing w:after="0"/>
        <w:jc w:val="both"/>
      </w:pPr>
    </w:p>
    <w:p w:rsidR="006F6A52" w:rsidRDefault="0060747A">
      <w:pPr>
        <w:spacing w:after="0"/>
        <w:jc w:val="both"/>
      </w:pPr>
      <w:r>
        <w:t xml:space="preserve">El Presupuesto de Egresos es importante porque contiene información valiosa para la ciudadanía, ya que puede consultar cuánto, quién, en qué y para qué se aplicará el dinero aprobado por el Congreso del Estado. </w:t>
      </w:r>
    </w:p>
    <w:p w:rsidR="006F6A52" w:rsidRDefault="006F6A52">
      <w:pPr>
        <w:spacing w:after="0"/>
        <w:jc w:val="both"/>
      </w:pPr>
    </w:p>
    <w:p w:rsidR="006F6A52" w:rsidRDefault="0060747A">
      <w:pPr>
        <w:spacing w:after="0"/>
        <w:jc w:val="both"/>
      </w:pPr>
      <w:r>
        <w:t xml:space="preserve">Además, proporciona elementos a los ciudadanos y las organizaciones no gubernamentales (ONG) para vigilar que los recursos públicos se gasten de manera eficiente y eficaz. </w:t>
      </w:r>
    </w:p>
    <w:p w:rsidR="006F6A52" w:rsidRDefault="006F6A52">
      <w:pPr>
        <w:spacing w:after="0"/>
        <w:jc w:val="both"/>
      </w:pPr>
    </w:p>
    <w:p w:rsidR="006F6A52" w:rsidRDefault="0060747A">
      <w:pPr>
        <w:spacing w:after="0"/>
        <w:jc w:val="center"/>
      </w:pPr>
      <w:r>
        <w:t>Cuadro 2. Egresos. Clasificación administrativa</w:t>
      </w:r>
    </w:p>
    <w:p w:rsidR="006F6A52" w:rsidRDefault="006F6A52">
      <w:pPr>
        <w:spacing w:after="0"/>
        <w:jc w:val="both"/>
      </w:pPr>
    </w:p>
    <w:tbl>
      <w:tblPr>
        <w:tblW w:w="9100" w:type="dxa"/>
        <w:tblInd w:w="55" w:type="dxa"/>
        <w:tblCellMar>
          <w:left w:w="70" w:type="dxa"/>
          <w:right w:w="70" w:type="dxa"/>
        </w:tblCellMar>
        <w:tblLook w:val="04A0" w:firstRow="1" w:lastRow="0" w:firstColumn="1" w:lastColumn="0" w:noHBand="0" w:noVBand="1"/>
      </w:tblPr>
      <w:tblGrid>
        <w:gridCol w:w="4540"/>
        <w:gridCol w:w="2860"/>
        <w:gridCol w:w="1700"/>
      </w:tblGrid>
      <w:tr w:rsidR="005E133C" w:rsidRPr="00E47490" w:rsidTr="004459C1">
        <w:trPr>
          <w:trHeight w:val="300"/>
        </w:trPr>
        <w:tc>
          <w:tcPr>
            <w:tcW w:w="9100" w:type="dxa"/>
            <w:gridSpan w:val="3"/>
            <w:tcBorders>
              <w:top w:val="nil"/>
              <w:left w:val="nil"/>
              <w:bottom w:val="nil"/>
              <w:right w:val="nil"/>
            </w:tcBorders>
            <w:shd w:val="clear" w:color="auto" w:fill="9BBB59" w:themeFill="accent3"/>
            <w:vAlign w:val="center"/>
            <w:hideMark/>
          </w:tcPr>
          <w:p w:rsidR="005E133C" w:rsidRPr="00E47490" w:rsidRDefault="005E133C" w:rsidP="005E133C">
            <w:pPr>
              <w:spacing w:after="0" w:line="240" w:lineRule="auto"/>
              <w:jc w:val="center"/>
              <w:rPr>
                <w:rFonts w:eastAsia="Times New Roman" w:cs="Times New Roman"/>
                <w:b/>
                <w:szCs w:val="22"/>
              </w:rPr>
            </w:pPr>
            <w:r w:rsidRPr="00E47490">
              <w:rPr>
                <w:rFonts w:eastAsia="Times New Roman" w:cs="Times New Roman"/>
                <w:b/>
                <w:szCs w:val="22"/>
              </w:rPr>
              <w:t>DISTRIBUCIÓN DEL PRESUPUESTO DE ACUERDO A QUIÉN LO ADMINISTRA</w:t>
            </w:r>
          </w:p>
        </w:tc>
      </w:tr>
      <w:tr w:rsidR="005E133C" w:rsidRPr="005E133C" w:rsidTr="005E133C">
        <w:trPr>
          <w:trHeight w:val="300"/>
        </w:trPr>
        <w:tc>
          <w:tcPr>
            <w:tcW w:w="4540" w:type="dxa"/>
            <w:tcBorders>
              <w:top w:val="nil"/>
              <w:left w:val="nil"/>
              <w:bottom w:val="nil"/>
              <w:right w:val="nil"/>
            </w:tcBorders>
            <w:shd w:val="clear" w:color="auto" w:fill="auto"/>
            <w:vAlign w:val="center"/>
            <w:hideMark/>
          </w:tcPr>
          <w:p w:rsidR="005E133C" w:rsidRPr="005E133C" w:rsidRDefault="005E133C" w:rsidP="00BD255D">
            <w:pPr>
              <w:spacing w:after="0" w:line="240" w:lineRule="auto"/>
              <w:jc w:val="right"/>
              <w:rPr>
                <w:rFonts w:eastAsia="Times New Roman" w:cs="Times New Roman"/>
                <w:szCs w:val="22"/>
              </w:rPr>
            </w:pPr>
          </w:p>
        </w:tc>
        <w:tc>
          <w:tcPr>
            <w:tcW w:w="2860" w:type="dxa"/>
            <w:tcBorders>
              <w:top w:val="nil"/>
              <w:left w:val="nil"/>
              <w:bottom w:val="nil"/>
              <w:right w:val="nil"/>
            </w:tcBorders>
            <w:shd w:val="clear" w:color="auto" w:fill="auto"/>
            <w:vAlign w:val="center"/>
            <w:hideMark/>
          </w:tcPr>
          <w:p w:rsidR="005E133C" w:rsidRPr="005E133C" w:rsidRDefault="005E133C" w:rsidP="00BD255D">
            <w:pPr>
              <w:spacing w:after="0" w:line="240" w:lineRule="auto"/>
              <w:jc w:val="right"/>
              <w:rPr>
                <w:rFonts w:eastAsia="Times New Roman" w:cs="Times New Roman"/>
                <w:szCs w:val="22"/>
              </w:rPr>
            </w:pPr>
            <w:r w:rsidRPr="005E133C">
              <w:rPr>
                <w:rFonts w:eastAsia="Times New Roman" w:cs="Times New Roman"/>
                <w:szCs w:val="22"/>
              </w:rPr>
              <w:t>Importe</w:t>
            </w:r>
          </w:p>
        </w:tc>
        <w:tc>
          <w:tcPr>
            <w:tcW w:w="1700" w:type="dxa"/>
            <w:tcBorders>
              <w:top w:val="nil"/>
              <w:left w:val="nil"/>
              <w:bottom w:val="nil"/>
              <w:right w:val="nil"/>
            </w:tcBorders>
            <w:shd w:val="clear" w:color="auto" w:fill="auto"/>
            <w:vAlign w:val="center"/>
            <w:hideMark/>
          </w:tcPr>
          <w:p w:rsidR="005E133C" w:rsidRPr="005E133C" w:rsidRDefault="00FD6AB3" w:rsidP="00BD255D">
            <w:pPr>
              <w:spacing w:after="0" w:line="240" w:lineRule="auto"/>
              <w:jc w:val="right"/>
              <w:rPr>
                <w:rFonts w:eastAsia="Times New Roman" w:cs="Times New Roman"/>
                <w:szCs w:val="22"/>
              </w:rPr>
            </w:pPr>
            <w:r>
              <w:rPr>
                <w:rFonts w:eastAsia="Times New Roman" w:cs="Times New Roman"/>
                <w:szCs w:val="22"/>
              </w:rPr>
              <w:t>Porcentaje</w:t>
            </w:r>
          </w:p>
        </w:tc>
      </w:tr>
      <w:tr w:rsidR="00FD6AB3" w:rsidRPr="005E133C" w:rsidTr="00AB474D">
        <w:trPr>
          <w:trHeight w:val="300"/>
        </w:trPr>
        <w:tc>
          <w:tcPr>
            <w:tcW w:w="4540" w:type="dxa"/>
            <w:tcBorders>
              <w:top w:val="nil"/>
              <w:left w:val="nil"/>
              <w:bottom w:val="nil"/>
              <w:right w:val="nil"/>
            </w:tcBorders>
            <w:shd w:val="clear" w:color="auto" w:fill="auto"/>
            <w:vAlign w:val="center"/>
            <w:hideMark/>
          </w:tcPr>
          <w:p w:rsidR="00FD6AB3" w:rsidRPr="005E133C" w:rsidRDefault="00FD6AB3" w:rsidP="005E133C">
            <w:pPr>
              <w:spacing w:after="0" w:line="240" w:lineRule="auto"/>
              <w:rPr>
                <w:rFonts w:eastAsia="Times New Roman" w:cs="Times New Roman"/>
                <w:szCs w:val="22"/>
              </w:rPr>
            </w:pPr>
            <w:r w:rsidRPr="005E133C">
              <w:rPr>
                <w:rFonts w:eastAsia="Times New Roman" w:cs="Times New Roman"/>
                <w:szCs w:val="22"/>
              </w:rPr>
              <w:t>Poder Ejecutivo</w:t>
            </w:r>
          </w:p>
        </w:tc>
        <w:tc>
          <w:tcPr>
            <w:tcW w:w="2860" w:type="dxa"/>
            <w:tcBorders>
              <w:top w:val="nil"/>
              <w:left w:val="nil"/>
              <w:bottom w:val="nil"/>
              <w:right w:val="nil"/>
            </w:tcBorders>
            <w:shd w:val="clear" w:color="auto" w:fill="auto"/>
            <w:vAlign w:val="center"/>
            <w:hideMark/>
          </w:tcPr>
          <w:p w:rsidR="00FD6AB3" w:rsidRPr="0094148C" w:rsidRDefault="00FD6AB3" w:rsidP="0006125C">
            <w:pPr>
              <w:spacing w:after="0" w:line="240" w:lineRule="auto"/>
              <w:jc w:val="right"/>
              <w:rPr>
                <w:rFonts w:eastAsia="Times New Roman" w:cs="Times New Roman"/>
                <w:color w:val="FF0000"/>
                <w:szCs w:val="22"/>
              </w:rPr>
            </w:pPr>
            <w:r w:rsidRPr="0006125C">
              <w:rPr>
                <w:rFonts w:eastAsia="Times New Roman" w:cs="Times New Roman"/>
                <w:color w:val="000000" w:themeColor="text1"/>
                <w:szCs w:val="22"/>
              </w:rPr>
              <w:t>24,789,804,418</w:t>
            </w:r>
          </w:p>
        </w:tc>
        <w:tc>
          <w:tcPr>
            <w:tcW w:w="1700" w:type="dxa"/>
            <w:tcBorders>
              <w:top w:val="nil"/>
              <w:left w:val="nil"/>
              <w:bottom w:val="nil"/>
              <w:right w:val="nil"/>
            </w:tcBorders>
            <w:shd w:val="clear" w:color="auto" w:fill="auto"/>
            <w:vAlign w:val="bottom"/>
            <w:hideMark/>
          </w:tcPr>
          <w:p w:rsidR="00FD6AB3" w:rsidRDefault="00FD6AB3">
            <w:pPr>
              <w:jc w:val="right"/>
              <w:rPr>
                <w:szCs w:val="22"/>
              </w:rPr>
            </w:pPr>
            <w:r>
              <w:rPr>
                <w:szCs w:val="22"/>
              </w:rPr>
              <w:t>60.74%</w:t>
            </w:r>
          </w:p>
        </w:tc>
      </w:tr>
      <w:tr w:rsidR="00FD6AB3" w:rsidRPr="005E133C" w:rsidTr="00AB474D">
        <w:trPr>
          <w:trHeight w:val="300"/>
        </w:trPr>
        <w:tc>
          <w:tcPr>
            <w:tcW w:w="4540" w:type="dxa"/>
            <w:tcBorders>
              <w:top w:val="nil"/>
              <w:left w:val="nil"/>
              <w:bottom w:val="nil"/>
              <w:right w:val="nil"/>
            </w:tcBorders>
            <w:shd w:val="clear" w:color="auto" w:fill="auto"/>
            <w:vAlign w:val="center"/>
            <w:hideMark/>
          </w:tcPr>
          <w:p w:rsidR="00FD6AB3" w:rsidRPr="005E133C" w:rsidRDefault="00FD6AB3" w:rsidP="005E133C">
            <w:pPr>
              <w:spacing w:after="0" w:line="240" w:lineRule="auto"/>
              <w:rPr>
                <w:rFonts w:eastAsia="Times New Roman" w:cs="Times New Roman"/>
                <w:szCs w:val="22"/>
              </w:rPr>
            </w:pPr>
            <w:r w:rsidRPr="005E133C">
              <w:rPr>
                <w:rFonts w:eastAsia="Times New Roman" w:cs="Times New Roman"/>
                <w:szCs w:val="22"/>
              </w:rPr>
              <w:t>Poder Legislativo</w:t>
            </w:r>
          </w:p>
        </w:tc>
        <w:tc>
          <w:tcPr>
            <w:tcW w:w="2860" w:type="dxa"/>
            <w:tcBorders>
              <w:top w:val="nil"/>
              <w:left w:val="nil"/>
              <w:bottom w:val="nil"/>
              <w:right w:val="nil"/>
            </w:tcBorders>
            <w:shd w:val="clear" w:color="auto" w:fill="auto"/>
            <w:vAlign w:val="center"/>
            <w:hideMark/>
          </w:tcPr>
          <w:p w:rsidR="00FD6AB3" w:rsidRPr="0094148C" w:rsidRDefault="00FD6AB3" w:rsidP="0006125C">
            <w:pPr>
              <w:spacing w:after="0" w:line="240" w:lineRule="auto"/>
              <w:jc w:val="right"/>
              <w:rPr>
                <w:rFonts w:eastAsia="Times New Roman" w:cs="Times New Roman"/>
                <w:color w:val="FF0000"/>
                <w:szCs w:val="22"/>
              </w:rPr>
            </w:pPr>
            <w:r w:rsidRPr="0006125C">
              <w:rPr>
                <w:rFonts w:eastAsia="Times New Roman" w:cs="Times New Roman"/>
                <w:color w:val="000000" w:themeColor="text1"/>
                <w:szCs w:val="22"/>
              </w:rPr>
              <w:t>215,257,373</w:t>
            </w:r>
          </w:p>
        </w:tc>
        <w:tc>
          <w:tcPr>
            <w:tcW w:w="1700" w:type="dxa"/>
            <w:tcBorders>
              <w:top w:val="nil"/>
              <w:left w:val="nil"/>
              <w:bottom w:val="nil"/>
              <w:right w:val="nil"/>
            </w:tcBorders>
            <w:shd w:val="clear" w:color="auto" w:fill="auto"/>
            <w:vAlign w:val="bottom"/>
            <w:hideMark/>
          </w:tcPr>
          <w:p w:rsidR="00FD6AB3" w:rsidRDefault="00FD6AB3">
            <w:pPr>
              <w:jc w:val="right"/>
              <w:rPr>
                <w:szCs w:val="22"/>
              </w:rPr>
            </w:pPr>
            <w:r>
              <w:rPr>
                <w:szCs w:val="22"/>
              </w:rPr>
              <w:t>0.53%</w:t>
            </w:r>
          </w:p>
        </w:tc>
      </w:tr>
      <w:tr w:rsidR="00FD6AB3" w:rsidRPr="005E133C" w:rsidTr="00AB474D">
        <w:trPr>
          <w:trHeight w:val="300"/>
        </w:trPr>
        <w:tc>
          <w:tcPr>
            <w:tcW w:w="4540" w:type="dxa"/>
            <w:tcBorders>
              <w:top w:val="nil"/>
              <w:left w:val="nil"/>
              <w:bottom w:val="nil"/>
              <w:right w:val="nil"/>
            </w:tcBorders>
            <w:shd w:val="clear" w:color="auto" w:fill="auto"/>
            <w:vAlign w:val="center"/>
            <w:hideMark/>
          </w:tcPr>
          <w:p w:rsidR="00FD6AB3" w:rsidRPr="005E133C" w:rsidRDefault="00FD6AB3" w:rsidP="005E133C">
            <w:pPr>
              <w:spacing w:after="0" w:line="240" w:lineRule="auto"/>
              <w:rPr>
                <w:rFonts w:eastAsia="Times New Roman" w:cs="Times New Roman"/>
                <w:szCs w:val="22"/>
              </w:rPr>
            </w:pPr>
            <w:r w:rsidRPr="005E133C">
              <w:rPr>
                <w:rFonts w:eastAsia="Times New Roman" w:cs="Times New Roman"/>
                <w:szCs w:val="22"/>
              </w:rPr>
              <w:t>Poder Judicial</w:t>
            </w:r>
          </w:p>
        </w:tc>
        <w:tc>
          <w:tcPr>
            <w:tcW w:w="2860" w:type="dxa"/>
            <w:tcBorders>
              <w:top w:val="nil"/>
              <w:left w:val="nil"/>
              <w:bottom w:val="nil"/>
              <w:right w:val="nil"/>
            </w:tcBorders>
            <w:shd w:val="clear" w:color="auto" w:fill="auto"/>
            <w:vAlign w:val="center"/>
            <w:hideMark/>
          </w:tcPr>
          <w:p w:rsidR="00FD6AB3" w:rsidRPr="0094148C" w:rsidRDefault="00FD6AB3" w:rsidP="0006125C">
            <w:pPr>
              <w:spacing w:after="0" w:line="240" w:lineRule="auto"/>
              <w:jc w:val="right"/>
              <w:rPr>
                <w:rFonts w:eastAsia="Times New Roman" w:cs="Times New Roman"/>
                <w:color w:val="FF0000"/>
                <w:szCs w:val="22"/>
              </w:rPr>
            </w:pPr>
            <w:r w:rsidRPr="0006125C">
              <w:rPr>
                <w:rFonts w:eastAsia="Times New Roman" w:cs="Times New Roman"/>
                <w:color w:val="000000" w:themeColor="text1"/>
                <w:szCs w:val="22"/>
              </w:rPr>
              <w:t>540,248,022</w:t>
            </w:r>
          </w:p>
        </w:tc>
        <w:tc>
          <w:tcPr>
            <w:tcW w:w="1700" w:type="dxa"/>
            <w:tcBorders>
              <w:top w:val="nil"/>
              <w:left w:val="nil"/>
              <w:bottom w:val="nil"/>
              <w:right w:val="nil"/>
            </w:tcBorders>
            <w:shd w:val="clear" w:color="auto" w:fill="auto"/>
            <w:vAlign w:val="bottom"/>
            <w:hideMark/>
          </w:tcPr>
          <w:p w:rsidR="00FD6AB3" w:rsidRDefault="00FD6AB3">
            <w:pPr>
              <w:jc w:val="right"/>
              <w:rPr>
                <w:szCs w:val="22"/>
              </w:rPr>
            </w:pPr>
            <w:r>
              <w:rPr>
                <w:szCs w:val="22"/>
              </w:rPr>
              <w:t>1.32%</w:t>
            </w:r>
          </w:p>
        </w:tc>
      </w:tr>
      <w:tr w:rsidR="00FD6AB3" w:rsidRPr="005E133C" w:rsidTr="00AB474D">
        <w:trPr>
          <w:trHeight w:val="300"/>
        </w:trPr>
        <w:tc>
          <w:tcPr>
            <w:tcW w:w="4540" w:type="dxa"/>
            <w:tcBorders>
              <w:top w:val="nil"/>
              <w:left w:val="nil"/>
              <w:bottom w:val="nil"/>
              <w:right w:val="nil"/>
            </w:tcBorders>
            <w:shd w:val="clear" w:color="auto" w:fill="auto"/>
            <w:vAlign w:val="center"/>
            <w:hideMark/>
          </w:tcPr>
          <w:p w:rsidR="00FD6AB3" w:rsidRPr="005E133C" w:rsidRDefault="00FD6AB3" w:rsidP="005E133C">
            <w:pPr>
              <w:spacing w:after="0" w:line="240" w:lineRule="auto"/>
              <w:rPr>
                <w:rFonts w:eastAsia="Times New Roman" w:cs="Times New Roman"/>
                <w:szCs w:val="22"/>
              </w:rPr>
            </w:pPr>
            <w:r w:rsidRPr="005E133C">
              <w:rPr>
                <w:rFonts w:eastAsia="Times New Roman" w:cs="Times New Roman"/>
                <w:szCs w:val="22"/>
              </w:rPr>
              <w:t>Organismos Autónomos</w:t>
            </w:r>
          </w:p>
        </w:tc>
        <w:tc>
          <w:tcPr>
            <w:tcW w:w="2860" w:type="dxa"/>
            <w:tcBorders>
              <w:top w:val="nil"/>
              <w:left w:val="nil"/>
              <w:bottom w:val="nil"/>
              <w:right w:val="nil"/>
            </w:tcBorders>
            <w:shd w:val="clear" w:color="auto" w:fill="auto"/>
            <w:vAlign w:val="center"/>
            <w:hideMark/>
          </w:tcPr>
          <w:p w:rsidR="00FD6AB3" w:rsidRPr="0094148C" w:rsidRDefault="00FD6AB3" w:rsidP="0006125C">
            <w:pPr>
              <w:spacing w:after="0" w:line="240" w:lineRule="auto"/>
              <w:jc w:val="right"/>
              <w:rPr>
                <w:rFonts w:eastAsia="Times New Roman" w:cs="Times New Roman"/>
                <w:color w:val="FF0000"/>
                <w:szCs w:val="22"/>
              </w:rPr>
            </w:pPr>
            <w:r w:rsidRPr="0006125C">
              <w:rPr>
                <w:rFonts w:eastAsia="Times New Roman" w:cs="Times New Roman"/>
                <w:color w:val="000000" w:themeColor="text1"/>
                <w:szCs w:val="22"/>
              </w:rPr>
              <w:t>2,968,949,576</w:t>
            </w:r>
          </w:p>
        </w:tc>
        <w:tc>
          <w:tcPr>
            <w:tcW w:w="1700" w:type="dxa"/>
            <w:tcBorders>
              <w:top w:val="nil"/>
              <w:left w:val="nil"/>
              <w:bottom w:val="nil"/>
              <w:right w:val="nil"/>
            </w:tcBorders>
            <w:shd w:val="clear" w:color="auto" w:fill="auto"/>
            <w:vAlign w:val="bottom"/>
            <w:hideMark/>
          </w:tcPr>
          <w:p w:rsidR="00FD6AB3" w:rsidRDefault="00FD6AB3">
            <w:pPr>
              <w:jc w:val="right"/>
              <w:rPr>
                <w:szCs w:val="22"/>
              </w:rPr>
            </w:pPr>
            <w:r>
              <w:rPr>
                <w:szCs w:val="22"/>
              </w:rPr>
              <w:t>7.27%</w:t>
            </w:r>
          </w:p>
        </w:tc>
      </w:tr>
      <w:tr w:rsidR="00FD6AB3" w:rsidRPr="005E133C" w:rsidTr="00AB474D">
        <w:trPr>
          <w:trHeight w:val="300"/>
        </w:trPr>
        <w:tc>
          <w:tcPr>
            <w:tcW w:w="4540" w:type="dxa"/>
            <w:tcBorders>
              <w:top w:val="nil"/>
              <w:left w:val="nil"/>
              <w:bottom w:val="nil"/>
              <w:right w:val="nil"/>
            </w:tcBorders>
            <w:shd w:val="clear" w:color="auto" w:fill="auto"/>
            <w:vAlign w:val="center"/>
            <w:hideMark/>
          </w:tcPr>
          <w:p w:rsidR="00FD6AB3" w:rsidRPr="005E133C" w:rsidRDefault="00FD6AB3" w:rsidP="005E133C">
            <w:pPr>
              <w:spacing w:after="0" w:line="240" w:lineRule="auto"/>
              <w:rPr>
                <w:rFonts w:eastAsia="Times New Roman" w:cs="Times New Roman"/>
                <w:szCs w:val="22"/>
              </w:rPr>
            </w:pPr>
            <w:r w:rsidRPr="005E133C">
              <w:rPr>
                <w:rFonts w:eastAsia="Times New Roman" w:cs="Times New Roman"/>
                <w:szCs w:val="22"/>
              </w:rPr>
              <w:t>Entidades Paraestatales</w:t>
            </w:r>
          </w:p>
        </w:tc>
        <w:tc>
          <w:tcPr>
            <w:tcW w:w="2860" w:type="dxa"/>
            <w:tcBorders>
              <w:top w:val="nil"/>
              <w:left w:val="nil"/>
              <w:bottom w:val="nil"/>
              <w:right w:val="nil"/>
            </w:tcBorders>
            <w:shd w:val="clear" w:color="auto" w:fill="auto"/>
            <w:vAlign w:val="center"/>
            <w:hideMark/>
          </w:tcPr>
          <w:p w:rsidR="00FD6AB3" w:rsidRPr="0094148C" w:rsidRDefault="00FD6AB3" w:rsidP="00FD6AB3">
            <w:pPr>
              <w:spacing w:after="0" w:line="240" w:lineRule="auto"/>
              <w:jc w:val="right"/>
              <w:rPr>
                <w:rFonts w:eastAsia="Times New Roman" w:cs="Times New Roman"/>
                <w:color w:val="FF0000"/>
                <w:szCs w:val="22"/>
              </w:rPr>
            </w:pPr>
            <w:r w:rsidRPr="00FD6AB3">
              <w:rPr>
                <w:rFonts w:eastAsia="Times New Roman" w:cs="Times New Roman"/>
                <w:color w:val="000000" w:themeColor="text1"/>
                <w:szCs w:val="22"/>
              </w:rPr>
              <w:t>10,650,159,444</w:t>
            </w:r>
          </w:p>
        </w:tc>
        <w:tc>
          <w:tcPr>
            <w:tcW w:w="1700" w:type="dxa"/>
            <w:tcBorders>
              <w:top w:val="nil"/>
              <w:left w:val="nil"/>
              <w:bottom w:val="nil"/>
              <w:right w:val="nil"/>
            </w:tcBorders>
            <w:shd w:val="clear" w:color="auto" w:fill="auto"/>
            <w:vAlign w:val="bottom"/>
            <w:hideMark/>
          </w:tcPr>
          <w:p w:rsidR="00FD6AB3" w:rsidRDefault="00FD6AB3">
            <w:pPr>
              <w:jc w:val="right"/>
              <w:rPr>
                <w:szCs w:val="22"/>
              </w:rPr>
            </w:pPr>
            <w:r>
              <w:rPr>
                <w:szCs w:val="22"/>
              </w:rPr>
              <w:t>26.09%</w:t>
            </w:r>
          </w:p>
        </w:tc>
      </w:tr>
      <w:tr w:rsidR="00FD6AB3" w:rsidRPr="005E133C" w:rsidTr="00AB474D">
        <w:trPr>
          <w:trHeight w:val="495"/>
        </w:trPr>
        <w:tc>
          <w:tcPr>
            <w:tcW w:w="4540" w:type="dxa"/>
            <w:tcBorders>
              <w:top w:val="nil"/>
              <w:left w:val="nil"/>
              <w:bottom w:val="nil"/>
              <w:right w:val="nil"/>
            </w:tcBorders>
            <w:shd w:val="clear" w:color="auto" w:fill="auto"/>
            <w:vAlign w:val="center"/>
            <w:hideMark/>
          </w:tcPr>
          <w:p w:rsidR="00FD6AB3" w:rsidRPr="005E133C" w:rsidRDefault="00FD6AB3" w:rsidP="005E133C">
            <w:pPr>
              <w:spacing w:after="0" w:line="240" w:lineRule="auto"/>
              <w:rPr>
                <w:rFonts w:eastAsia="Times New Roman" w:cs="Times New Roman"/>
                <w:szCs w:val="22"/>
              </w:rPr>
            </w:pPr>
            <w:r>
              <w:rPr>
                <w:rFonts w:eastAsia="Times New Roman" w:cs="Times New Roman"/>
                <w:szCs w:val="22"/>
              </w:rPr>
              <w:t>Instituciones Públicas d</w:t>
            </w:r>
            <w:r w:rsidRPr="005E133C">
              <w:rPr>
                <w:rFonts w:eastAsia="Times New Roman" w:cs="Times New Roman"/>
                <w:szCs w:val="22"/>
              </w:rPr>
              <w:t>e Seguridad Social</w:t>
            </w:r>
          </w:p>
        </w:tc>
        <w:tc>
          <w:tcPr>
            <w:tcW w:w="2860" w:type="dxa"/>
            <w:tcBorders>
              <w:top w:val="nil"/>
              <w:left w:val="nil"/>
              <w:bottom w:val="nil"/>
              <w:right w:val="nil"/>
            </w:tcBorders>
            <w:shd w:val="clear" w:color="auto" w:fill="auto"/>
            <w:vAlign w:val="center"/>
            <w:hideMark/>
          </w:tcPr>
          <w:p w:rsidR="00FD6AB3" w:rsidRPr="0094148C" w:rsidRDefault="00FD6AB3" w:rsidP="00FD6AB3">
            <w:pPr>
              <w:spacing w:after="0" w:line="240" w:lineRule="auto"/>
              <w:jc w:val="right"/>
              <w:rPr>
                <w:rFonts w:eastAsia="Times New Roman" w:cs="Times New Roman"/>
                <w:color w:val="FF0000"/>
                <w:szCs w:val="22"/>
              </w:rPr>
            </w:pPr>
            <w:r w:rsidRPr="00FD6AB3">
              <w:rPr>
                <w:rFonts w:eastAsia="Times New Roman" w:cs="Times New Roman"/>
                <w:color w:val="000000" w:themeColor="text1"/>
                <w:szCs w:val="22"/>
              </w:rPr>
              <w:t>1,590,719,874</w:t>
            </w:r>
          </w:p>
        </w:tc>
        <w:tc>
          <w:tcPr>
            <w:tcW w:w="1700" w:type="dxa"/>
            <w:tcBorders>
              <w:top w:val="nil"/>
              <w:left w:val="nil"/>
              <w:bottom w:val="nil"/>
              <w:right w:val="nil"/>
            </w:tcBorders>
            <w:shd w:val="clear" w:color="auto" w:fill="auto"/>
            <w:vAlign w:val="bottom"/>
            <w:hideMark/>
          </w:tcPr>
          <w:p w:rsidR="00FD6AB3" w:rsidRDefault="00FD6AB3">
            <w:pPr>
              <w:jc w:val="right"/>
              <w:rPr>
                <w:szCs w:val="22"/>
              </w:rPr>
            </w:pPr>
            <w:r>
              <w:rPr>
                <w:szCs w:val="22"/>
              </w:rPr>
              <w:t>3.90%</w:t>
            </w:r>
          </w:p>
        </w:tc>
      </w:tr>
      <w:tr w:rsidR="00FD6AB3" w:rsidRPr="005E133C" w:rsidTr="00AB474D">
        <w:trPr>
          <w:trHeight w:val="900"/>
        </w:trPr>
        <w:tc>
          <w:tcPr>
            <w:tcW w:w="4540" w:type="dxa"/>
            <w:tcBorders>
              <w:top w:val="nil"/>
              <w:left w:val="nil"/>
              <w:bottom w:val="nil"/>
              <w:right w:val="nil"/>
            </w:tcBorders>
            <w:shd w:val="clear" w:color="auto" w:fill="auto"/>
            <w:vAlign w:val="center"/>
            <w:hideMark/>
          </w:tcPr>
          <w:p w:rsidR="00FD6AB3" w:rsidRPr="005E133C" w:rsidRDefault="00FD6AB3" w:rsidP="005E133C">
            <w:pPr>
              <w:spacing w:after="0" w:line="240" w:lineRule="auto"/>
              <w:rPr>
                <w:rFonts w:eastAsia="Times New Roman" w:cs="Times New Roman"/>
                <w:szCs w:val="22"/>
              </w:rPr>
            </w:pPr>
            <w:r w:rsidRPr="005E133C">
              <w:rPr>
                <w:rFonts w:eastAsia="Times New Roman" w:cs="Times New Roman"/>
                <w:szCs w:val="22"/>
              </w:rPr>
              <w:t>Entidades Paraestatales Empresariales No Financieras Con Participación</w:t>
            </w:r>
            <w:r>
              <w:rPr>
                <w:rFonts w:eastAsia="Times New Roman" w:cs="Times New Roman"/>
                <w:szCs w:val="22"/>
              </w:rPr>
              <w:t xml:space="preserve"> </w:t>
            </w:r>
            <w:r w:rsidRPr="005E133C">
              <w:rPr>
                <w:rFonts w:eastAsia="Times New Roman" w:cs="Times New Roman"/>
                <w:szCs w:val="22"/>
              </w:rPr>
              <w:t>Estatal Mayoritaria</w:t>
            </w:r>
          </w:p>
        </w:tc>
        <w:tc>
          <w:tcPr>
            <w:tcW w:w="2860" w:type="dxa"/>
            <w:tcBorders>
              <w:top w:val="nil"/>
              <w:left w:val="nil"/>
              <w:bottom w:val="nil"/>
              <w:right w:val="nil"/>
            </w:tcBorders>
            <w:shd w:val="clear" w:color="auto" w:fill="auto"/>
            <w:vAlign w:val="center"/>
            <w:hideMark/>
          </w:tcPr>
          <w:p w:rsidR="00FD6AB3" w:rsidRPr="0094148C" w:rsidRDefault="00FD6AB3" w:rsidP="00FD6AB3">
            <w:pPr>
              <w:spacing w:after="0" w:line="240" w:lineRule="auto"/>
              <w:jc w:val="right"/>
              <w:rPr>
                <w:rFonts w:eastAsia="Times New Roman" w:cs="Times New Roman"/>
                <w:color w:val="FF0000"/>
                <w:szCs w:val="22"/>
              </w:rPr>
            </w:pPr>
            <w:r w:rsidRPr="00FD6AB3">
              <w:rPr>
                <w:rFonts w:eastAsia="Times New Roman" w:cs="Times New Roman"/>
                <w:color w:val="000000" w:themeColor="text1"/>
                <w:szCs w:val="22"/>
              </w:rPr>
              <w:t>58,054,168</w:t>
            </w:r>
          </w:p>
        </w:tc>
        <w:tc>
          <w:tcPr>
            <w:tcW w:w="1700" w:type="dxa"/>
            <w:tcBorders>
              <w:top w:val="nil"/>
              <w:left w:val="nil"/>
              <w:bottom w:val="nil"/>
              <w:right w:val="nil"/>
            </w:tcBorders>
            <w:shd w:val="clear" w:color="auto" w:fill="auto"/>
            <w:vAlign w:val="bottom"/>
            <w:hideMark/>
          </w:tcPr>
          <w:p w:rsidR="00FD6AB3" w:rsidRDefault="00FD6AB3">
            <w:pPr>
              <w:jc w:val="right"/>
              <w:rPr>
                <w:szCs w:val="22"/>
              </w:rPr>
            </w:pPr>
            <w:r>
              <w:rPr>
                <w:szCs w:val="22"/>
              </w:rPr>
              <w:t>0.14%</w:t>
            </w:r>
          </w:p>
        </w:tc>
      </w:tr>
      <w:tr w:rsidR="005E133C" w:rsidRPr="004459C1" w:rsidTr="004459C1">
        <w:trPr>
          <w:trHeight w:val="300"/>
        </w:trPr>
        <w:tc>
          <w:tcPr>
            <w:tcW w:w="4540" w:type="dxa"/>
            <w:tcBorders>
              <w:top w:val="nil"/>
              <w:left w:val="nil"/>
              <w:bottom w:val="nil"/>
              <w:right w:val="nil"/>
            </w:tcBorders>
            <w:shd w:val="clear" w:color="auto" w:fill="9BBB59" w:themeFill="accent3"/>
            <w:vAlign w:val="center"/>
            <w:hideMark/>
          </w:tcPr>
          <w:p w:rsidR="005E133C" w:rsidRPr="004459C1" w:rsidRDefault="005E133C" w:rsidP="005E133C">
            <w:pPr>
              <w:spacing w:after="0" w:line="240" w:lineRule="auto"/>
              <w:rPr>
                <w:rFonts w:eastAsia="Times New Roman" w:cs="Times New Roman"/>
                <w:b/>
                <w:szCs w:val="22"/>
              </w:rPr>
            </w:pPr>
            <w:r w:rsidRPr="004459C1">
              <w:rPr>
                <w:rFonts w:eastAsia="Times New Roman" w:cs="Times New Roman"/>
                <w:b/>
                <w:szCs w:val="22"/>
              </w:rPr>
              <w:t>Total</w:t>
            </w:r>
          </w:p>
        </w:tc>
        <w:tc>
          <w:tcPr>
            <w:tcW w:w="2860" w:type="dxa"/>
            <w:tcBorders>
              <w:top w:val="nil"/>
              <w:left w:val="nil"/>
              <w:bottom w:val="nil"/>
              <w:right w:val="nil"/>
            </w:tcBorders>
            <w:shd w:val="clear" w:color="auto" w:fill="9BBB59" w:themeFill="accent3"/>
            <w:vAlign w:val="center"/>
            <w:hideMark/>
          </w:tcPr>
          <w:p w:rsidR="005E133C" w:rsidRPr="004459C1" w:rsidRDefault="00FD6AB3" w:rsidP="00FD6AB3">
            <w:pPr>
              <w:spacing w:after="0" w:line="240" w:lineRule="auto"/>
              <w:jc w:val="right"/>
              <w:rPr>
                <w:rFonts w:eastAsia="Times New Roman" w:cs="Times New Roman"/>
                <w:b/>
                <w:szCs w:val="22"/>
              </w:rPr>
            </w:pPr>
            <w:r>
              <w:rPr>
                <w:rFonts w:eastAsia="Times New Roman" w:cs="Times New Roman"/>
                <w:b/>
                <w:szCs w:val="22"/>
              </w:rPr>
              <w:t>40</w:t>
            </w:r>
            <w:r w:rsidR="0040712B" w:rsidRPr="004459C1">
              <w:rPr>
                <w:rFonts w:eastAsia="Times New Roman" w:cs="Times New Roman"/>
                <w:b/>
                <w:szCs w:val="22"/>
              </w:rPr>
              <w:t>,</w:t>
            </w:r>
            <w:r>
              <w:rPr>
                <w:rFonts w:eastAsia="Times New Roman" w:cs="Times New Roman"/>
                <w:b/>
                <w:szCs w:val="22"/>
              </w:rPr>
              <w:t>813</w:t>
            </w:r>
            <w:r w:rsidR="0040712B" w:rsidRPr="004459C1">
              <w:rPr>
                <w:rFonts w:eastAsia="Times New Roman" w:cs="Times New Roman"/>
                <w:b/>
                <w:szCs w:val="22"/>
              </w:rPr>
              <w:t>,</w:t>
            </w:r>
            <w:r>
              <w:rPr>
                <w:rFonts w:eastAsia="Times New Roman" w:cs="Times New Roman"/>
                <w:b/>
                <w:szCs w:val="22"/>
              </w:rPr>
              <w:t>192</w:t>
            </w:r>
            <w:r w:rsidR="0040712B" w:rsidRPr="004459C1">
              <w:rPr>
                <w:rFonts w:eastAsia="Times New Roman" w:cs="Times New Roman"/>
                <w:b/>
                <w:szCs w:val="22"/>
              </w:rPr>
              <w:t>,</w:t>
            </w:r>
            <w:r>
              <w:rPr>
                <w:rFonts w:eastAsia="Times New Roman" w:cs="Times New Roman"/>
                <w:b/>
                <w:szCs w:val="22"/>
              </w:rPr>
              <w:t>875</w:t>
            </w:r>
          </w:p>
        </w:tc>
        <w:tc>
          <w:tcPr>
            <w:tcW w:w="1700" w:type="dxa"/>
            <w:tcBorders>
              <w:top w:val="nil"/>
              <w:left w:val="nil"/>
              <w:bottom w:val="nil"/>
              <w:right w:val="nil"/>
            </w:tcBorders>
            <w:shd w:val="clear" w:color="auto" w:fill="9BBB59" w:themeFill="accent3"/>
            <w:vAlign w:val="center"/>
            <w:hideMark/>
          </w:tcPr>
          <w:p w:rsidR="005E133C" w:rsidRPr="004459C1" w:rsidRDefault="005E133C" w:rsidP="005E133C">
            <w:pPr>
              <w:spacing w:after="0" w:line="240" w:lineRule="auto"/>
              <w:jc w:val="right"/>
              <w:rPr>
                <w:rFonts w:eastAsia="Times New Roman" w:cs="Times New Roman"/>
                <w:b/>
                <w:szCs w:val="22"/>
              </w:rPr>
            </w:pPr>
            <w:r w:rsidRPr="004459C1">
              <w:rPr>
                <w:rFonts w:eastAsia="Times New Roman" w:cs="Times New Roman"/>
                <w:b/>
                <w:szCs w:val="22"/>
              </w:rPr>
              <w:t>100%</w:t>
            </w:r>
          </w:p>
        </w:tc>
      </w:tr>
    </w:tbl>
    <w:p w:rsidR="005E133C" w:rsidRDefault="005E133C">
      <w:pPr>
        <w:spacing w:after="0"/>
        <w:jc w:val="both"/>
      </w:pPr>
    </w:p>
    <w:p w:rsidR="005E133C" w:rsidRDefault="005E133C">
      <w:pPr>
        <w:spacing w:after="0"/>
        <w:jc w:val="both"/>
      </w:pPr>
    </w:p>
    <w:p w:rsidR="006F6A52" w:rsidRDefault="0060747A">
      <w:pPr>
        <w:spacing w:after="0"/>
        <w:jc w:val="both"/>
      </w:pPr>
      <w:r>
        <w:rPr>
          <w:u w:val="single"/>
        </w:rPr>
        <w:t>¿EN QUÉ SE GASTA?</w:t>
      </w:r>
    </w:p>
    <w:p w:rsidR="006F6A52" w:rsidRDefault="0060747A">
      <w:pPr>
        <w:spacing w:after="0"/>
        <w:jc w:val="both"/>
      </w:pPr>
      <w:r>
        <w:t xml:space="preserve">Se gasta principalmente en el cumplimiento de los objetivos de programas sociales, de fomento a las actividades agropecuarias, económicas y turísticas, así como los servicios públicos, que atienden las necesidades de la población. </w:t>
      </w:r>
    </w:p>
    <w:p w:rsidR="006F6A52" w:rsidRDefault="006F6A52">
      <w:pPr>
        <w:spacing w:after="0"/>
        <w:jc w:val="both"/>
      </w:pPr>
    </w:p>
    <w:p w:rsidR="006F6A52" w:rsidRDefault="0060747A">
      <w:pPr>
        <w:spacing w:after="0"/>
        <w:jc w:val="both"/>
      </w:pPr>
      <w:r>
        <w:t>El gasto público se destina a la inversión en infraestructura de agua potable, riego, electrificación, alumbrado público, pisos de cemento, baños, carreteras y caminos, educativa, de salud, de seguridad pública y de justicia, entre otros conceptos.</w:t>
      </w:r>
    </w:p>
    <w:p w:rsidR="006F6A52" w:rsidRDefault="006F6A52">
      <w:pPr>
        <w:spacing w:after="0"/>
        <w:jc w:val="both"/>
      </w:pPr>
    </w:p>
    <w:p w:rsidR="006F6A52" w:rsidRDefault="0060747A">
      <w:pPr>
        <w:spacing w:after="0"/>
        <w:jc w:val="both"/>
      </w:pPr>
      <w:r>
        <w:t>Así como a proporcionar becas, desayunos escolares, lentes, chamarras, zapatos, paquetes escolares, libros de texto, cobijas, insumos agropecuarios, créditos, etc.</w:t>
      </w:r>
    </w:p>
    <w:p w:rsidR="006F6A52" w:rsidRDefault="006F6A52">
      <w:pPr>
        <w:spacing w:after="0"/>
        <w:jc w:val="both"/>
      </w:pPr>
    </w:p>
    <w:p w:rsidR="006F6A52" w:rsidRDefault="0060747A">
      <w:pPr>
        <w:spacing w:after="0"/>
        <w:jc w:val="both"/>
      </w:pPr>
      <w:r>
        <w:t>Se gasta en el pago de los salarios de los maestros, médicos, enfermeras, policías, jueces, personal de la Fiscalía, defensores de oficio, mediadores y demás empleados públicos. También en el pago de servicios de energía eléctrica, telefonía, agua potable, mantenimiento de vehículos y maquinaria, aseguramiento de bienes patrimoniales, arrendamiento de inmuebles, mantenimiento de inmuebles que permita su preservación como patrimonio, y el pago de la deuda pública.</w:t>
      </w:r>
    </w:p>
    <w:p w:rsidR="006F6A52" w:rsidRDefault="006F6A52">
      <w:pPr>
        <w:spacing w:after="0"/>
        <w:jc w:val="both"/>
      </w:pPr>
    </w:p>
    <w:p w:rsidR="006F6A52" w:rsidRDefault="0060747A">
      <w:pPr>
        <w:spacing w:after="0"/>
        <w:jc w:val="both"/>
      </w:pPr>
      <w:r>
        <w:t>Cuadro 3. Egresos. Clasificación por objeto del gasto.</w:t>
      </w:r>
    </w:p>
    <w:p w:rsidR="006F6A52" w:rsidRDefault="006F6A52">
      <w:pPr>
        <w:spacing w:after="0"/>
        <w:jc w:val="both"/>
      </w:pPr>
    </w:p>
    <w:tbl>
      <w:tblPr>
        <w:tblW w:w="5000" w:type="pct"/>
        <w:tblCellMar>
          <w:left w:w="70" w:type="dxa"/>
          <w:right w:w="70" w:type="dxa"/>
        </w:tblCellMar>
        <w:tblLook w:val="04A0" w:firstRow="1" w:lastRow="0" w:firstColumn="1" w:lastColumn="0" w:noHBand="0" w:noVBand="1"/>
      </w:tblPr>
      <w:tblGrid>
        <w:gridCol w:w="6209"/>
        <w:gridCol w:w="2769"/>
      </w:tblGrid>
      <w:tr w:rsidR="0041732F" w:rsidRPr="0041732F" w:rsidTr="00F503B5">
        <w:trPr>
          <w:trHeight w:val="315"/>
        </w:trPr>
        <w:tc>
          <w:tcPr>
            <w:tcW w:w="3458" w:type="pct"/>
            <w:tcBorders>
              <w:top w:val="single" w:sz="8" w:space="0" w:color="B3CC82"/>
              <w:left w:val="single" w:sz="8" w:space="0" w:color="B3CC82"/>
              <w:bottom w:val="single" w:sz="8" w:space="0" w:color="B3CC82"/>
              <w:right w:val="single" w:sz="8" w:space="0" w:color="000000"/>
            </w:tcBorders>
            <w:shd w:val="clear" w:color="auto" w:fill="9BBB59" w:themeFill="accent3"/>
            <w:vAlign w:val="center"/>
            <w:hideMark/>
          </w:tcPr>
          <w:p w:rsidR="0041732F" w:rsidRPr="0041732F" w:rsidRDefault="0041732F" w:rsidP="0041732F">
            <w:pPr>
              <w:spacing w:after="0" w:line="240" w:lineRule="auto"/>
              <w:jc w:val="center"/>
              <w:rPr>
                <w:rFonts w:eastAsia="Times New Roman" w:cs="Times New Roman"/>
                <w:b/>
                <w:bCs/>
                <w:szCs w:val="22"/>
              </w:rPr>
            </w:pPr>
            <w:r w:rsidRPr="0041732F">
              <w:rPr>
                <w:rFonts w:eastAsia="Times New Roman" w:cs="Times New Roman"/>
                <w:b/>
                <w:bCs/>
                <w:szCs w:val="22"/>
              </w:rPr>
              <w:t>Capítulo de Gasto</w:t>
            </w:r>
          </w:p>
        </w:tc>
        <w:tc>
          <w:tcPr>
            <w:tcW w:w="1542" w:type="pct"/>
            <w:tcBorders>
              <w:top w:val="single" w:sz="8" w:space="0" w:color="B3CC82"/>
              <w:left w:val="nil"/>
              <w:bottom w:val="single" w:sz="8" w:space="0" w:color="B3CC82"/>
              <w:right w:val="single" w:sz="8" w:space="0" w:color="B3CC82"/>
            </w:tcBorders>
            <w:shd w:val="clear" w:color="auto" w:fill="9BBB59" w:themeFill="accent3"/>
            <w:vAlign w:val="center"/>
            <w:hideMark/>
          </w:tcPr>
          <w:p w:rsidR="0041732F" w:rsidRPr="0041732F" w:rsidRDefault="0041732F" w:rsidP="0041732F">
            <w:pPr>
              <w:spacing w:after="0" w:line="240" w:lineRule="auto"/>
              <w:jc w:val="center"/>
              <w:rPr>
                <w:rFonts w:eastAsia="Times New Roman" w:cs="Times New Roman"/>
                <w:b/>
                <w:bCs/>
                <w:szCs w:val="22"/>
              </w:rPr>
            </w:pPr>
            <w:r w:rsidRPr="0041732F">
              <w:rPr>
                <w:rFonts w:eastAsia="Times New Roman" w:cs="Times New Roman"/>
                <w:b/>
                <w:bCs/>
                <w:szCs w:val="22"/>
              </w:rPr>
              <w:t>Presupuesto</w:t>
            </w:r>
          </w:p>
        </w:tc>
      </w:tr>
      <w:tr w:rsidR="0041732F" w:rsidRPr="0041732F" w:rsidTr="00E43967">
        <w:trPr>
          <w:trHeight w:val="315"/>
        </w:trPr>
        <w:tc>
          <w:tcPr>
            <w:tcW w:w="3458" w:type="pct"/>
            <w:tcBorders>
              <w:top w:val="nil"/>
              <w:left w:val="single" w:sz="8" w:space="0" w:color="B3CC82"/>
              <w:bottom w:val="single" w:sz="8" w:space="0" w:color="B3CC82"/>
              <w:right w:val="single" w:sz="8" w:space="0" w:color="000000"/>
            </w:tcBorders>
            <w:shd w:val="clear" w:color="auto" w:fill="EAF1DD" w:themeFill="accent3" w:themeFillTint="33"/>
            <w:vAlign w:val="center"/>
            <w:hideMark/>
          </w:tcPr>
          <w:p w:rsidR="0041732F" w:rsidRPr="0041732F" w:rsidRDefault="0094148C" w:rsidP="0041732F">
            <w:pPr>
              <w:spacing w:after="0" w:line="240" w:lineRule="auto"/>
              <w:jc w:val="center"/>
              <w:rPr>
                <w:rFonts w:eastAsia="Times New Roman" w:cs="Times New Roman"/>
                <w:szCs w:val="22"/>
              </w:rPr>
            </w:pPr>
            <w:r w:rsidRPr="0041732F">
              <w:rPr>
                <w:rFonts w:eastAsia="Times New Roman" w:cs="Times New Roman"/>
                <w:szCs w:val="22"/>
              </w:rPr>
              <w:t>Servicios Personales</w:t>
            </w:r>
          </w:p>
        </w:tc>
        <w:tc>
          <w:tcPr>
            <w:tcW w:w="1542" w:type="pct"/>
            <w:tcBorders>
              <w:top w:val="nil"/>
              <w:left w:val="nil"/>
              <w:bottom w:val="single" w:sz="8" w:space="0" w:color="B3CC82"/>
              <w:right w:val="single" w:sz="8" w:space="0" w:color="B3CC82"/>
            </w:tcBorders>
            <w:shd w:val="clear" w:color="auto" w:fill="EAF1DD" w:themeFill="accent3" w:themeFillTint="33"/>
            <w:vAlign w:val="center"/>
            <w:hideMark/>
          </w:tcPr>
          <w:p w:rsidR="0041732F" w:rsidRPr="0094148C" w:rsidRDefault="00283052" w:rsidP="004604FE">
            <w:pPr>
              <w:spacing w:after="0" w:line="240" w:lineRule="auto"/>
              <w:jc w:val="right"/>
              <w:rPr>
                <w:rFonts w:eastAsia="Times New Roman" w:cs="Times New Roman"/>
                <w:color w:val="FF0000"/>
                <w:szCs w:val="22"/>
              </w:rPr>
            </w:pPr>
            <w:r w:rsidRPr="004604FE">
              <w:rPr>
                <w:rFonts w:eastAsia="Times New Roman" w:cs="Times New Roman"/>
                <w:color w:val="000000" w:themeColor="text1"/>
                <w:szCs w:val="22"/>
              </w:rPr>
              <w:t>1</w:t>
            </w:r>
            <w:r w:rsidR="004604FE" w:rsidRPr="004604FE">
              <w:rPr>
                <w:rFonts w:eastAsia="Times New Roman" w:cs="Times New Roman"/>
                <w:color w:val="000000" w:themeColor="text1"/>
                <w:szCs w:val="22"/>
              </w:rPr>
              <w:t>1</w:t>
            </w:r>
            <w:r w:rsidRPr="004604FE">
              <w:rPr>
                <w:rFonts w:eastAsia="Times New Roman" w:cs="Times New Roman"/>
                <w:color w:val="000000" w:themeColor="text1"/>
                <w:szCs w:val="22"/>
              </w:rPr>
              <w:t>,</w:t>
            </w:r>
            <w:r w:rsidR="004604FE" w:rsidRPr="004604FE">
              <w:rPr>
                <w:rFonts w:eastAsia="Times New Roman" w:cs="Times New Roman"/>
                <w:color w:val="000000" w:themeColor="text1"/>
                <w:szCs w:val="22"/>
              </w:rPr>
              <w:t>568</w:t>
            </w:r>
            <w:r w:rsidRPr="004604FE">
              <w:rPr>
                <w:rFonts w:eastAsia="Times New Roman" w:cs="Times New Roman"/>
                <w:color w:val="000000" w:themeColor="text1"/>
                <w:szCs w:val="22"/>
              </w:rPr>
              <w:t>,</w:t>
            </w:r>
            <w:r w:rsidR="004604FE" w:rsidRPr="004604FE">
              <w:rPr>
                <w:rFonts w:eastAsia="Times New Roman" w:cs="Times New Roman"/>
                <w:color w:val="000000" w:themeColor="text1"/>
                <w:szCs w:val="22"/>
              </w:rPr>
              <w:t>137</w:t>
            </w:r>
            <w:r w:rsidRPr="004604FE">
              <w:rPr>
                <w:rFonts w:eastAsia="Times New Roman" w:cs="Times New Roman"/>
                <w:color w:val="000000" w:themeColor="text1"/>
                <w:szCs w:val="22"/>
              </w:rPr>
              <w:t>,</w:t>
            </w:r>
            <w:r w:rsidR="004604FE" w:rsidRPr="004604FE">
              <w:rPr>
                <w:rFonts w:eastAsia="Times New Roman" w:cs="Times New Roman"/>
                <w:color w:val="000000" w:themeColor="text1"/>
                <w:szCs w:val="22"/>
              </w:rPr>
              <w:t>09</w:t>
            </w:r>
            <w:r w:rsidRPr="004604FE">
              <w:rPr>
                <w:rFonts w:eastAsia="Times New Roman" w:cs="Times New Roman"/>
                <w:color w:val="000000" w:themeColor="text1"/>
                <w:szCs w:val="22"/>
              </w:rPr>
              <w:t>9</w:t>
            </w:r>
            <w:r w:rsidR="0041732F" w:rsidRPr="004604FE">
              <w:rPr>
                <w:rFonts w:eastAsia="Times New Roman" w:cs="Times New Roman"/>
                <w:color w:val="000000" w:themeColor="text1"/>
                <w:szCs w:val="22"/>
              </w:rPr>
              <w:t xml:space="preserve"> </w:t>
            </w:r>
          </w:p>
        </w:tc>
      </w:tr>
      <w:tr w:rsidR="0041732F" w:rsidRPr="0041732F" w:rsidTr="00D55BA8">
        <w:trPr>
          <w:trHeight w:val="315"/>
        </w:trPr>
        <w:tc>
          <w:tcPr>
            <w:tcW w:w="3458" w:type="pct"/>
            <w:tcBorders>
              <w:top w:val="nil"/>
              <w:left w:val="single" w:sz="8" w:space="0" w:color="B3CC82"/>
              <w:bottom w:val="single" w:sz="8" w:space="0" w:color="B3CC82"/>
              <w:right w:val="single" w:sz="8" w:space="0" w:color="000000"/>
            </w:tcBorders>
            <w:shd w:val="clear" w:color="auto" w:fill="auto"/>
            <w:vAlign w:val="center"/>
            <w:hideMark/>
          </w:tcPr>
          <w:p w:rsidR="0041732F" w:rsidRPr="0041732F" w:rsidRDefault="0094148C" w:rsidP="0041732F">
            <w:pPr>
              <w:spacing w:after="0" w:line="240" w:lineRule="auto"/>
              <w:jc w:val="center"/>
              <w:rPr>
                <w:rFonts w:eastAsia="Times New Roman" w:cs="Times New Roman"/>
                <w:szCs w:val="22"/>
              </w:rPr>
            </w:pPr>
            <w:r>
              <w:rPr>
                <w:rFonts w:eastAsia="Times New Roman" w:cs="Times New Roman"/>
                <w:szCs w:val="22"/>
              </w:rPr>
              <w:t>Materiales y</w:t>
            </w:r>
            <w:r w:rsidRPr="0041732F">
              <w:rPr>
                <w:rFonts w:eastAsia="Times New Roman" w:cs="Times New Roman"/>
                <w:szCs w:val="22"/>
              </w:rPr>
              <w:t xml:space="preserve"> Suministros</w:t>
            </w:r>
          </w:p>
        </w:tc>
        <w:tc>
          <w:tcPr>
            <w:tcW w:w="1542" w:type="pct"/>
            <w:tcBorders>
              <w:top w:val="nil"/>
              <w:left w:val="nil"/>
              <w:bottom w:val="single" w:sz="8" w:space="0" w:color="B3CC82"/>
              <w:right w:val="single" w:sz="8" w:space="0" w:color="B3CC82"/>
            </w:tcBorders>
            <w:shd w:val="clear" w:color="auto" w:fill="auto"/>
            <w:vAlign w:val="center"/>
            <w:hideMark/>
          </w:tcPr>
          <w:p w:rsidR="0041732F" w:rsidRPr="004604FE" w:rsidRDefault="004604FE" w:rsidP="004604FE">
            <w:pPr>
              <w:spacing w:after="0" w:line="240" w:lineRule="auto"/>
              <w:jc w:val="right"/>
              <w:rPr>
                <w:rFonts w:eastAsia="Times New Roman" w:cs="Times New Roman"/>
                <w:color w:val="000000" w:themeColor="text1"/>
                <w:szCs w:val="22"/>
              </w:rPr>
            </w:pPr>
            <w:r w:rsidRPr="004604FE">
              <w:rPr>
                <w:rFonts w:eastAsia="Times New Roman" w:cs="Times New Roman"/>
                <w:color w:val="000000" w:themeColor="text1"/>
                <w:szCs w:val="22"/>
              </w:rPr>
              <w:t>846</w:t>
            </w:r>
            <w:r w:rsidR="00283052" w:rsidRPr="004604FE">
              <w:rPr>
                <w:rFonts w:eastAsia="Times New Roman" w:cs="Times New Roman"/>
                <w:color w:val="000000" w:themeColor="text1"/>
                <w:szCs w:val="22"/>
              </w:rPr>
              <w:t>,</w:t>
            </w:r>
            <w:r w:rsidRPr="004604FE">
              <w:rPr>
                <w:rFonts w:eastAsia="Times New Roman" w:cs="Times New Roman"/>
                <w:color w:val="000000" w:themeColor="text1"/>
                <w:szCs w:val="22"/>
              </w:rPr>
              <w:t>50</w:t>
            </w:r>
            <w:r w:rsidR="00283052" w:rsidRPr="004604FE">
              <w:rPr>
                <w:rFonts w:eastAsia="Times New Roman" w:cs="Times New Roman"/>
                <w:color w:val="000000" w:themeColor="text1"/>
                <w:szCs w:val="22"/>
              </w:rPr>
              <w:t>4,</w:t>
            </w:r>
            <w:r w:rsidRPr="004604FE">
              <w:rPr>
                <w:rFonts w:eastAsia="Times New Roman" w:cs="Times New Roman"/>
                <w:color w:val="000000" w:themeColor="text1"/>
                <w:szCs w:val="22"/>
              </w:rPr>
              <w:t>508</w:t>
            </w:r>
          </w:p>
        </w:tc>
      </w:tr>
      <w:tr w:rsidR="0041732F" w:rsidRPr="0041732F" w:rsidTr="00D55BA8">
        <w:trPr>
          <w:trHeight w:val="315"/>
        </w:trPr>
        <w:tc>
          <w:tcPr>
            <w:tcW w:w="3458" w:type="pct"/>
            <w:tcBorders>
              <w:top w:val="nil"/>
              <w:left w:val="single" w:sz="8" w:space="0" w:color="B3CC82"/>
              <w:bottom w:val="single" w:sz="8" w:space="0" w:color="B3CC82"/>
              <w:right w:val="single" w:sz="8" w:space="0" w:color="000000"/>
            </w:tcBorders>
            <w:shd w:val="clear" w:color="000000" w:fill="E6EED5"/>
            <w:vAlign w:val="center"/>
            <w:hideMark/>
          </w:tcPr>
          <w:p w:rsidR="0041732F" w:rsidRPr="0041732F" w:rsidRDefault="0094148C" w:rsidP="0041732F">
            <w:pPr>
              <w:spacing w:after="0" w:line="240" w:lineRule="auto"/>
              <w:jc w:val="center"/>
              <w:rPr>
                <w:rFonts w:eastAsia="Times New Roman" w:cs="Times New Roman"/>
                <w:szCs w:val="22"/>
              </w:rPr>
            </w:pPr>
            <w:r w:rsidRPr="0041732F">
              <w:rPr>
                <w:rFonts w:eastAsia="Times New Roman" w:cs="Times New Roman"/>
                <w:szCs w:val="22"/>
              </w:rPr>
              <w:t>Servicios Generales</w:t>
            </w:r>
          </w:p>
        </w:tc>
        <w:tc>
          <w:tcPr>
            <w:tcW w:w="1542" w:type="pct"/>
            <w:tcBorders>
              <w:top w:val="nil"/>
              <w:left w:val="nil"/>
              <w:bottom w:val="single" w:sz="8" w:space="0" w:color="B3CC82"/>
              <w:right w:val="single" w:sz="8" w:space="0" w:color="B3CC82"/>
            </w:tcBorders>
            <w:shd w:val="clear" w:color="000000" w:fill="E6EED5"/>
            <w:vAlign w:val="center"/>
            <w:hideMark/>
          </w:tcPr>
          <w:p w:rsidR="0041732F" w:rsidRPr="004604FE" w:rsidRDefault="00283052" w:rsidP="004604FE">
            <w:pPr>
              <w:spacing w:after="0" w:line="240" w:lineRule="auto"/>
              <w:jc w:val="right"/>
              <w:rPr>
                <w:rFonts w:eastAsia="Times New Roman" w:cs="Times New Roman"/>
                <w:color w:val="000000" w:themeColor="text1"/>
                <w:szCs w:val="22"/>
              </w:rPr>
            </w:pPr>
            <w:r w:rsidRPr="004604FE">
              <w:rPr>
                <w:rFonts w:eastAsia="Times New Roman" w:cs="Times New Roman"/>
                <w:color w:val="000000" w:themeColor="text1"/>
                <w:szCs w:val="22"/>
              </w:rPr>
              <w:t>2,</w:t>
            </w:r>
            <w:r w:rsidR="004604FE" w:rsidRPr="004604FE">
              <w:rPr>
                <w:rFonts w:eastAsia="Times New Roman" w:cs="Times New Roman"/>
                <w:color w:val="000000" w:themeColor="text1"/>
                <w:szCs w:val="22"/>
              </w:rPr>
              <w:t>524</w:t>
            </w:r>
            <w:r w:rsidRPr="004604FE">
              <w:rPr>
                <w:rFonts w:eastAsia="Times New Roman" w:cs="Times New Roman"/>
                <w:color w:val="000000" w:themeColor="text1"/>
                <w:szCs w:val="22"/>
              </w:rPr>
              <w:t>,</w:t>
            </w:r>
            <w:r w:rsidR="004604FE" w:rsidRPr="004604FE">
              <w:rPr>
                <w:rFonts w:eastAsia="Times New Roman" w:cs="Times New Roman"/>
                <w:color w:val="000000" w:themeColor="text1"/>
                <w:szCs w:val="22"/>
              </w:rPr>
              <w:t>414</w:t>
            </w:r>
            <w:r w:rsidRPr="004604FE">
              <w:rPr>
                <w:rFonts w:eastAsia="Times New Roman" w:cs="Times New Roman"/>
                <w:color w:val="000000" w:themeColor="text1"/>
                <w:szCs w:val="22"/>
              </w:rPr>
              <w:t>,</w:t>
            </w:r>
            <w:r w:rsidR="004604FE" w:rsidRPr="004604FE">
              <w:rPr>
                <w:rFonts w:eastAsia="Times New Roman" w:cs="Times New Roman"/>
                <w:color w:val="000000" w:themeColor="text1"/>
                <w:szCs w:val="22"/>
              </w:rPr>
              <w:t>105</w:t>
            </w:r>
          </w:p>
        </w:tc>
      </w:tr>
      <w:tr w:rsidR="0041732F" w:rsidRPr="0041732F" w:rsidTr="00D55BA8">
        <w:trPr>
          <w:trHeight w:val="615"/>
        </w:trPr>
        <w:tc>
          <w:tcPr>
            <w:tcW w:w="3458" w:type="pct"/>
            <w:tcBorders>
              <w:top w:val="nil"/>
              <w:left w:val="single" w:sz="8" w:space="0" w:color="B3CC82"/>
              <w:bottom w:val="single" w:sz="8" w:space="0" w:color="B3CC82"/>
              <w:right w:val="single" w:sz="8" w:space="0" w:color="000000"/>
            </w:tcBorders>
            <w:shd w:val="clear" w:color="auto" w:fill="auto"/>
            <w:vAlign w:val="center"/>
            <w:hideMark/>
          </w:tcPr>
          <w:p w:rsidR="0041732F" w:rsidRPr="0041732F" w:rsidRDefault="0094148C" w:rsidP="0041732F">
            <w:pPr>
              <w:spacing w:after="0" w:line="240" w:lineRule="auto"/>
              <w:jc w:val="center"/>
              <w:rPr>
                <w:rFonts w:eastAsia="Times New Roman" w:cs="Times New Roman"/>
                <w:szCs w:val="22"/>
              </w:rPr>
            </w:pPr>
            <w:r w:rsidRPr="0041732F">
              <w:rPr>
                <w:rFonts w:eastAsia="Times New Roman" w:cs="Times New Roman"/>
                <w:szCs w:val="22"/>
              </w:rPr>
              <w:t>Transfere</w:t>
            </w:r>
            <w:r>
              <w:rPr>
                <w:rFonts w:eastAsia="Times New Roman" w:cs="Times New Roman"/>
                <w:szCs w:val="22"/>
              </w:rPr>
              <w:t>ncias, Asignaciones, Subsidios y</w:t>
            </w:r>
            <w:r w:rsidRPr="0041732F">
              <w:rPr>
                <w:rFonts w:eastAsia="Times New Roman" w:cs="Times New Roman"/>
                <w:szCs w:val="22"/>
              </w:rPr>
              <w:t xml:space="preserve"> Otras Ayudas</w:t>
            </w:r>
          </w:p>
        </w:tc>
        <w:tc>
          <w:tcPr>
            <w:tcW w:w="1542" w:type="pct"/>
            <w:tcBorders>
              <w:top w:val="nil"/>
              <w:left w:val="nil"/>
              <w:bottom w:val="single" w:sz="8" w:space="0" w:color="B3CC82"/>
              <w:right w:val="single" w:sz="8" w:space="0" w:color="B3CC82"/>
            </w:tcBorders>
            <w:shd w:val="clear" w:color="auto" w:fill="auto"/>
            <w:vAlign w:val="center"/>
            <w:hideMark/>
          </w:tcPr>
          <w:p w:rsidR="0041732F" w:rsidRPr="0094148C" w:rsidRDefault="00283052" w:rsidP="004604FE">
            <w:pPr>
              <w:spacing w:after="0" w:line="240" w:lineRule="auto"/>
              <w:jc w:val="right"/>
              <w:rPr>
                <w:rFonts w:eastAsia="Times New Roman" w:cs="Times New Roman"/>
                <w:color w:val="FF0000"/>
                <w:szCs w:val="22"/>
              </w:rPr>
            </w:pPr>
            <w:r w:rsidRPr="004604FE">
              <w:rPr>
                <w:rFonts w:eastAsia="Times New Roman" w:cs="Times New Roman"/>
                <w:color w:val="000000" w:themeColor="text1"/>
                <w:szCs w:val="22"/>
              </w:rPr>
              <w:t>18,4</w:t>
            </w:r>
            <w:r w:rsidR="004604FE" w:rsidRPr="004604FE">
              <w:rPr>
                <w:rFonts w:eastAsia="Times New Roman" w:cs="Times New Roman"/>
                <w:color w:val="000000" w:themeColor="text1"/>
                <w:szCs w:val="22"/>
              </w:rPr>
              <w:t>69</w:t>
            </w:r>
            <w:r w:rsidRPr="004604FE">
              <w:rPr>
                <w:rFonts w:eastAsia="Times New Roman" w:cs="Times New Roman"/>
                <w:color w:val="000000" w:themeColor="text1"/>
                <w:szCs w:val="22"/>
              </w:rPr>
              <w:t>,</w:t>
            </w:r>
            <w:r w:rsidR="004604FE" w:rsidRPr="004604FE">
              <w:rPr>
                <w:rFonts w:eastAsia="Times New Roman" w:cs="Times New Roman"/>
                <w:color w:val="000000" w:themeColor="text1"/>
                <w:szCs w:val="22"/>
              </w:rPr>
              <w:t>797</w:t>
            </w:r>
            <w:r w:rsidRPr="004604FE">
              <w:rPr>
                <w:rFonts w:eastAsia="Times New Roman" w:cs="Times New Roman"/>
                <w:color w:val="000000" w:themeColor="text1"/>
                <w:szCs w:val="22"/>
              </w:rPr>
              <w:t>,</w:t>
            </w:r>
            <w:r w:rsidR="004604FE" w:rsidRPr="004604FE">
              <w:rPr>
                <w:rFonts w:eastAsia="Times New Roman" w:cs="Times New Roman"/>
                <w:color w:val="000000" w:themeColor="text1"/>
                <w:szCs w:val="22"/>
              </w:rPr>
              <w:t>787</w:t>
            </w:r>
          </w:p>
        </w:tc>
      </w:tr>
      <w:tr w:rsidR="0041732F" w:rsidRPr="0041732F" w:rsidTr="00D55BA8">
        <w:trPr>
          <w:trHeight w:val="315"/>
        </w:trPr>
        <w:tc>
          <w:tcPr>
            <w:tcW w:w="3458" w:type="pct"/>
            <w:tcBorders>
              <w:top w:val="nil"/>
              <w:left w:val="single" w:sz="8" w:space="0" w:color="B3CC82"/>
              <w:bottom w:val="single" w:sz="8" w:space="0" w:color="B3CC82"/>
              <w:right w:val="single" w:sz="8" w:space="0" w:color="000000"/>
            </w:tcBorders>
            <w:shd w:val="clear" w:color="000000" w:fill="E6EED5"/>
            <w:vAlign w:val="center"/>
            <w:hideMark/>
          </w:tcPr>
          <w:p w:rsidR="0041732F" w:rsidRPr="0041732F" w:rsidRDefault="0094148C" w:rsidP="0041732F">
            <w:pPr>
              <w:spacing w:after="0" w:line="240" w:lineRule="auto"/>
              <w:jc w:val="center"/>
              <w:rPr>
                <w:rFonts w:eastAsia="Times New Roman" w:cs="Times New Roman"/>
                <w:szCs w:val="22"/>
              </w:rPr>
            </w:pPr>
            <w:r w:rsidRPr="0041732F">
              <w:rPr>
                <w:rFonts w:eastAsia="Times New Roman" w:cs="Times New Roman"/>
                <w:szCs w:val="22"/>
              </w:rPr>
              <w:t>Bienes Muebles, Inmu</w:t>
            </w:r>
            <w:r>
              <w:rPr>
                <w:rFonts w:eastAsia="Times New Roman" w:cs="Times New Roman"/>
                <w:szCs w:val="22"/>
              </w:rPr>
              <w:t>ebles e</w:t>
            </w:r>
            <w:r w:rsidRPr="0041732F">
              <w:rPr>
                <w:rFonts w:eastAsia="Times New Roman" w:cs="Times New Roman"/>
                <w:szCs w:val="22"/>
              </w:rPr>
              <w:t xml:space="preserve"> Intangibles</w:t>
            </w:r>
          </w:p>
        </w:tc>
        <w:tc>
          <w:tcPr>
            <w:tcW w:w="1542" w:type="pct"/>
            <w:tcBorders>
              <w:top w:val="nil"/>
              <w:left w:val="nil"/>
              <w:bottom w:val="single" w:sz="8" w:space="0" w:color="B3CC82"/>
              <w:right w:val="single" w:sz="8" w:space="0" w:color="B3CC82"/>
            </w:tcBorders>
            <w:shd w:val="clear" w:color="000000" w:fill="E6EED5"/>
            <w:vAlign w:val="center"/>
            <w:hideMark/>
          </w:tcPr>
          <w:p w:rsidR="0041732F" w:rsidRPr="0094148C" w:rsidRDefault="004604FE" w:rsidP="004604FE">
            <w:pPr>
              <w:spacing w:after="0" w:line="240" w:lineRule="auto"/>
              <w:jc w:val="right"/>
              <w:rPr>
                <w:rFonts w:eastAsia="Times New Roman" w:cs="Times New Roman"/>
                <w:color w:val="FF0000"/>
                <w:szCs w:val="22"/>
              </w:rPr>
            </w:pPr>
            <w:r w:rsidRPr="004604FE">
              <w:rPr>
                <w:rFonts w:eastAsia="Times New Roman" w:cs="Times New Roman"/>
                <w:color w:val="000000" w:themeColor="text1"/>
                <w:szCs w:val="22"/>
              </w:rPr>
              <w:t>78</w:t>
            </w:r>
            <w:r w:rsidR="00283052" w:rsidRPr="004604FE">
              <w:rPr>
                <w:rFonts w:eastAsia="Times New Roman" w:cs="Times New Roman"/>
                <w:color w:val="000000" w:themeColor="text1"/>
                <w:szCs w:val="22"/>
              </w:rPr>
              <w:t>,0</w:t>
            </w:r>
            <w:r w:rsidRPr="004604FE">
              <w:rPr>
                <w:rFonts w:eastAsia="Times New Roman" w:cs="Times New Roman"/>
                <w:color w:val="000000" w:themeColor="text1"/>
                <w:szCs w:val="22"/>
              </w:rPr>
              <w:t>31</w:t>
            </w:r>
            <w:r w:rsidR="00283052" w:rsidRPr="004604FE">
              <w:rPr>
                <w:rFonts w:eastAsia="Times New Roman" w:cs="Times New Roman"/>
                <w:color w:val="000000" w:themeColor="text1"/>
                <w:szCs w:val="22"/>
              </w:rPr>
              <w:t>,1</w:t>
            </w:r>
            <w:r w:rsidRPr="004604FE">
              <w:rPr>
                <w:rFonts w:eastAsia="Times New Roman" w:cs="Times New Roman"/>
                <w:color w:val="000000" w:themeColor="text1"/>
                <w:szCs w:val="22"/>
              </w:rPr>
              <w:t>92</w:t>
            </w:r>
            <w:r w:rsidR="0041732F" w:rsidRPr="004604FE">
              <w:rPr>
                <w:rFonts w:eastAsia="Times New Roman" w:cs="Times New Roman"/>
                <w:color w:val="000000" w:themeColor="text1"/>
                <w:szCs w:val="22"/>
              </w:rPr>
              <w:t xml:space="preserve"> </w:t>
            </w:r>
          </w:p>
        </w:tc>
      </w:tr>
      <w:tr w:rsidR="0041732F" w:rsidRPr="0041732F" w:rsidTr="00D55BA8">
        <w:trPr>
          <w:trHeight w:val="315"/>
        </w:trPr>
        <w:tc>
          <w:tcPr>
            <w:tcW w:w="3458" w:type="pct"/>
            <w:tcBorders>
              <w:top w:val="nil"/>
              <w:left w:val="single" w:sz="8" w:space="0" w:color="B3CC82"/>
              <w:bottom w:val="single" w:sz="8" w:space="0" w:color="B3CC82"/>
              <w:right w:val="single" w:sz="8" w:space="0" w:color="000000"/>
            </w:tcBorders>
            <w:shd w:val="clear" w:color="auto" w:fill="auto"/>
            <w:vAlign w:val="center"/>
            <w:hideMark/>
          </w:tcPr>
          <w:p w:rsidR="0041732F" w:rsidRPr="0041732F" w:rsidRDefault="0094148C" w:rsidP="0041732F">
            <w:pPr>
              <w:spacing w:after="0" w:line="240" w:lineRule="auto"/>
              <w:jc w:val="center"/>
              <w:rPr>
                <w:rFonts w:eastAsia="Times New Roman" w:cs="Times New Roman"/>
                <w:szCs w:val="22"/>
              </w:rPr>
            </w:pPr>
            <w:r w:rsidRPr="0041732F">
              <w:rPr>
                <w:rFonts w:eastAsia="Times New Roman" w:cs="Times New Roman"/>
                <w:szCs w:val="22"/>
              </w:rPr>
              <w:t>Inversión Pública</w:t>
            </w:r>
          </w:p>
        </w:tc>
        <w:tc>
          <w:tcPr>
            <w:tcW w:w="1542" w:type="pct"/>
            <w:tcBorders>
              <w:top w:val="nil"/>
              <w:left w:val="nil"/>
              <w:bottom w:val="single" w:sz="8" w:space="0" w:color="B3CC82"/>
              <w:right w:val="single" w:sz="8" w:space="0" w:color="B3CC82"/>
            </w:tcBorders>
            <w:shd w:val="clear" w:color="auto" w:fill="auto"/>
            <w:vAlign w:val="center"/>
            <w:hideMark/>
          </w:tcPr>
          <w:p w:rsidR="0041732F" w:rsidRPr="0094148C" w:rsidRDefault="004604FE" w:rsidP="004604FE">
            <w:pPr>
              <w:spacing w:after="0" w:line="240" w:lineRule="auto"/>
              <w:jc w:val="right"/>
              <w:rPr>
                <w:rFonts w:eastAsia="Times New Roman" w:cs="Times New Roman"/>
                <w:color w:val="FF0000"/>
                <w:szCs w:val="22"/>
              </w:rPr>
            </w:pPr>
            <w:r w:rsidRPr="004604FE">
              <w:rPr>
                <w:rFonts w:eastAsia="Times New Roman" w:cs="Times New Roman"/>
                <w:color w:val="000000" w:themeColor="text1"/>
                <w:szCs w:val="22"/>
              </w:rPr>
              <w:t>766</w:t>
            </w:r>
            <w:r w:rsidR="00283052" w:rsidRPr="004604FE">
              <w:rPr>
                <w:rFonts w:eastAsia="Times New Roman" w:cs="Times New Roman"/>
                <w:color w:val="000000" w:themeColor="text1"/>
                <w:szCs w:val="22"/>
              </w:rPr>
              <w:t>,76</w:t>
            </w:r>
            <w:r w:rsidRPr="004604FE">
              <w:rPr>
                <w:rFonts w:eastAsia="Times New Roman" w:cs="Times New Roman"/>
                <w:color w:val="000000" w:themeColor="text1"/>
                <w:szCs w:val="22"/>
              </w:rPr>
              <w:t>4</w:t>
            </w:r>
            <w:r w:rsidR="00283052" w:rsidRPr="004604FE">
              <w:rPr>
                <w:rFonts w:eastAsia="Times New Roman" w:cs="Times New Roman"/>
                <w:color w:val="000000" w:themeColor="text1"/>
                <w:szCs w:val="22"/>
              </w:rPr>
              <w:t>,</w:t>
            </w:r>
            <w:r w:rsidRPr="004604FE">
              <w:rPr>
                <w:rFonts w:eastAsia="Times New Roman" w:cs="Times New Roman"/>
                <w:color w:val="000000" w:themeColor="text1"/>
                <w:szCs w:val="22"/>
              </w:rPr>
              <w:t>2</w:t>
            </w:r>
            <w:r w:rsidR="00283052" w:rsidRPr="004604FE">
              <w:rPr>
                <w:rFonts w:eastAsia="Times New Roman" w:cs="Times New Roman"/>
                <w:color w:val="000000" w:themeColor="text1"/>
                <w:szCs w:val="22"/>
              </w:rPr>
              <w:t>7</w:t>
            </w:r>
            <w:r w:rsidRPr="004604FE">
              <w:rPr>
                <w:rFonts w:eastAsia="Times New Roman" w:cs="Times New Roman"/>
                <w:color w:val="000000" w:themeColor="text1"/>
                <w:szCs w:val="22"/>
              </w:rPr>
              <w:t>1</w:t>
            </w:r>
          </w:p>
        </w:tc>
      </w:tr>
      <w:tr w:rsidR="0041732F" w:rsidRPr="0041732F" w:rsidTr="00D55BA8">
        <w:trPr>
          <w:trHeight w:val="615"/>
        </w:trPr>
        <w:tc>
          <w:tcPr>
            <w:tcW w:w="3458" w:type="pct"/>
            <w:tcBorders>
              <w:top w:val="nil"/>
              <w:left w:val="single" w:sz="8" w:space="0" w:color="B3CC82"/>
              <w:bottom w:val="single" w:sz="8" w:space="0" w:color="B3CC82"/>
              <w:right w:val="single" w:sz="8" w:space="0" w:color="000000"/>
            </w:tcBorders>
            <w:shd w:val="clear" w:color="000000" w:fill="E6EED5"/>
            <w:vAlign w:val="center"/>
            <w:hideMark/>
          </w:tcPr>
          <w:p w:rsidR="0041732F" w:rsidRPr="0041732F" w:rsidRDefault="0094148C" w:rsidP="0041732F">
            <w:pPr>
              <w:spacing w:after="0" w:line="240" w:lineRule="auto"/>
              <w:jc w:val="center"/>
              <w:rPr>
                <w:rFonts w:eastAsia="Times New Roman" w:cs="Times New Roman"/>
                <w:szCs w:val="22"/>
              </w:rPr>
            </w:pPr>
            <w:r>
              <w:rPr>
                <w:rFonts w:eastAsia="Times New Roman" w:cs="Times New Roman"/>
                <w:szCs w:val="22"/>
              </w:rPr>
              <w:t>Inversiones Financieras y</w:t>
            </w:r>
            <w:r w:rsidRPr="0041732F">
              <w:rPr>
                <w:rFonts w:eastAsia="Times New Roman" w:cs="Times New Roman"/>
                <w:szCs w:val="22"/>
              </w:rPr>
              <w:t xml:space="preserve"> Otras Provisiones</w:t>
            </w:r>
          </w:p>
        </w:tc>
        <w:tc>
          <w:tcPr>
            <w:tcW w:w="1542" w:type="pct"/>
            <w:tcBorders>
              <w:top w:val="nil"/>
              <w:left w:val="nil"/>
              <w:bottom w:val="single" w:sz="8" w:space="0" w:color="B3CC82"/>
              <w:right w:val="single" w:sz="8" w:space="0" w:color="B3CC82"/>
            </w:tcBorders>
            <w:shd w:val="clear" w:color="000000" w:fill="E6EED5"/>
            <w:vAlign w:val="center"/>
            <w:hideMark/>
          </w:tcPr>
          <w:p w:rsidR="0041732F" w:rsidRPr="0094148C" w:rsidRDefault="004604FE" w:rsidP="004604FE">
            <w:pPr>
              <w:spacing w:after="0" w:line="240" w:lineRule="auto"/>
              <w:jc w:val="right"/>
              <w:rPr>
                <w:rFonts w:eastAsia="Times New Roman" w:cs="Times New Roman"/>
                <w:color w:val="FF0000"/>
                <w:szCs w:val="22"/>
              </w:rPr>
            </w:pPr>
            <w:r w:rsidRPr="004604FE">
              <w:rPr>
                <w:rFonts w:eastAsia="Times New Roman" w:cs="Times New Roman"/>
                <w:color w:val="000000" w:themeColor="text1"/>
                <w:szCs w:val="22"/>
              </w:rPr>
              <w:t>49</w:t>
            </w:r>
            <w:r w:rsidR="00283052" w:rsidRPr="004604FE">
              <w:rPr>
                <w:rFonts w:eastAsia="Times New Roman" w:cs="Times New Roman"/>
                <w:color w:val="000000" w:themeColor="text1"/>
                <w:szCs w:val="22"/>
              </w:rPr>
              <w:t>,</w:t>
            </w:r>
            <w:r w:rsidRPr="004604FE">
              <w:rPr>
                <w:rFonts w:eastAsia="Times New Roman" w:cs="Times New Roman"/>
                <w:color w:val="000000" w:themeColor="text1"/>
                <w:szCs w:val="22"/>
              </w:rPr>
              <w:t>73</w:t>
            </w:r>
            <w:r w:rsidR="00283052" w:rsidRPr="004604FE">
              <w:rPr>
                <w:rFonts w:eastAsia="Times New Roman" w:cs="Times New Roman"/>
                <w:color w:val="000000" w:themeColor="text1"/>
                <w:szCs w:val="22"/>
              </w:rPr>
              <w:t>5,792</w:t>
            </w:r>
          </w:p>
        </w:tc>
      </w:tr>
      <w:tr w:rsidR="0041732F" w:rsidRPr="0041732F" w:rsidTr="00D55BA8">
        <w:trPr>
          <w:trHeight w:val="315"/>
        </w:trPr>
        <w:tc>
          <w:tcPr>
            <w:tcW w:w="3458" w:type="pct"/>
            <w:tcBorders>
              <w:top w:val="nil"/>
              <w:left w:val="single" w:sz="8" w:space="0" w:color="B3CC82"/>
              <w:bottom w:val="single" w:sz="8" w:space="0" w:color="B3CC82"/>
              <w:right w:val="single" w:sz="8" w:space="0" w:color="000000"/>
            </w:tcBorders>
            <w:shd w:val="clear" w:color="auto" w:fill="auto"/>
            <w:vAlign w:val="center"/>
            <w:hideMark/>
          </w:tcPr>
          <w:p w:rsidR="0041732F" w:rsidRPr="0041732F" w:rsidRDefault="0094148C" w:rsidP="0094148C">
            <w:pPr>
              <w:spacing w:after="0" w:line="240" w:lineRule="auto"/>
              <w:jc w:val="center"/>
              <w:rPr>
                <w:rFonts w:eastAsia="Times New Roman" w:cs="Times New Roman"/>
                <w:szCs w:val="22"/>
              </w:rPr>
            </w:pPr>
            <w:r w:rsidRPr="0041732F">
              <w:rPr>
                <w:rFonts w:eastAsia="Times New Roman" w:cs="Times New Roman"/>
                <w:szCs w:val="22"/>
              </w:rPr>
              <w:t xml:space="preserve">Participaciones </w:t>
            </w:r>
            <w:r>
              <w:rPr>
                <w:rFonts w:eastAsia="Times New Roman" w:cs="Times New Roman"/>
                <w:szCs w:val="22"/>
              </w:rPr>
              <w:t>y</w:t>
            </w:r>
            <w:r w:rsidRPr="0041732F">
              <w:rPr>
                <w:rFonts w:eastAsia="Times New Roman" w:cs="Times New Roman"/>
                <w:szCs w:val="22"/>
              </w:rPr>
              <w:t xml:space="preserve"> Aportaciones</w:t>
            </w:r>
          </w:p>
        </w:tc>
        <w:tc>
          <w:tcPr>
            <w:tcW w:w="1542" w:type="pct"/>
            <w:tcBorders>
              <w:top w:val="nil"/>
              <w:left w:val="nil"/>
              <w:bottom w:val="single" w:sz="8" w:space="0" w:color="B3CC82"/>
              <w:right w:val="single" w:sz="8" w:space="0" w:color="B3CC82"/>
            </w:tcBorders>
            <w:shd w:val="clear" w:color="auto" w:fill="auto"/>
            <w:vAlign w:val="center"/>
            <w:hideMark/>
          </w:tcPr>
          <w:p w:rsidR="0041732F" w:rsidRPr="0094148C" w:rsidRDefault="004604FE" w:rsidP="004604FE">
            <w:pPr>
              <w:spacing w:after="0" w:line="240" w:lineRule="auto"/>
              <w:jc w:val="right"/>
              <w:rPr>
                <w:rFonts w:eastAsia="Times New Roman" w:cs="Times New Roman"/>
                <w:color w:val="FF0000"/>
                <w:szCs w:val="22"/>
              </w:rPr>
            </w:pPr>
            <w:r w:rsidRPr="004604FE">
              <w:rPr>
                <w:rFonts w:eastAsia="Times New Roman" w:cs="Times New Roman"/>
                <w:color w:val="000000" w:themeColor="text1"/>
                <w:szCs w:val="22"/>
              </w:rPr>
              <w:t>6</w:t>
            </w:r>
            <w:r w:rsidR="00283052" w:rsidRPr="004604FE">
              <w:rPr>
                <w:rFonts w:eastAsia="Times New Roman" w:cs="Times New Roman"/>
                <w:color w:val="000000" w:themeColor="text1"/>
                <w:szCs w:val="22"/>
              </w:rPr>
              <w:t>,</w:t>
            </w:r>
            <w:r w:rsidRPr="004604FE">
              <w:rPr>
                <w:rFonts w:eastAsia="Times New Roman" w:cs="Times New Roman"/>
                <w:color w:val="000000" w:themeColor="text1"/>
                <w:szCs w:val="22"/>
              </w:rPr>
              <w:t>062</w:t>
            </w:r>
            <w:r w:rsidR="00283052" w:rsidRPr="004604FE">
              <w:rPr>
                <w:rFonts w:eastAsia="Times New Roman" w:cs="Times New Roman"/>
                <w:color w:val="000000" w:themeColor="text1"/>
                <w:szCs w:val="22"/>
              </w:rPr>
              <w:t>,</w:t>
            </w:r>
            <w:r w:rsidRPr="004604FE">
              <w:rPr>
                <w:rFonts w:eastAsia="Times New Roman" w:cs="Times New Roman"/>
                <w:color w:val="000000" w:themeColor="text1"/>
                <w:szCs w:val="22"/>
              </w:rPr>
              <w:t>574</w:t>
            </w:r>
            <w:r w:rsidR="00283052" w:rsidRPr="004604FE">
              <w:rPr>
                <w:rFonts w:eastAsia="Times New Roman" w:cs="Times New Roman"/>
                <w:color w:val="000000" w:themeColor="text1"/>
                <w:szCs w:val="22"/>
              </w:rPr>
              <w:t>,</w:t>
            </w:r>
            <w:r w:rsidRPr="004604FE">
              <w:rPr>
                <w:rFonts w:eastAsia="Times New Roman" w:cs="Times New Roman"/>
                <w:color w:val="000000" w:themeColor="text1"/>
                <w:szCs w:val="22"/>
              </w:rPr>
              <w:t>142</w:t>
            </w:r>
            <w:r w:rsidR="0041732F" w:rsidRPr="004604FE">
              <w:rPr>
                <w:rFonts w:eastAsia="Times New Roman" w:cs="Times New Roman"/>
                <w:color w:val="000000" w:themeColor="text1"/>
                <w:szCs w:val="22"/>
              </w:rPr>
              <w:t xml:space="preserve"> </w:t>
            </w:r>
          </w:p>
        </w:tc>
      </w:tr>
      <w:tr w:rsidR="0041732F" w:rsidRPr="0041732F" w:rsidTr="00F503B5">
        <w:trPr>
          <w:trHeight w:val="315"/>
        </w:trPr>
        <w:tc>
          <w:tcPr>
            <w:tcW w:w="3458" w:type="pct"/>
            <w:tcBorders>
              <w:top w:val="nil"/>
              <w:left w:val="single" w:sz="8" w:space="0" w:color="B3CC82"/>
              <w:bottom w:val="nil"/>
              <w:right w:val="single" w:sz="8" w:space="0" w:color="000000"/>
            </w:tcBorders>
            <w:shd w:val="clear" w:color="000000" w:fill="E6EED5"/>
            <w:vAlign w:val="center"/>
            <w:hideMark/>
          </w:tcPr>
          <w:p w:rsidR="0041732F" w:rsidRPr="0041732F" w:rsidRDefault="0094148C" w:rsidP="0041732F">
            <w:pPr>
              <w:spacing w:after="0" w:line="240" w:lineRule="auto"/>
              <w:jc w:val="center"/>
              <w:rPr>
                <w:rFonts w:eastAsia="Times New Roman" w:cs="Times New Roman"/>
                <w:szCs w:val="22"/>
              </w:rPr>
            </w:pPr>
            <w:r w:rsidRPr="0041732F">
              <w:rPr>
                <w:rFonts w:eastAsia="Times New Roman" w:cs="Times New Roman"/>
                <w:szCs w:val="22"/>
              </w:rPr>
              <w:t>Deuda Pública</w:t>
            </w:r>
          </w:p>
        </w:tc>
        <w:tc>
          <w:tcPr>
            <w:tcW w:w="1542" w:type="pct"/>
            <w:tcBorders>
              <w:top w:val="nil"/>
              <w:left w:val="nil"/>
              <w:bottom w:val="nil"/>
              <w:right w:val="single" w:sz="8" w:space="0" w:color="B3CC82"/>
            </w:tcBorders>
            <w:shd w:val="clear" w:color="000000" w:fill="E6EED5"/>
            <w:vAlign w:val="center"/>
            <w:hideMark/>
          </w:tcPr>
          <w:p w:rsidR="0041732F" w:rsidRPr="0094148C" w:rsidRDefault="004604FE" w:rsidP="004604FE">
            <w:pPr>
              <w:spacing w:after="0" w:line="240" w:lineRule="auto"/>
              <w:jc w:val="right"/>
              <w:rPr>
                <w:rFonts w:eastAsia="Times New Roman" w:cs="Times New Roman"/>
                <w:color w:val="FF0000"/>
                <w:szCs w:val="22"/>
              </w:rPr>
            </w:pPr>
            <w:r w:rsidRPr="004604FE">
              <w:rPr>
                <w:rFonts w:eastAsia="Times New Roman" w:cs="Times New Roman"/>
                <w:color w:val="000000" w:themeColor="text1"/>
                <w:szCs w:val="22"/>
              </w:rPr>
              <w:t>447</w:t>
            </w:r>
            <w:r w:rsidR="00283052" w:rsidRPr="004604FE">
              <w:rPr>
                <w:rFonts w:eastAsia="Times New Roman" w:cs="Times New Roman"/>
                <w:color w:val="000000" w:themeColor="text1"/>
                <w:szCs w:val="22"/>
              </w:rPr>
              <w:t>,</w:t>
            </w:r>
            <w:r w:rsidRPr="004604FE">
              <w:rPr>
                <w:rFonts w:eastAsia="Times New Roman" w:cs="Times New Roman"/>
                <w:color w:val="000000" w:themeColor="text1"/>
                <w:szCs w:val="22"/>
              </w:rPr>
              <w:t>233</w:t>
            </w:r>
            <w:r w:rsidR="00283052" w:rsidRPr="004604FE">
              <w:rPr>
                <w:rFonts w:eastAsia="Times New Roman" w:cs="Times New Roman"/>
                <w:color w:val="000000" w:themeColor="text1"/>
                <w:szCs w:val="22"/>
              </w:rPr>
              <w:t>,</w:t>
            </w:r>
            <w:r w:rsidRPr="004604FE">
              <w:rPr>
                <w:rFonts w:eastAsia="Times New Roman" w:cs="Times New Roman"/>
                <w:color w:val="000000" w:themeColor="text1"/>
                <w:szCs w:val="22"/>
              </w:rPr>
              <w:t>979</w:t>
            </w:r>
          </w:p>
        </w:tc>
      </w:tr>
      <w:tr w:rsidR="00F503B5" w:rsidRPr="00F503B5" w:rsidTr="00F503B5">
        <w:trPr>
          <w:trHeight w:val="315"/>
        </w:trPr>
        <w:tc>
          <w:tcPr>
            <w:tcW w:w="3458" w:type="pct"/>
            <w:tcBorders>
              <w:top w:val="nil"/>
              <w:left w:val="single" w:sz="8" w:space="0" w:color="B3CC82"/>
              <w:bottom w:val="single" w:sz="8" w:space="0" w:color="B3CC82"/>
              <w:right w:val="single" w:sz="8" w:space="0" w:color="000000"/>
            </w:tcBorders>
            <w:shd w:val="clear" w:color="auto" w:fill="9BBB59" w:themeFill="accent3"/>
            <w:vAlign w:val="center"/>
          </w:tcPr>
          <w:p w:rsidR="00F503B5" w:rsidRPr="00F503B5" w:rsidRDefault="00F503B5" w:rsidP="0041732F">
            <w:pPr>
              <w:spacing w:after="0" w:line="240" w:lineRule="auto"/>
              <w:jc w:val="center"/>
              <w:rPr>
                <w:rFonts w:eastAsia="Times New Roman" w:cs="Times New Roman"/>
                <w:b/>
                <w:bCs/>
                <w:szCs w:val="22"/>
              </w:rPr>
            </w:pPr>
            <w:r>
              <w:rPr>
                <w:rFonts w:eastAsia="Times New Roman" w:cs="Times New Roman"/>
                <w:b/>
                <w:bCs/>
                <w:szCs w:val="22"/>
              </w:rPr>
              <w:t>Total</w:t>
            </w:r>
          </w:p>
        </w:tc>
        <w:tc>
          <w:tcPr>
            <w:tcW w:w="1542" w:type="pct"/>
            <w:tcBorders>
              <w:top w:val="nil"/>
              <w:left w:val="nil"/>
              <w:bottom w:val="single" w:sz="8" w:space="0" w:color="B3CC82"/>
              <w:right w:val="single" w:sz="8" w:space="0" w:color="B3CC82"/>
            </w:tcBorders>
            <w:shd w:val="clear" w:color="auto" w:fill="9BBB59" w:themeFill="accent3"/>
            <w:vAlign w:val="center"/>
          </w:tcPr>
          <w:p w:rsidR="00F503B5" w:rsidRPr="00F503B5" w:rsidRDefault="00B0078E" w:rsidP="00B0078E">
            <w:pPr>
              <w:spacing w:after="0" w:line="240" w:lineRule="auto"/>
              <w:jc w:val="right"/>
              <w:rPr>
                <w:rFonts w:eastAsia="Times New Roman" w:cs="Times New Roman"/>
                <w:b/>
                <w:bCs/>
                <w:szCs w:val="22"/>
              </w:rPr>
            </w:pPr>
            <w:r>
              <w:rPr>
                <w:rFonts w:eastAsia="Times New Roman" w:cs="Times New Roman"/>
                <w:b/>
                <w:bCs/>
                <w:szCs w:val="22"/>
              </w:rPr>
              <w:t>40</w:t>
            </w:r>
            <w:r w:rsidR="00F503B5">
              <w:rPr>
                <w:rFonts w:eastAsia="Times New Roman" w:cs="Times New Roman"/>
                <w:b/>
                <w:bCs/>
                <w:szCs w:val="22"/>
              </w:rPr>
              <w:t>,</w:t>
            </w:r>
            <w:r>
              <w:rPr>
                <w:rFonts w:eastAsia="Times New Roman" w:cs="Times New Roman"/>
                <w:b/>
                <w:bCs/>
                <w:szCs w:val="22"/>
              </w:rPr>
              <w:t>813</w:t>
            </w:r>
            <w:r w:rsidR="00F503B5">
              <w:rPr>
                <w:rFonts w:eastAsia="Times New Roman" w:cs="Times New Roman"/>
                <w:b/>
                <w:bCs/>
                <w:szCs w:val="22"/>
              </w:rPr>
              <w:t>,</w:t>
            </w:r>
            <w:r>
              <w:rPr>
                <w:rFonts w:eastAsia="Times New Roman" w:cs="Times New Roman"/>
                <w:b/>
                <w:bCs/>
                <w:szCs w:val="22"/>
              </w:rPr>
              <w:t>192</w:t>
            </w:r>
            <w:r w:rsidR="00F503B5">
              <w:rPr>
                <w:rFonts w:eastAsia="Times New Roman" w:cs="Times New Roman"/>
                <w:b/>
                <w:bCs/>
                <w:szCs w:val="22"/>
              </w:rPr>
              <w:t>,</w:t>
            </w:r>
            <w:r>
              <w:rPr>
                <w:rFonts w:eastAsia="Times New Roman" w:cs="Times New Roman"/>
                <w:b/>
                <w:bCs/>
                <w:szCs w:val="22"/>
              </w:rPr>
              <w:t>875</w:t>
            </w:r>
          </w:p>
        </w:tc>
      </w:tr>
    </w:tbl>
    <w:p w:rsidR="006F6A52" w:rsidRDefault="006F6A52">
      <w:pPr>
        <w:spacing w:after="0"/>
        <w:jc w:val="both"/>
      </w:pPr>
    </w:p>
    <w:p w:rsidR="006F6A52" w:rsidRDefault="0060747A">
      <w:pPr>
        <w:spacing w:after="0"/>
        <w:jc w:val="both"/>
      </w:pPr>
      <w:r>
        <w:rPr>
          <w:u w:val="single"/>
        </w:rPr>
        <w:t>¿PARA QUÉ SE GASTA?</w:t>
      </w:r>
    </w:p>
    <w:p w:rsidR="006F6A52" w:rsidRDefault="0060747A">
      <w:pPr>
        <w:spacing w:after="0"/>
        <w:jc w:val="both"/>
      </w:pPr>
      <w:r>
        <w:t xml:space="preserve">En acciones para mejorar la calidad de vida y el bienestar de los individuos y las familias que viven en el estado. </w:t>
      </w:r>
    </w:p>
    <w:p w:rsidR="006F6A52" w:rsidRDefault="006F6A52">
      <w:pPr>
        <w:spacing w:after="0"/>
        <w:jc w:val="both"/>
      </w:pPr>
    </w:p>
    <w:p w:rsidR="006F6A52" w:rsidRDefault="0060747A">
      <w:pPr>
        <w:spacing w:after="0"/>
        <w:jc w:val="both"/>
      </w:pPr>
      <w:r>
        <w:t>Para orientar dichas acciones se elaboró el Plan Estatal de Desarrollo 2012 – 2018. En éste se establecen los objetivos de la administración que se clasifican en los siguientes ejes temáticos:</w:t>
      </w:r>
    </w:p>
    <w:p w:rsidR="006F6A52" w:rsidRDefault="0060747A">
      <w:pPr>
        <w:spacing w:after="0"/>
        <w:jc w:val="both"/>
      </w:pPr>
      <w:r>
        <w:t>· Yucatán Competitivo</w:t>
      </w:r>
    </w:p>
    <w:p w:rsidR="006F6A52" w:rsidRDefault="0060747A">
      <w:pPr>
        <w:spacing w:after="0"/>
        <w:jc w:val="both"/>
      </w:pPr>
      <w:r>
        <w:t>· Yucatán Incluyente</w:t>
      </w:r>
    </w:p>
    <w:p w:rsidR="006F6A52" w:rsidRDefault="0060747A">
      <w:pPr>
        <w:spacing w:after="0"/>
        <w:jc w:val="both"/>
      </w:pPr>
      <w:r>
        <w:t>· Yucatán con Educación de Calidad</w:t>
      </w:r>
    </w:p>
    <w:p w:rsidR="006F6A52" w:rsidRDefault="0060747A">
      <w:pPr>
        <w:spacing w:after="0"/>
        <w:jc w:val="both"/>
      </w:pPr>
      <w:r>
        <w:t>· Yucatán con Crecimiento Ordenado</w:t>
      </w:r>
    </w:p>
    <w:p w:rsidR="006F6A52" w:rsidRDefault="000F749E">
      <w:pPr>
        <w:spacing w:after="0"/>
        <w:jc w:val="both"/>
      </w:pPr>
      <w:r>
        <w:t>· Yucatán Seguro</w:t>
      </w:r>
    </w:p>
    <w:p w:rsidR="006F6A52" w:rsidRDefault="0060747A">
      <w:pPr>
        <w:spacing w:after="0"/>
        <w:jc w:val="both"/>
      </w:pPr>
      <w:r>
        <w:t>· Gestión y Administración Pública y Enfoque para el Desarrollo Regional</w:t>
      </w:r>
    </w:p>
    <w:p w:rsidR="006F6A52" w:rsidRDefault="006F6A52">
      <w:pPr>
        <w:spacing w:after="0"/>
        <w:jc w:val="both"/>
      </w:pPr>
    </w:p>
    <w:p w:rsidR="006F6A52" w:rsidRDefault="0060747A">
      <w:pPr>
        <w:spacing w:after="0"/>
        <w:jc w:val="both"/>
      </w:pPr>
      <w:r>
        <w:t>Cuadro 4. Egresos. Clasificación por Eje del P</w:t>
      </w:r>
      <w:r w:rsidR="006C49C9">
        <w:t xml:space="preserve">lan </w:t>
      </w:r>
      <w:r>
        <w:t>E</w:t>
      </w:r>
      <w:r w:rsidR="006C49C9">
        <w:t xml:space="preserve">statal de </w:t>
      </w:r>
      <w:r>
        <w:t>D</w:t>
      </w:r>
      <w:r w:rsidR="006C49C9">
        <w:t>esarrollo</w:t>
      </w:r>
      <w:r>
        <w:t>.</w:t>
      </w:r>
    </w:p>
    <w:p w:rsidR="006F6A52" w:rsidRDefault="006F6A52">
      <w:pPr>
        <w:spacing w:after="0"/>
        <w:jc w:val="both"/>
      </w:pPr>
    </w:p>
    <w:tbl>
      <w:tblPr>
        <w:tblW w:w="86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700"/>
        <w:gridCol w:w="2405"/>
        <w:gridCol w:w="1550"/>
      </w:tblGrid>
      <w:tr w:rsidR="00CC34EF" w:rsidTr="005844E1">
        <w:trPr>
          <w:trHeight w:val="300"/>
        </w:trPr>
        <w:tc>
          <w:tcPr>
            <w:tcW w:w="4700" w:type="dxa"/>
            <w:tcBorders>
              <w:bottom w:val="single" w:sz="12" w:space="0" w:color="FFFFFF"/>
              <w:right w:val="single" w:sz="4" w:space="0" w:color="FFFFFF"/>
            </w:tcBorders>
            <w:shd w:val="clear" w:color="auto" w:fill="9BBB59"/>
            <w:tcMar>
              <w:top w:w="100" w:type="dxa"/>
              <w:left w:w="100" w:type="dxa"/>
              <w:bottom w:w="100" w:type="dxa"/>
              <w:right w:w="100" w:type="dxa"/>
            </w:tcMar>
          </w:tcPr>
          <w:p w:rsidR="00CC34EF" w:rsidRDefault="00CC34EF" w:rsidP="005844E1">
            <w:pPr>
              <w:widowControl w:val="0"/>
              <w:spacing w:after="0"/>
              <w:jc w:val="center"/>
            </w:pPr>
            <w:r>
              <w:rPr>
                <w:b/>
                <w:shd w:val="clear" w:color="auto" w:fill="9BBB59"/>
              </w:rPr>
              <w:t>Eje del Plan Estatal de Desarrollo</w:t>
            </w:r>
          </w:p>
        </w:tc>
        <w:tc>
          <w:tcPr>
            <w:tcW w:w="2405" w:type="dxa"/>
            <w:tcBorders>
              <w:left w:val="single" w:sz="4" w:space="0" w:color="FFFFFF"/>
              <w:bottom w:val="single" w:sz="12" w:space="0" w:color="FFFFFF"/>
              <w:right w:val="single" w:sz="4" w:space="0" w:color="FFFFFF"/>
            </w:tcBorders>
            <w:shd w:val="clear" w:color="auto" w:fill="9BBB59"/>
            <w:tcMar>
              <w:top w:w="100" w:type="dxa"/>
              <w:left w:w="100" w:type="dxa"/>
              <w:bottom w:w="100" w:type="dxa"/>
              <w:right w:w="100" w:type="dxa"/>
            </w:tcMar>
          </w:tcPr>
          <w:p w:rsidR="00CC34EF" w:rsidRDefault="00CC34EF" w:rsidP="005844E1">
            <w:pPr>
              <w:widowControl w:val="0"/>
              <w:spacing w:after="0"/>
              <w:jc w:val="center"/>
            </w:pPr>
            <w:r>
              <w:rPr>
                <w:b/>
                <w:shd w:val="clear" w:color="auto" w:fill="9BBB59"/>
              </w:rPr>
              <w:t xml:space="preserve"> Monto </w:t>
            </w:r>
          </w:p>
        </w:tc>
        <w:tc>
          <w:tcPr>
            <w:tcW w:w="1550" w:type="dxa"/>
            <w:tcBorders>
              <w:left w:val="single" w:sz="4" w:space="0" w:color="FFFFFF"/>
              <w:bottom w:val="single" w:sz="12" w:space="0" w:color="FFFFFF"/>
            </w:tcBorders>
            <w:shd w:val="clear" w:color="auto" w:fill="9BBB59"/>
            <w:tcMar>
              <w:top w:w="100" w:type="dxa"/>
              <w:left w:w="100" w:type="dxa"/>
              <w:bottom w:w="100" w:type="dxa"/>
              <w:right w:w="100" w:type="dxa"/>
            </w:tcMar>
          </w:tcPr>
          <w:p w:rsidR="00CC34EF" w:rsidRDefault="00CC34EF" w:rsidP="005844E1">
            <w:pPr>
              <w:widowControl w:val="0"/>
              <w:spacing w:after="0"/>
              <w:jc w:val="center"/>
            </w:pPr>
            <w:r>
              <w:rPr>
                <w:b/>
                <w:shd w:val="clear" w:color="auto" w:fill="9BBB59"/>
              </w:rPr>
              <w:t>Porcentaje</w:t>
            </w:r>
          </w:p>
        </w:tc>
      </w:tr>
      <w:tr w:rsidR="00B0078E" w:rsidTr="005844E1">
        <w:tc>
          <w:tcPr>
            <w:tcW w:w="4700" w:type="dxa"/>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rsidR="00B0078E" w:rsidRDefault="00B0078E" w:rsidP="003C6374">
            <w:pPr>
              <w:widowControl w:val="0"/>
              <w:spacing w:after="0"/>
            </w:pPr>
            <w:r>
              <w:rPr>
                <w:shd w:val="clear" w:color="auto" w:fill="D8E4BC"/>
              </w:rPr>
              <w:t>01- Yucatán Competitivo</w:t>
            </w:r>
          </w:p>
        </w:tc>
        <w:tc>
          <w:tcPr>
            <w:tcW w:w="240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vAlign w:val="center"/>
          </w:tcPr>
          <w:p w:rsidR="00B0078E" w:rsidRPr="00B0078E" w:rsidRDefault="00B0078E" w:rsidP="003C6374">
            <w:pPr>
              <w:rPr>
                <w:rFonts w:asciiTheme="minorHAnsi" w:hAnsiTheme="minorHAnsi" w:cstheme="minorHAnsi"/>
                <w:szCs w:val="22"/>
              </w:rPr>
            </w:pPr>
            <w:r w:rsidRPr="00B0078E">
              <w:rPr>
                <w:rFonts w:asciiTheme="minorHAnsi" w:hAnsiTheme="minorHAnsi" w:cstheme="minorHAnsi"/>
                <w:szCs w:val="22"/>
              </w:rPr>
              <w:t xml:space="preserve">            1,662,388,980 </w:t>
            </w:r>
          </w:p>
        </w:tc>
        <w:tc>
          <w:tcPr>
            <w:tcW w:w="1550" w:type="dxa"/>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vAlign w:val="center"/>
          </w:tcPr>
          <w:p w:rsidR="00B0078E" w:rsidRPr="00B0078E" w:rsidRDefault="00B0078E" w:rsidP="003C6374">
            <w:pPr>
              <w:jc w:val="center"/>
              <w:rPr>
                <w:color w:val="000000" w:themeColor="text1"/>
                <w:szCs w:val="22"/>
              </w:rPr>
            </w:pPr>
            <w:r w:rsidRPr="00B0078E">
              <w:rPr>
                <w:color w:val="000000" w:themeColor="text1"/>
                <w:szCs w:val="22"/>
              </w:rPr>
              <w:t>4.07%</w:t>
            </w:r>
          </w:p>
        </w:tc>
      </w:tr>
      <w:tr w:rsidR="00B0078E" w:rsidTr="005844E1">
        <w:tc>
          <w:tcPr>
            <w:tcW w:w="4700" w:type="dxa"/>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tcPr>
          <w:p w:rsidR="00B0078E" w:rsidRDefault="00B0078E" w:rsidP="003C6374">
            <w:pPr>
              <w:widowControl w:val="0"/>
              <w:spacing w:after="0"/>
            </w:pPr>
            <w:r>
              <w:rPr>
                <w:shd w:val="clear" w:color="auto" w:fill="EBF1DE"/>
              </w:rPr>
              <w:t>02- Yucatán Incluyente</w:t>
            </w:r>
          </w:p>
        </w:tc>
        <w:tc>
          <w:tcPr>
            <w:tcW w:w="2405" w:type="dxa"/>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vAlign w:val="center"/>
          </w:tcPr>
          <w:p w:rsidR="00B0078E" w:rsidRPr="00B0078E" w:rsidRDefault="00B0078E" w:rsidP="003C6374">
            <w:pPr>
              <w:rPr>
                <w:rFonts w:asciiTheme="minorHAnsi" w:hAnsiTheme="minorHAnsi" w:cstheme="minorHAnsi"/>
                <w:szCs w:val="22"/>
              </w:rPr>
            </w:pPr>
            <w:r w:rsidRPr="00B0078E">
              <w:rPr>
                <w:rFonts w:asciiTheme="minorHAnsi" w:hAnsiTheme="minorHAnsi" w:cstheme="minorHAnsi"/>
                <w:szCs w:val="22"/>
              </w:rPr>
              <w:t xml:space="preserve">            6,147,336,178 </w:t>
            </w:r>
          </w:p>
        </w:tc>
        <w:tc>
          <w:tcPr>
            <w:tcW w:w="1550" w:type="dxa"/>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vAlign w:val="center"/>
          </w:tcPr>
          <w:p w:rsidR="00B0078E" w:rsidRPr="00B0078E" w:rsidRDefault="00B0078E" w:rsidP="003C6374">
            <w:pPr>
              <w:jc w:val="center"/>
              <w:rPr>
                <w:color w:val="000000" w:themeColor="text1"/>
                <w:szCs w:val="22"/>
              </w:rPr>
            </w:pPr>
            <w:r w:rsidRPr="00B0078E">
              <w:rPr>
                <w:color w:val="000000" w:themeColor="text1"/>
                <w:szCs w:val="22"/>
              </w:rPr>
              <w:t>15.06%</w:t>
            </w:r>
          </w:p>
        </w:tc>
      </w:tr>
      <w:tr w:rsidR="00B0078E" w:rsidTr="005844E1">
        <w:tc>
          <w:tcPr>
            <w:tcW w:w="4700" w:type="dxa"/>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rsidR="00B0078E" w:rsidRDefault="00B0078E" w:rsidP="003C6374">
            <w:pPr>
              <w:widowControl w:val="0"/>
              <w:spacing w:after="0"/>
            </w:pPr>
            <w:r>
              <w:rPr>
                <w:shd w:val="clear" w:color="auto" w:fill="D8E4BC"/>
              </w:rPr>
              <w:t>03- Yucatán con Educación de Calidad</w:t>
            </w:r>
          </w:p>
        </w:tc>
        <w:tc>
          <w:tcPr>
            <w:tcW w:w="240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vAlign w:val="center"/>
          </w:tcPr>
          <w:p w:rsidR="00B0078E" w:rsidRPr="00B0078E" w:rsidRDefault="00B0078E" w:rsidP="003C6374">
            <w:pPr>
              <w:rPr>
                <w:rFonts w:asciiTheme="minorHAnsi" w:hAnsiTheme="minorHAnsi" w:cstheme="minorHAnsi"/>
                <w:szCs w:val="22"/>
              </w:rPr>
            </w:pPr>
            <w:r w:rsidRPr="00B0078E">
              <w:rPr>
                <w:rFonts w:asciiTheme="minorHAnsi" w:hAnsiTheme="minorHAnsi" w:cstheme="minorHAnsi"/>
                <w:szCs w:val="22"/>
              </w:rPr>
              <w:t xml:space="preserve">          11,260,161,123 </w:t>
            </w:r>
          </w:p>
        </w:tc>
        <w:tc>
          <w:tcPr>
            <w:tcW w:w="1550" w:type="dxa"/>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vAlign w:val="center"/>
          </w:tcPr>
          <w:p w:rsidR="00B0078E" w:rsidRPr="00B0078E" w:rsidRDefault="00B0078E" w:rsidP="003C6374">
            <w:pPr>
              <w:jc w:val="center"/>
              <w:rPr>
                <w:color w:val="000000" w:themeColor="text1"/>
                <w:szCs w:val="22"/>
              </w:rPr>
            </w:pPr>
            <w:r w:rsidRPr="00B0078E">
              <w:rPr>
                <w:color w:val="000000" w:themeColor="text1"/>
                <w:szCs w:val="22"/>
              </w:rPr>
              <w:t>27.59%</w:t>
            </w:r>
          </w:p>
        </w:tc>
      </w:tr>
      <w:tr w:rsidR="00B0078E" w:rsidTr="005844E1">
        <w:tc>
          <w:tcPr>
            <w:tcW w:w="4700" w:type="dxa"/>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tcPr>
          <w:p w:rsidR="00B0078E" w:rsidRDefault="00B0078E" w:rsidP="003C6374">
            <w:pPr>
              <w:widowControl w:val="0"/>
              <w:spacing w:after="0"/>
            </w:pPr>
            <w:r>
              <w:rPr>
                <w:shd w:val="clear" w:color="auto" w:fill="EBF1DE"/>
              </w:rPr>
              <w:t>04- Yucatán con Crecimiento Ordenado</w:t>
            </w:r>
          </w:p>
        </w:tc>
        <w:tc>
          <w:tcPr>
            <w:tcW w:w="2405" w:type="dxa"/>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vAlign w:val="center"/>
          </w:tcPr>
          <w:p w:rsidR="00B0078E" w:rsidRPr="00B0078E" w:rsidRDefault="00B0078E" w:rsidP="003C6374">
            <w:pPr>
              <w:rPr>
                <w:rFonts w:asciiTheme="minorHAnsi" w:hAnsiTheme="minorHAnsi" w:cstheme="minorHAnsi"/>
                <w:szCs w:val="22"/>
              </w:rPr>
            </w:pPr>
            <w:r w:rsidRPr="00B0078E">
              <w:rPr>
                <w:rFonts w:asciiTheme="minorHAnsi" w:hAnsiTheme="minorHAnsi" w:cstheme="minorHAnsi"/>
                <w:szCs w:val="22"/>
              </w:rPr>
              <w:t xml:space="preserve">            1,591,114,729 </w:t>
            </w:r>
          </w:p>
        </w:tc>
        <w:tc>
          <w:tcPr>
            <w:tcW w:w="1550" w:type="dxa"/>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vAlign w:val="center"/>
          </w:tcPr>
          <w:p w:rsidR="00B0078E" w:rsidRPr="00B0078E" w:rsidRDefault="00B0078E" w:rsidP="003C6374">
            <w:pPr>
              <w:jc w:val="center"/>
              <w:rPr>
                <w:color w:val="000000" w:themeColor="text1"/>
                <w:szCs w:val="22"/>
              </w:rPr>
            </w:pPr>
            <w:r w:rsidRPr="00B0078E">
              <w:rPr>
                <w:color w:val="000000" w:themeColor="text1"/>
                <w:szCs w:val="22"/>
              </w:rPr>
              <w:t>3.90%</w:t>
            </w:r>
          </w:p>
        </w:tc>
      </w:tr>
      <w:tr w:rsidR="00B0078E" w:rsidTr="005844E1">
        <w:tc>
          <w:tcPr>
            <w:tcW w:w="4700" w:type="dxa"/>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tcPr>
          <w:p w:rsidR="00B0078E" w:rsidRDefault="00B0078E" w:rsidP="003C6374">
            <w:pPr>
              <w:widowControl w:val="0"/>
              <w:spacing w:after="0"/>
            </w:pPr>
            <w:r>
              <w:rPr>
                <w:shd w:val="clear" w:color="auto" w:fill="D8E4BC"/>
              </w:rPr>
              <w:t>05- Yucatán Seguro</w:t>
            </w:r>
          </w:p>
        </w:tc>
        <w:tc>
          <w:tcPr>
            <w:tcW w:w="2405" w:type="dxa"/>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vAlign w:val="center"/>
          </w:tcPr>
          <w:p w:rsidR="00B0078E" w:rsidRPr="00B0078E" w:rsidRDefault="00B0078E" w:rsidP="003C6374">
            <w:pPr>
              <w:rPr>
                <w:rFonts w:asciiTheme="minorHAnsi" w:hAnsiTheme="minorHAnsi" w:cstheme="minorHAnsi"/>
                <w:szCs w:val="22"/>
              </w:rPr>
            </w:pPr>
            <w:r w:rsidRPr="00B0078E">
              <w:rPr>
                <w:rFonts w:asciiTheme="minorHAnsi" w:hAnsiTheme="minorHAnsi" w:cstheme="minorHAnsi"/>
                <w:szCs w:val="22"/>
              </w:rPr>
              <w:t xml:space="preserve">            3,5</w:t>
            </w:r>
            <w:r w:rsidR="003C6374">
              <w:rPr>
                <w:rFonts w:asciiTheme="minorHAnsi" w:hAnsiTheme="minorHAnsi" w:cstheme="minorHAnsi"/>
                <w:szCs w:val="22"/>
              </w:rPr>
              <w:t>5</w:t>
            </w:r>
            <w:r w:rsidRPr="00B0078E">
              <w:rPr>
                <w:rFonts w:asciiTheme="minorHAnsi" w:hAnsiTheme="minorHAnsi" w:cstheme="minorHAnsi"/>
                <w:szCs w:val="22"/>
              </w:rPr>
              <w:t xml:space="preserve">6,958,675 </w:t>
            </w:r>
          </w:p>
        </w:tc>
        <w:tc>
          <w:tcPr>
            <w:tcW w:w="1550" w:type="dxa"/>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vAlign w:val="center"/>
          </w:tcPr>
          <w:p w:rsidR="00B0078E" w:rsidRPr="00B0078E" w:rsidRDefault="00B0078E" w:rsidP="003C6374">
            <w:pPr>
              <w:jc w:val="center"/>
              <w:rPr>
                <w:color w:val="000000" w:themeColor="text1"/>
                <w:szCs w:val="22"/>
              </w:rPr>
            </w:pPr>
            <w:r w:rsidRPr="00B0078E">
              <w:rPr>
                <w:color w:val="000000" w:themeColor="text1"/>
                <w:szCs w:val="22"/>
              </w:rPr>
              <w:t>8.7</w:t>
            </w:r>
            <w:r w:rsidR="003C6374">
              <w:rPr>
                <w:color w:val="000000" w:themeColor="text1"/>
                <w:szCs w:val="22"/>
              </w:rPr>
              <w:t>2</w:t>
            </w:r>
            <w:r w:rsidRPr="00B0078E">
              <w:rPr>
                <w:color w:val="000000" w:themeColor="text1"/>
                <w:szCs w:val="22"/>
              </w:rPr>
              <w:t>%</w:t>
            </w:r>
          </w:p>
        </w:tc>
      </w:tr>
      <w:tr w:rsidR="00B0078E" w:rsidTr="005844E1">
        <w:trPr>
          <w:trHeight w:val="540"/>
        </w:trPr>
        <w:tc>
          <w:tcPr>
            <w:tcW w:w="4700" w:type="dxa"/>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tcPr>
          <w:p w:rsidR="00B0078E" w:rsidRDefault="00B0078E" w:rsidP="003C6374">
            <w:pPr>
              <w:widowControl w:val="0"/>
              <w:spacing w:after="0"/>
            </w:pPr>
            <w:r>
              <w:rPr>
                <w:shd w:val="clear" w:color="auto" w:fill="EBF1DE"/>
              </w:rPr>
              <w:t>06- Gestión y Administración Pública</w:t>
            </w:r>
          </w:p>
        </w:tc>
        <w:tc>
          <w:tcPr>
            <w:tcW w:w="2405" w:type="dxa"/>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vAlign w:val="center"/>
          </w:tcPr>
          <w:p w:rsidR="00B0078E" w:rsidRPr="00B0078E" w:rsidRDefault="003C6374" w:rsidP="003C6374">
            <w:pPr>
              <w:rPr>
                <w:rFonts w:asciiTheme="minorHAnsi" w:hAnsiTheme="minorHAnsi" w:cstheme="minorHAnsi"/>
                <w:szCs w:val="22"/>
              </w:rPr>
            </w:pPr>
            <w:r>
              <w:rPr>
                <w:rFonts w:asciiTheme="minorHAnsi" w:hAnsiTheme="minorHAnsi" w:cstheme="minorHAnsi"/>
                <w:szCs w:val="22"/>
              </w:rPr>
              <w:t xml:space="preserve">          16,59</w:t>
            </w:r>
            <w:r w:rsidR="00B0078E" w:rsidRPr="00B0078E">
              <w:rPr>
                <w:rFonts w:asciiTheme="minorHAnsi" w:hAnsiTheme="minorHAnsi" w:cstheme="minorHAnsi"/>
                <w:szCs w:val="22"/>
              </w:rPr>
              <w:t xml:space="preserve">5,233,190 </w:t>
            </w:r>
          </w:p>
        </w:tc>
        <w:tc>
          <w:tcPr>
            <w:tcW w:w="1550" w:type="dxa"/>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vAlign w:val="center"/>
          </w:tcPr>
          <w:p w:rsidR="00B0078E" w:rsidRPr="00B0078E" w:rsidRDefault="00B0078E" w:rsidP="003C6374">
            <w:pPr>
              <w:jc w:val="center"/>
              <w:rPr>
                <w:color w:val="000000" w:themeColor="text1"/>
                <w:szCs w:val="22"/>
              </w:rPr>
            </w:pPr>
            <w:r w:rsidRPr="00B0078E">
              <w:rPr>
                <w:color w:val="000000" w:themeColor="text1"/>
                <w:szCs w:val="22"/>
              </w:rPr>
              <w:t>40.6</w:t>
            </w:r>
            <w:r w:rsidR="003C6374">
              <w:rPr>
                <w:color w:val="000000" w:themeColor="text1"/>
                <w:szCs w:val="22"/>
              </w:rPr>
              <w:t>6</w:t>
            </w:r>
            <w:r w:rsidRPr="00B0078E">
              <w:rPr>
                <w:color w:val="000000" w:themeColor="text1"/>
                <w:szCs w:val="22"/>
              </w:rPr>
              <w:t>%</w:t>
            </w:r>
          </w:p>
        </w:tc>
      </w:tr>
      <w:tr w:rsidR="00CC34EF" w:rsidTr="005844E1">
        <w:tc>
          <w:tcPr>
            <w:tcW w:w="4700" w:type="dxa"/>
            <w:tcBorders>
              <w:top w:val="single" w:sz="4" w:space="0" w:color="FFFFFF"/>
              <w:right w:val="single" w:sz="4" w:space="0" w:color="FFFFFF"/>
            </w:tcBorders>
            <w:shd w:val="clear" w:color="auto" w:fill="9BBB59"/>
            <w:tcMar>
              <w:top w:w="100" w:type="dxa"/>
              <w:left w:w="100" w:type="dxa"/>
              <w:bottom w:w="100" w:type="dxa"/>
              <w:right w:w="100" w:type="dxa"/>
            </w:tcMar>
          </w:tcPr>
          <w:p w:rsidR="00CC34EF" w:rsidRDefault="00CC34EF" w:rsidP="005844E1">
            <w:pPr>
              <w:widowControl w:val="0"/>
              <w:spacing w:after="0"/>
              <w:jc w:val="center"/>
            </w:pPr>
            <w:r>
              <w:rPr>
                <w:b/>
                <w:shd w:val="clear" w:color="auto" w:fill="9BBB59"/>
              </w:rPr>
              <w:t>Total general</w:t>
            </w:r>
          </w:p>
        </w:tc>
        <w:tc>
          <w:tcPr>
            <w:tcW w:w="2405" w:type="dxa"/>
            <w:tcBorders>
              <w:top w:val="single" w:sz="4" w:space="0" w:color="FFFFFF"/>
              <w:left w:val="single" w:sz="4" w:space="0" w:color="FFFFFF"/>
              <w:right w:val="single" w:sz="4" w:space="0" w:color="FFFFFF"/>
            </w:tcBorders>
            <w:shd w:val="clear" w:color="auto" w:fill="9BBB59"/>
            <w:tcMar>
              <w:top w:w="100" w:type="dxa"/>
              <w:left w:w="100" w:type="dxa"/>
              <w:bottom w:w="100" w:type="dxa"/>
              <w:right w:w="100" w:type="dxa"/>
            </w:tcMar>
            <w:vAlign w:val="center"/>
          </w:tcPr>
          <w:p w:rsidR="00CC34EF" w:rsidRPr="00261BBE" w:rsidRDefault="00B0078E" w:rsidP="00B0078E">
            <w:pPr>
              <w:widowControl w:val="0"/>
              <w:spacing w:after="0"/>
              <w:jc w:val="center"/>
              <w:rPr>
                <w:b/>
                <w:shd w:val="clear" w:color="auto" w:fill="9BBB59"/>
              </w:rPr>
            </w:pPr>
            <w:r>
              <w:rPr>
                <w:b/>
                <w:shd w:val="clear" w:color="auto" w:fill="9BBB59"/>
              </w:rPr>
              <w:t>40</w:t>
            </w:r>
            <w:r w:rsidR="005158CD" w:rsidRPr="005158CD">
              <w:rPr>
                <w:b/>
                <w:shd w:val="clear" w:color="auto" w:fill="9BBB59"/>
              </w:rPr>
              <w:t>,</w:t>
            </w:r>
            <w:r>
              <w:rPr>
                <w:b/>
                <w:shd w:val="clear" w:color="auto" w:fill="9BBB59"/>
              </w:rPr>
              <w:t>813</w:t>
            </w:r>
            <w:r w:rsidR="005158CD" w:rsidRPr="005158CD">
              <w:rPr>
                <w:b/>
                <w:shd w:val="clear" w:color="auto" w:fill="9BBB59"/>
              </w:rPr>
              <w:t>,</w:t>
            </w:r>
            <w:r>
              <w:rPr>
                <w:b/>
                <w:shd w:val="clear" w:color="auto" w:fill="9BBB59"/>
              </w:rPr>
              <w:t>192</w:t>
            </w:r>
            <w:r w:rsidR="005158CD" w:rsidRPr="005158CD">
              <w:rPr>
                <w:b/>
                <w:shd w:val="clear" w:color="auto" w:fill="9BBB59"/>
              </w:rPr>
              <w:t>,</w:t>
            </w:r>
            <w:r>
              <w:rPr>
                <w:b/>
                <w:shd w:val="clear" w:color="auto" w:fill="9BBB59"/>
              </w:rPr>
              <w:t>875</w:t>
            </w:r>
          </w:p>
        </w:tc>
        <w:tc>
          <w:tcPr>
            <w:tcW w:w="1550" w:type="dxa"/>
            <w:tcBorders>
              <w:top w:val="single" w:sz="4" w:space="0" w:color="FFFFFF"/>
              <w:left w:val="single" w:sz="4" w:space="0" w:color="FFFFFF"/>
            </w:tcBorders>
            <w:shd w:val="clear" w:color="auto" w:fill="9BBB59"/>
            <w:tcMar>
              <w:top w:w="100" w:type="dxa"/>
              <w:left w:w="100" w:type="dxa"/>
              <w:bottom w:w="100" w:type="dxa"/>
              <w:right w:w="100" w:type="dxa"/>
            </w:tcMar>
            <w:vAlign w:val="center"/>
          </w:tcPr>
          <w:p w:rsidR="00CC34EF" w:rsidRPr="00261BBE" w:rsidRDefault="005158CD" w:rsidP="005844E1">
            <w:pPr>
              <w:widowControl w:val="0"/>
              <w:spacing w:after="0"/>
              <w:jc w:val="center"/>
              <w:rPr>
                <w:b/>
                <w:shd w:val="clear" w:color="auto" w:fill="9BBB59"/>
              </w:rPr>
            </w:pPr>
            <w:r>
              <w:rPr>
                <w:b/>
                <w:shd w:val="clear" w:color="auto" w:fill="9BBB59"/>
              </w:rPr>
              <w:t>100%</w:t>
            </w:r>
          </w:p>
        </w:tc>
      </w:tr>
    </w:tbl>
    <w:p w:rsidR="006F6A52" w:rsidRDefault="006F6A52">
      <w:pPr>
        <w:spacing w:after="0"/>
        <w:jc w:val="both"/>
      </w:pPr>
    </w:p>
    <w:p w:rsidR="006F6A52" w:rsidRDefault="006F6A52">
      <w:pPr>
        <w:spacing w:after="0"/>
        <w:jc w:val="both"/>
      </w:pPr>
    </w:p>
    <w:p w:rsidR="006F6A52" w:rsidRDefault="0060747A">
      <w:pPr>
        <w:spacing w:after="0"/>
        <w:jc w:val="both"/>
      </w:pPr>
      <w:r>
        <w:t>Los recursos contenidos en el Presupuesto de Egresos se distribuyen de acuerdo con clasificaciones que distinguen la finalidad y función.</w:t>
      </w:r>
    </w:p>
    <w:p w:rsidR="006F6A52" w:rsidRDefault="006F6A52">
      <w:pPr>
        <w:spacing w:after="0"/>
        <w:jc w:val="both"/>
      </w:pPr>
    </w:p>
    <w:p w:rsidR="006F6A52" w:rsidRDefault="0060747A">
      <w:pPr>
        <w:spacing w:after="0"/>
        <w:jc w:val="both"/>
      </w:pPr>
      <w:r>
        <w:t>El Estado y el Gobierno tienen tres fines principales que persiguen en beneficio de la sociedad, que orientan la actividad del Gobierno en tres grandes rubros:</w:t>
      </w:r>
    </w:p>
    <w:p w:rsidR="006F6A52" w:rsidRDefault="006F6A52">
      <w:pPr>
        <w:spacing w:after="0"/>
        <w:jc w:val="both"/>
      </w:pPr>
    </w:p>
    <w:p w:rsidR="00986995" w:rsidRDefault="0060747A">
      <w:pPr>
        <w:spacing w:after="0"/>
        <w:jc w:val="both"/>
      </w:pPr>
      <w:r>
        <w:t xml:space="preserve">I. Gobierno </w:t>
      </w:r>
    </w:p>
    <w:p w:rsidR="00986995" w:rsidRDefault="0060747A">
      <w:pPr>
        <w:spacing w:after="0"/>
        <w:jc w:val="both"/>
      </w:pPr>
      <w:r>
        <w:t xml:space="preserve">II. Desarrollo Social </w:t>
      </w:r>
    </w:p>
    <w:p w:rsidR="006F6A52" w:rsidRDefault="0060747A">
      <w:pPr>
        <w:spacing w:after="0"/>
        <w:jc w:val="both"/>
      </w:pPr>
      <w:r>
        <w:t>III. Desarrollo Económico</w:t>
      </w:r>
    </w:p>
    <w:p w:rsidR="006F6A52" w:rsidRDefault="006F6A52">
      <w:pPr>
        <w:spacing w:after="0"/>
        <w:jc w:val="both"/>
      </w:pPr>
    </w:p>
    <w:p w:rsidR="006F6A52" w:rsidRDefault="0060747A">
      <w:pPr>
        <w:spacing w:after="0"/>
        <w:jc w:val="both"/>
      </w:pPr>
      <w:r>
        <w:t>Cada de uno de ellos se desagrega en funciones específicas, las cuales describen la naturaleza del quehacer de los órganos gubernamentales para contribuir al logro de los fines.</w:t>
      </w:r>
    </w:p>
    <w:p w:rsidR="006F6A52" w:rsidRDefault="006F6A52">
      <w:pPr>
        <w:spacing w:after="0"/>
        <w:jc w:val="both"/>
      </w:pPr>
    </w:p>
    <w:p w:rsidR="006F6A52" w:rsidRDefault="0060747A">
      <w:pPr>
        <w:spacing w:after="0"/>
        <w:jc w:val="both"/>
      </w:pPr>
      <w:r w:rsidRPr="0077155F">
        <w:t>Cuadro 5. Clasificación funcional del gasto.</w:t>
      </w:r>
    </w:p>
    <w:tbl>
      <w:tblPr>
        <w:tblStyle w:val="Tablaconcuadrcula"/>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204"/>
        <w:gridCol w:w="2850"/>
      </w:tblGrid>
      <w:tr w:rsidR="00CC34EF" w:rsidRPr="00402182" w:rsidTr="005844E1">
        <w:trPr>
          <w:trHeight w:val="454"/>
        </w:trPr>
        <w:tc>
          <w:tcPr>
            <w:tcW w:w="3426" w:type="pct"/>
            <w:shd w:val="clear" w:color="auto" w:fill="9BBB59" w:themeFill="accent3"/>
            <w:noWrap/>
            <w:hideMark/>
          </w:tcPr>
          <w:p w:rsidR="00CC34EF" w:rsidRPr="00402182" w:rsidRDefault="00CC34EF" w:rsidP="005844E1">
            <w:pPr>
              <w:rPr>
                <w:rFonts w:eastAsia="Times New Roman"/>
                <w:b/>
                <w:bCs/>
                <w:szCs w:val="22"/>
              </w:rPr>
            </w:pPr>
            <w:r w:rsidRPr="00402182">
              <w:rPr>
                <w:rFonts w:eastAsia="Times New Roman"/>
                <w:b/>
                <w:bCs/>
                <w:szCs w:val="22"/>
              </w:rPr>
              <w:t>Finalidad-función</w:t>
            </w:r>
          </w:p>
        </w:tc>
        <w:tc>
          <w:tcPr>
            <w:tcW w:w="1574" w:type="pct"/>
            <w:shd w:val="clear" w:color="auto" w:fill="9BBB59" w:themeFill="accent3"/>
            <w:noWrap/>
            <w:hideMark/>
          </w:tcPr>
          <w:p w:rsidR="00CC34EF" w:rsidRPr="00402182" w:rsidRDefault="00CC34EF" w:rsidP="005844E1">
            <w:pPr>
              <w:rPr>
                <w:rFonts w:eastAsia="Times New Roman"/>
                <w:b/>
                <w:bCs/>
                <w:szCs w:val="22"/>
              </w:rPr>
            </w:pPr>
            <w:r w:rsidRPr="00402182">
              <w:rPr>
                <w:rFonts w:eastAsia="Times New Roman"/>
                <w:b/>
                <w:bCs/>
                <w:szCs w:val="22"/>
              </w:rPr>
              <w:t>Monto</w:t>
            </w:r>
          </w:p>
        </w:tc>
      </w:tr>
      <w:tr w:rsidR="00CC34EF" w:rsidRPr="00402182" w:rsidTr="003438B7">
        <w:trPr>
          <w:trHeight w:val="454"/>
        </w:trPr>
        <w:tc>
          <w:tcPr>
            <w:tcW w:w="3426" w:type="pct"/>
            <w:shd w:val="clear" w:color="auto" w:fill="C2D69B" w:themeFill="accent3" w:themeFillTint="99"/>
            <w:noWrap/>
            <w:hideMark/>
          </w:tcPr>
          <w:p w:rsidR="00CC34EF" w:rsidRPr="00402182" w:rsidRDefault="00CC34EF" w:rsidP="005844E1">
            <w:pPr>
              <w:rPr>
                <w:rFonts w:eastAsia="Times New Roman"/>
                <w:b/>
                <w:bCs/>
                <w:szCs w:val="22"/>
              </w:rPr>
            </w:pPr>
            <w:r w:rsidRPr="00402182">
              <w:rPr>
                <w:rFonts w:eastAsia="Times New Roman"/>
                <w:b/>
                <w:bCs/>
                <w:szCs w:val="22"/>
              </w:rPr>
              <w:t>Gobierno</w:t>
            </w:r>
          </w:p>
        </w:tc>
        <w:tc>
          <w:tcPr>
            <w:tcW w:w="1574" w:type="pct"/>
            <w:shd w:val="clear" w:color="auto" w:fill="C2D69B" w:themeFill="accent3" w:themeFillTint="99"/>
            <w:noWrap/>
          </w:tcPr>
          <w:p w:rsidR="00CC34EF" w:rsidRPr="0094148C" w:rsidRDefault="00C23EB6" w:rsidP="00097D76">
            <w:pPr>
              <w:jc w:val="right"/>
              <w:rPr>
                <w:rFonts w:eastAsia="Times New Roman"/>
                <w:b/>
                <w:bCs/>
                <w:color w:val="FF0000"/>
                <w:szCs w:val="22"/>
              </w:rPr>
            </w:pPr>
            <w:r w:rsidRPr="00097D76">
              <w:rPr>
                <w:rFonts w:eastAsia="Times New Roman"/>
                <w:b/>
                <w:bCs/>
                <w:color w:val="000000" w:themeColor="text1"/>
                <w:szCs w:val="22"/>
              </w:rPr>
              <w:t>6,</w:t>
            </w:r>
            <w:r w:rsidR="00097D76" w:rsidRPr="00097D76">
              <w:rPr>
                <w:rFonts w:eastAsia="Times New Roman"/>
                <w:b/>
                <w:bCs/>
                <w:color w:val="000000" w:themeColor="text1"/>
                <w:szCs w:val="22"/>
              </w:rPr>
              <w:t>112</w:t>
            </w:r>
            <w:r w:rsidRPr="00097D76">
              <w:rPr>
                <w:rFonts w:eastAsia="Times New Roman"/>
                <w:b/>
                <w:bCs/>
                <w:color w:val="000000" w:themeColor="text1"/>
                <w:szCs w:val="22"/>
              </w:rPr>
              <w:t>,</w:t>
            </w:r>
            <w:r w:rsidR="00097D76" w:rsidRPr="00097D76">
              <w:rPr>
                <w:rFonts w:eastAsia="Times New Roman"/>
                <w:b/>
                <w:bCs/>
                <w:color w:val="000000" w:themeColor="text1"/>
                <w:szCs w:val="22"/>
              </w:rPr>
              <w:t>510</w:t>
            </w:r>
            <w:r w:rsidRPr="00097D76">
              <w:rPr>
                <w:rFonts w:eastAsia="Times New Roman"/>
                <w:b/>
                <w:bCs/>
                <w:color w:val="000000" w:themeColor="text1"/>
                <w:szCs w:val="22"/>
              </w:rPr>
              <w:t>,</w:t>
            </w:r>
            <w:r w:rsidR="00097D76" w:rsidRPr="00097D76">
              <w:rPr>
                <w:rFonts w:eastAsia="Times New Roman"/>
                <w:b/>
                <w:bCs/>
                <w:color w:val="000000" w:themeColor="text1"/>
                <w:szCs w:val="22"/>
              </w:rPr>
              <w:t>970</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Legislación</w:t>
            </w:r>
          </w:p>
        </w:tc>
        <w:tc>
          <w:tcPr>
            <w:tcW w:w="1574" w:type="pct"/>
            <w:shd w:val="clear" w:color="auto" w:fill="EAF1DD" w:themeFill="accent3" w:themeFillTint="33"/>
            <w:noWrap/>
          </w:tcPr>
          <w:p w:rsidR="00CC34EF" w:rsidRPr="0094148C" w:rsidRDefault="00C23EB6" w:rsidP="00CB337B">
            <w:pPr>
              <w:jc w:val="right"/>
              <w:rPr>
                <w:rFonts w:eastAsia="Times New Roman"/>
                <w:color w:val="FF0000"/>
                <w:szCs w:val="22"/>
              </w:rPr>
            </w:pPr>
            <w:r w:rsidRPr="00CB337B">
              <w:rPr>
                <w:rFonts w:eastAsia="Times New Roman"/>
                <w:color w:val="000000" w:themeColor="text1"/>
                <w:szCs w:val="22"/>
              </w:rPr>
              <w:t>17</w:t>
            </w:r>
            <w:r w:rsidR="00CB337B" w:rsidRPr="00CB337B">
              <w:rPr>
                <w:rFonts w:eastAsia="Times New Roman"/>
                <w:color w:val="000000" w:themeColor="text1"/>
                <w:szCs w:val="22"/>
              </w:rPr>
              <w:t>7</w:t>
            </w:r>
            <w:r w:rsidRPr="00CB337B">
              <w:rPr>
                <w:rFonts w:eastAsia="Times New Roman"/>
                <w:color w:val="000000" w:themeColor="text1"/>
                <w:szCs w:val="22"/>
              </w:rPr>
              <w:t>,</w:t>
            </w:r>
            <w:r w:rsidR="00CB337B" w:rsidRPr="00CB337B">
              <w:rPr>
                <w:rFonts w:eastAsia="Times New Roman"/>
                <w:color w:val="000000" w:themeColor="text1"/>
                <w:szCs w:val="22"/>
              </w:rPr>
              <w:t>829</w:t>
            </w:r>
            <w:r w:rsidRPr="00CB337B">
              <w:rPr>
                <w:rFonts w:eastAsia="Times New Roman"/>
                <w:color w:val="000000" w:themeColor="text1"/>
                <w:szCs w:val="22"/>
              </w:rPr>
              <w:t>,9</w:t>
            </w:r>
            <w:r w:rsidR="00CB337B" w:rsidRPr="00CB337B">
              <w:rPr>
                <w:rFonts w:eastAsia="Times New Roman"/>
                <w:color w:val="000000" w:themeColor="text1"/>
                <w:szCs w:val="22"/>
              </w:rPr>
              <w:t>27</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Justicia</w:t>
            </w:r>
          </w:p>
        </w:tc>
        <w:tc>
          <w:tcPr>
            <w:tcW w:w="1574" w:type="pct"/>
            <w:shd w:val="clear" w:color="auto" w:fill="EAF1DD" w:themeFill="accent3" w:themeFillTint="33"/>
            <w:noWrap/>
          </w:tcPr>
          <w:p w:rsidR="00CC34EF" w:rsidRPr="0094148C" w:rsidRDefault="00C23EB6" w:rsidP="00CB337B">
            <w:pPr>
              <w:jc w:val="right"/>
              <w:rPr>
                <w:rFonts w:eastAsia="Times New Roman"/>
                <w:color w:val="FF0000"/>
                <w:szCs w:val="22"/>
              </w:rPr>
            </w:pPr>
            <w:r w:rsidRPr="00CB337B">
              <w:rPr>
                <w:rFonts w:eastAsia="Times New Roman"/>
                <w:color w:val="000000" w:themeColor="text1"/>
                <w:szCs w:val="22"/>
              </w:rPr>
              <w:t>1,</w:t>
            </w:r>
            <w:r w:rsidR="00CB337B" w:rsidRPr="00CB337B">
              <w:rPr>
                <w:rFonts w:eastAsia="Times New Roman"/>
                <w:color w:val="000000" w:themeColor="text1"/>
                <w:szCs w:val="22"/>
              </w:rPr>
              <w:t>361</w:t>
            </w:r>
            <w:r w:rsidRPr="00CB337B">
              <w:rPr>
                <w:rFonts w:eastAsia="Times New Roman"/>
                <w:color w:val="000000" w:themeColor="text1"/>
                <w:szCs w:val="22"/>
              </w:rPr>
              <w:t>,</w:t>
            </w:r>
            <w:r w:rsidR="00CB337B" w:rsidRPr="00CB337B">
              <w:rPr>
                <w:rFonts w:eastAsia="Times New Roman"/>
                <w:color w:val="000000" w:themeColor="text1"/>
                <w:szCs w:val="22"/>
              </w:rPr>
              <w:t>034</w:t>
            </w:r>
            <w:r w:rsidRPr="00CB337B">
              <w:rPr>
                <w:rFonts w:eastAsia="Times New Roman"/>
                <w:color w:val="000000" w:themeColor="text1"/>
                <w:szCs w:val="22"/>
              </w:rPr>
              <w:t>,</w:t>
            </w:r>
            <w:r w:rsidR="00CB337B" w:rsidRPr="00CB337B">
              <w:rPr>
                <w:rFonts w:eastAsia="Times New Roman"/>
                <w:color w:val="000000" w:themeColor="text1"/>
                <w:szCs w:val="22"/>
              </w:rPr>
              <w:t>101</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Coordinación de la Política de Gobierno</w:t>
            </w:r>
          </w:p>
        </w:tc>
        <w:tc>
          <w:tcPr>
            <w:tcW w:w="1574" w:type="pct"/>
            <w:shd w:val="clear" w:color="auto" w:fill="EAF1DD" w:themeFill="accent3" w:themeFillTint="33"/>
            <w:noWrap/>
          </w:tcPr>
          <w:p w:rsidR="00CC34EF" w:rsidRPr="0094148C" w:rsidRDefault="00CB337B" w:rsidP="00CB337B">
            <w:pPr>
              <w:jc w:val="right"/>
              <w:rPr>
                <w:rFonts w:eastAsia="Times New Roman"/>
                <w:color w:val="FF0000"/>
                <w:szCs w:val="22"/>
              </w:rPr>
            </w:pPr>
            <w:r w:rsidRPr="00CB337B">
              <w:rPr>
                <w:rFonts w:eastAsia="Times New Roman"/>
                <w:color w:val="000000" w:themeColor="text1"/>
                <w:szCs w:val="22"/>
              </w:rPr>
              <w:t>865</w:t>
            </w:r>
            <w:r w:rsidR="00C23EB6" w:rsidRPr="00CB337B">
              <w:rPr>
                <w:rFonts w:eastAsia="Times New Roman"/>
                <w:color w:val="000000" w:themeColor="text1"/>
                <w:szCs w:val="22"/>
              </w:rPr>
              <w:t>,</w:t>
            </w:r>
            <w:r w:rsidRPr="00CB337B">
              <w:rPr>
                <w:rFonts w:eastAsia="Times New Roman"/>
                <w:color w:val="000000" w:themeColor="text1"/>
                <w:szCs w:val="22"/>
              </w:rPr>
              <w:t>041</w:t>
            </w:r>
            <w:r w:rsidR="00C23EB6" w:rsidRPr="00CB337B">
              <w:rPr>
                <w:rFonts w:eastAsia="Times New Roman"/>
                <w:color w:val="000000" w:themeColor="text1"/>
                <w:szCs w:val="22"/>
              </w:rPr>
              <w:t>,</w:t>
            </w:r>
            <w:r w:rsidRPr="00CB337B">
              <w:rPr>
                <w:rFonts w:eastAsia="Times New Roman"/>
                <w:color w:val="000000" w:themeColor="text1"/>
                <w:szCs w:val="22"/>
              </w:rPr>
              <w:t>297</w:t>
            </w:r>
          </w:p>
        </w:tc>
      </w:tr>
      <w:tr w:rsidR="00097D76" w:rsidRPr="00097D76"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lastRenderedPageBreak/>
              <w:t>Asuntos Financieros y Hacendarios</w:t>
            </w:r>
          </w:p>
        </w:tc>
        <w:tc>
          <w:tcPr>
            <w:tcW w:w="1574" w:type="pct"/>
            <w:shd w:val="clear" w:color="auto" w:fill="EAF1DD" w:themeFill="accent3" w:themeFillTint="33"/>
            <w:noWrap/>
          </w:tcPr>
          <w:p w:rsidR="00CC34EF" w:rsidRPr="00097D76" w:rsidRDefault="00097D76" w:rsidP="00097D76">
            <w:pPr>
              <w:jc w:val="right"/>
              <w:rPr>
                <w:rFonts w:eastAsia="Times New Roman"/>
                <w:color w:val="000000" w:themeColor="text1"/>
                <w:szCs w:val="22"/>
              </w:rPr>
            </w:pPr>
            <w:r w:rsidRPr="00097D76">
              <w:rPr>
                <w:rFonts w:eastAsia="Times New Roman"/>
                <w:color w:val="000000" w:themeColor="text1"/>
                <w:szCs w:val="22"/>
              </w:rPr>
              <w:t>88</w:t>
            </w:r>
            <w:r w:rsidR="00C23EB6" w:rsidRPr="00097D76">
              <w:rPr>
                <w:rFonts w:eastAsia="Times New Roman"/>
                <w:color w:val="000000" w:themeColor="text1"/>
                <w:szCs w:val="22"/>
              </w:rPr>
              <w:t>3,</w:t>
            </w:r>
            <w:r w:rsidRPr="00097D76">
              <w:rPr>
                <w:rFonts w:eastAsia="Times New Roman"/>
                <w:color w:val="000000" w:themeColor="text1"/>
                <w:szCs w:val="22"/>
              </w:rPr>
              <w:t>64</w:t>
            </w:r>
            <w:r w:rsidR="00C23EB6" w:rsidRPr="00097D76">
              <w:rPr>
                <w:rFonts w:eastAsia="Times New Roman"/>
                <w:color w:val="000000" w:themeColor="text1"/>
                <w:szCs w:val="22"/>
              </w:rPr>
              <w:t>4,</w:t>
            </w:r>
            <w:r w:rsidRPr="00097D76">
              <w:rPr>
                <w:rFonts w:eastAsia="Times New Roman"/>
                <w:color w:val="000000" w:themeColor="text1"/>
                <w:szCs w:val="22"/>
              </w:rPr>
              <w:t>072</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Asuntos de Orden Público y Seguridad Interior</w:t>
            </w:r>
          </w:p>
        </w:tc>
        <w:tc>
          <w:tcPr>
            <w:tcW w:w="1574" w:type="pct"/>
            <w:shd w:val="clear" w:color="auto" w:fill="EAF1DD" w:themeFill="accent3" w:themeFillTint="33"/>
            <w:noWrap/>
          </w:tcPr>
          <w:p w:rsidR="00CC34EF" w:rsidRPr="0094148C" w:rsidRDefault="00C23EB6" w:rsidP="00CB337B">
            <w:pPr>
              <w:jc w:val="right"/>
              <w:rPr>
                <w:rFonts w:eastAsia="Times New Roman"/>
                <w:color w:val="FF0000"/>
                <w:szCs w:val="22"/>
              </w:rPr>
            </w:pPr>
            <w:r w:rsidRPr="00CB337B">
              <w:rPr>
                <w:rFonts w:eastAsia="Times New Roman"/>
                <w:color w:val="000000" w:themeColor="text1"/>
                <w:szCs w:val="22"/>
              </w:rPr>
              <w:t>2,</w:t>
            </w:r>
            <w:r w:rsidR="00CB337B" w:rsidRPr="00CB337B">
              <w:rPr>
                <w:rFonts w:eastAsia="Times New Roman"/>
                <w:color w:val="000000" w:themeColor="text1"/>
                <w:szCs w:val="22"/>
              </w:rPr>
              <w:t>446</w:t>
            </w:r>
            <w:r w:rsidRPr="00CB337B">
              <w:rPr>
                <w:rFonts w:eastAsia="Times New Roman"/>
                <w:color w:val="000000" w:themeColor="text1"/>
                <w:szCs w:val="22"/>
              </w:rPr>
              <w:t>,</w:t>
            </w:r>
            <w:r w:rsidR="00CB337B" w:rsidRPr="00CB337B">
              <w:rPr>
                <w:rFonts w:eastAsia="Times New Roman"/>
                <w:color w:val="000000" w:themeColor="text1"/>
                <w:szCs w:val="22"/>
              </w:rPr>
              <w:t>107</w:t>
            </w:r>
            <w:r w:rsidRPr="00CB337B">
              <w:rPr>
                <w:rFonts w:eastAsia="Times New Roman"/>
                <w:color w:val="000000" w:themeColor="text1"/>
                <w:szCs w:val="22"/>
              </w:rPr>
              <w:t>,</w:t>
            </w:r>
            <w:r w:rsidR="00CB337B" w:rsidRPr="00CB337B">
              <w:rPr>
                <w:rFonts w:eastAsia="Times New Roman"/>
                <w:color w:val="000000" w:themeColor="text1"/>
                <w:szCs w:val="22"/>
              </w:rPr>
              <w:t>237</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Otros Servicios Generales</w:t>
            </w:r>
          </w:p>
        </w:tc>
        <w:tc>
          <w:tcPr>
            <w:tcW w:w="1574" w:type="pct"/>
            <w:shd w:val="clear" w:color="auto" w:fill="EAF1DD" w:themeFill="accent3" w:themeFillTint="33"/>
            <w:noWrap/>
          </w:tcPr>
          <w:p w:rsidR="00CC34EF" w:rsidRPr="0094148C" w:rsidRDefault="00CB337B" w:rsidP="00CB337B">
            <w:pPr>
              <w:jc w:val="right"/>
              <w:rPr>
                <w:rFonts w:eastAsia="Times New Roman"/>
                <w:color w:val="FF0000"/>
                <w:szCs w:val="22"/>
              </w:rPr>
            </w:pPr>
            <w:r w:rsidRPr="00CB337B">
              <w:rPr>
                <w:rFonts w:eastAsia="Times New Roman"/>
                <w:color w:val="000000" w:themeColor="text1"/>
                <w:szCs w:val="22"/>
              </w:rPr>
              <w:t>378</w:t>
            </w:r>
            <w:r w:rsidR="00C23EB6" w:rsidRPr="00CB337B">
              <w:rPr>
                <w:rFonts w:eastAsia="Times New Roman"/>
                <w:color w:val="000000" w:themeColor="text1"/>
                <w:szCs w:val="22"/>
              </w:rPr>
              <w:t>,</w:t>
            </w:r>
            <w:r w:rsidRPr="00CB337B">
              <w:rPr>
                <w:rFonts w:eastAsia="Times New Roman"/>
                <w:color w:val="000000" w:themeColor="text1"/>
                <w:szCs w:val="22"/>
              </w:rPr>
              <w:t>854</w:t>
            </w:r>
            <w:r w:rsidR="00C23EB6" w:rsidRPr="00CB337B">
              <w:rPr>
                <w:rFonts w:eastAsia="Times New Roman"/>
                <w:color w:val="000000" w:themeColor="text1"/>
                <w:szCs w:val="22"/>
              </w:rPr>
              <w:t>,</w:t>
            </w:r>
            <w:r w:rsidRPr="00CB337B">
              <w:rPr>
                <w:rFonts w:eastAsia="Times New Roman"/>
                <w:color w:val="000000" w:themeColor="text1"/>
                <w:szCs w:val="22"/>
              </w:rPr>
              <w:t>336</w:t>
            </w:r>
          </w:p>
        </w:tc>
      </w:tr>
      <w:tr w:rsidR="00CC34EF" w:rsidRPr="00402182" w:rsidTr="003438B7">
        <w:trPr>
          <w:trHeight w:val="454"/>
        </w:trPr>
        <w:tc>
          <w:tcPr>
            <w:tcW w:w="3426" w:type="pct"/>
            <w:shd w:val="clear" w:color="auto" w:fill="C2D69B" w:themeFill="accent3" w:themeFillTint="99"/>
            <w:noWrap/>
            <w:hideMark/>
          </w:tcPr>
          <w:p w:rsidR="00CC34EF" w:rsidRPr="00402182" w:rsidRDefault="00CC34EF" w:rsidP="005844E1">
            <w:pPr>
              <w:rPr>
                <w:rFonts w:eastAsia="Times New Roman"/>
                <w:b/>
                <w:bCs/>
                <w:szCs w:val="22"/>
              </w:rPr>
            </w:pPr>
            <w:r w:rsidRPr="00402182">
              <w:rPr>
                <w:rFonts w:eastAsia="Times New Roman"/>
                <w:b/>
                <w:bCs/>
                <w:szCs w:val="22"/>
              </w:rPr>
              <w:t>Desarrollo Social</w:t>
            </w:r>
          </w:p>
        </w:tc>
        <w:tc>
          <w:tcPr>
            <w:tcW w:w="1574" w:type="pct"/>
            <w:shd w:val="clear" w:color="auto" w:fill="C2D69B" w:themeFill="accent3" w:themeFillTint="99"/>
            <w:noWrap/>
          </w:tcPr>
          <w:p w:rsidR="00CC34EF" w:rsidRPr="0094148C" w:rsidRDefault="00C23EB6" w:rsidP="00F64CF9">
            <w:pPr>
              <w:jc w:val="right"/>
              <w:rPr>
                <w:rFonts w:eastAsia="Times New Roman"/>
                <w:b/>
                <w:bCs/>
                <w:color w:val="FF0000"/>
                <w:szCs w:val="22"/>
              </w:rPr>
            </w:pPr>
            <w:r w:rsidRPr="00F64CF9">
              <w:rPr>
                <w:rFonts w:eastAsia="Times New Roman"/>
                <w:b/>
                <w:bCs/>
                <w:color w:val="000000" w:themeColor="text1"/>
                <w:szCs w:val="22"/>
              </w:rPr>
              <w:t>2</w:t>
            </w:r>
            <w:r w:rsidR="00F64CF9" w:rsidRPr="00F64CF9">
              <w:rPr>
                <w:rFonts w:eastAsia="Times New Roman"/>
                <w:b/>
                <w:bCs/>
                <w:color w:val="000000" w:themeColor="text1"/>
                <w:szCs w:val="22"/>
              </w:rPr>
              <w:t>5</w:t>
            </w:r>
            <w:r w:rsidRPr="00F64CF9">
              <w:rPr>
                <w:rFonts w:eastAsia="Times New Roman"/>
                <w:b/>
                <w:bCs/>
                <w:color w:val="000000" w:themeColor="text1"/>
                <w:szCs w:val="22"/>
              </w:rPr>
              <w:t>,</w:t>
            </w:r>
            <w:r w:rsidR="00F64CF9" w:rsidRPr="00F64CF9">
              <w:rPr>
                <w:rFonts w:eastAsia="Times New Roman"/>
                <w:b/>
                <w:bCs/>
                <w:color w:val="000000" w:themeColor="text1"/>
                <w:szCs w:val="22"/>
              </w:rPr>
              <w:t>401,</w:t>
            </w:r>
            <w:r w:rsidRPr="00F64CF9">
              <w:rPr>
                <w:rFonts w:eastAsia="Times New Roman"/>
                <w:b/>
                <w:bCs/>
                <w:color w:val="000000" w:themeColor="text1"/>
                <w:szCs w:val="22"/>
              </w:rPr>
              <w:t>2</w:t>
            </w:r>
            <w:r w:rsidR="00F64CF9" w:rsidRPr="00F64CF9">
              <w:rPr>
                <w:rFonts w:eastAsia="Times New Roman"/>
                <w:b/>
                <w:bCs/>
                <w:color w:val="000000" w:themeColor="text1"/>
                <w:szCs w:val="22"/>
              </w:rPr>
              <w:t>88</w:t>
            </w:r>
            <w:r w:rsidRPr="00F64CF9">
              <w:rPr>
                <w:rFonts w:eastAsia="Times New Roman"/>
                <w:b/>
                <w:bCs/>
                <w:color w:val="000000" w:themeColor="text1"/>
                <w:szCs w:val="22"/>
              </w:rPr>
              <w:t>,</w:t>
            </w:r>
            <w:r w:rsidR="00F64CF9" w:rsidRPr="00F64CF9">
              <w:rPr>
                <w:rFonts w:eastAsia="Times New Roman"/>
                <w:b/>
                <w:bCs/>
                <w:color w:val="000000" w:themeColor="text1"/>
                <w:szCs w:val="22"/>
              </w:rPr>
              <w:t>477</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Protección Ambiental</w:t>
            </w:r>
          </w:p>
        </w:tc>
        <w:tc>
          <w:tcPr>
            <w:tcW w:w="1574" w:type="pct"/>
            <w:shd w:val="clear" w:color="auto" w:fill="EAF1DD" w:themeFill="accent3" w:themeFillTint="33"/>
            <w:noWrap/>
          </w:tcPr>
          <w:p w:rsidR="00CC34EF" w:rsidRPr="0094148C" w:rsidRDefault="00C23EB6" w:rsidP="00F64CF9">
            <w:pPr>
              <w:jc w:val="right"/>
              <w:rPr>
                <w:rFonts w:eastAsia="Times New Roman"/>
                <w:color w:val="FF0000"/>
                <w:szCs w:val="22"/>
              </w:rPr>
            </w:pPr>
            <w:r w:rsidRPr="00F64CF9">
              <w:rPr>
                <w:rFonts w:eastAsia="Times New Roman"/>
                <w:color w:val="000000" w:themeColor="text1"/>
                <w:szCs w:val="22"/>
              </w:rPr>
              <w:t>4</w:t>
            </w:r>
            <w:r w:rsidR="00F64CF9" w:rsidRPr="00F64CF9">
              <w:rPr>
                <w:rFonts w:eastAsia="Times New Roman"/>
                <w:color w:val="000000" w:themeColor="text1"/>
                <w:szCs w:val="22"/>
              </w:rPr>
              <w:t>96</w:t>
            </w:r>
            <w:r w:rsidRPr="00F64CF9">
              <w:rPr>
                <w:rFonts w:eastAsia="Times New Roman"/>
                <w:color w:val="000000" w:themeColor="text1"/>
                <w:szCs w:val="22"/>
              </w:rPr>
              <w:t>,</w:t>
            </w:r>
            <w:r w:rsidR="00F64CF9" w:rsidRPr="00F64CF9">
              <w:rPr>
                <w:rFonts w:eastAsia="Times New Roman"/>
                <w:color w:val="000000" w:themeColor="text1"/>
                <w:szCs w:val="22"/>
              </w:rPr>
              <w:t>32</w:t>
            </w:r>
            <w:r w:rsidRPr="00F64CF9">
              <w:rPr>
                <w:rFonts w:eastAsia="Times New Roman"/>
                <w:color w:val="000000" w:themeColor="text1"/>
                <w:szCs w:val="22"/>
              </w:rPr>
              <w:t>6,</w:t>
            </w:r>
            <w:r w:rsidR="00F64CF9" w:rsidRPr="00F64CF9">
              <w:rPr>
                <w:rFonts w:eastAsia="Times New Roman"/>
                <w:color w:val="000000" w:themeColor="text1"/>
                <w:szCs w:val="22"/>
              </w:rPr>
              <w:t>62</w:t>
            </w:r>
            <w:r w:rsidRPr="00F64CF9">
              <w:rPr>
                <w:rFonts w:eastAsia="Times New Roman"/>
                <w:color w:val="000000" w:themeColor="text1"/>
                <w:szCs w:val="22"/>
              </w:rPr>
              <w:t>9</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Vivienda y Servicios a la Comunidad</w:t>
            </w:r>
          </w:p>
        </w:tc>
        <w:tc>
          <w:tcPr>
            <w:tcW w:w="1574" w:type="pct"/>
            <w:shd w:val="clear" w:color="auto" w:fill="EAF1DD" w:themeFill="accent3" w:themeFillTint="33"/>
            <w:noWrap/>
          </w:tcPr>
          <w:p w:rsidR="00CC34EF" w:rsidRPr="0094148C" w:rsidRDefault="00C23EB6" w:rsidP="00B51A64">
            <w:pPr>
              <w:jc w:val="right"/>
              <w:rPr>
                <w:rFonts w:eastAsia="Times New Roman"/>
                <w:color w:val="FF0000"/>
                <w:szCs w:val="22"/>
              </w:rPr>
            </w:pPr>
            <w:r w:rsidRPr="00B51A64">
              <w:rPr>
                <w:rFonts w:eastAsia="Times New Roman"/>
                <w:color w:val="000000" w:themeColor="text1"/>
                <w:szCs w:val="22"/>
              </w:rPr>
              <w:t>1,</w:t>
            </w:r>
            <w:r w:rsidR="00B51A64" w:rsidRPr="00B51A64">
              <w:rPr>
                <w:rFonts w:eastAsia="Times New Roman"/>
                <w:color w:val="000000" w:themeColor="text1"/>
                <w:szCs w:val="22"/>
              </w:rPr>
              <w:t>119</w:t>
            </w:r>
            <w:r w:rsidRPr="00B51A64">
              <w:rPr>
                <w:rFonts w:eastAsia="Times New Roman"/>
                <w:color w:val="000000" w:themeColor="text1"/>
                <w:szCs w:val="22"/>
              </w:rPr>
              <w:t>,</w:t>
            </w:r>
            <w:r w:rsidR="00B51A64" w:rsidRPr="00B51A64">
              <w:rPr>
                <w:rFonts w:eastAsia="Times New Roman"/>
                <w:color w:val="000000" w:themeColor="text1"/>
                <w:szCs w:val="22"/>
              </w:rPr>
              <w:t>527</w:t>
            </w:r>
            <w:r w:rsidRPr="00B51A64">
              <w:rPr>
                <w:rFonts w:eastAsia="Times New Roman"/>
                <w:color w:val="000000" w:themeColor="text1"/>
                <w:szCs w:val="22"/>
              </w:rPr>
              <w:t>,</w:t>
            </w:r>
            <w:r w:rsidR="00B51A64" w:rsidRPr="00B51A64">
              <w:rPr>
                <w:rFonts w:eastAsia="Times New Roman"/>
                <w:color w:val="000000" w:themeColor="text1"/>
                <w:szCs w:val="22"/>
              </w:rPr>
              <w:t>913</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Salud</w:t>
            </w:r>
          </w:p>
        </w:tc>
        <w:tc>
          <w:tcPr>
            <w:tcW w:w="1574" w:type="pct"/>
            <w:shd w:val="clear" w:color="auto" w:fill="EAF1DD" w:themeFill="accent3" w:themeFillTint="33"/>
            <w:noWrap/>
          </w:tcPr>
          <w:p w:rsidR="00CC34EF" w:rsidRPr="0094148C" w:rsidRDefault="00B51A64" w:rsidP="00B51A64">
            <w:pPr>
              <w:jc w:val="right"/>
              <w:rPr>
                <w:rFonts w:eastAsia="Times New Roman"/>
                <w:color w:val="FF0000"/>
                <w:szCs w:val="22"/>
              </w:rPr>
            </w:pPr>
            <w:r w:rsidRPr="00B51A64">
              <w:rPr>
                <w:rFonts w:eastAsia="Times New Roman"/>
                <w:color w:val="000000" w:themeColor="text1"/>
                <w:szCs w:val="22"/>
              </w:rPr>
              <w:t>5</w:t>
            </w:r>
            <w:r w:rsidR="00C23EB6" w:rsidRPr="00B51A64">
              <w:rPr>
                <w:rFonts w:eastAsia="Times New Roman"/>
                <w:color w:val="000000" w:themeColor="text1"/>
                <w:szCs w:val="22"/>
              </w:rPr>
              <w:t>,1</w:t>
            </w:r>
            <w:r w:rsidRPr="00B51A64">
              <w:rPr>
                <w:rFonts w:eastAsia="Times New Roman"/>
                <w:color w:val="000000" w:themeColor="text1"/>
                <w:szCs w:val="22"/>
              </w:rPr>
              <w:t>30</w:t>
            </w:r>
            <w:r w:rsidR="00C23EB6" w:rsidRPr="00B51A64">
              <w:rPr>
                <w:rFonts w:eastAsia="Times New Roman"/>
                <w:color w:val="000000" w:themeColor="text1"/>
                <w:szCs w:val="22"/>
              </w:rPr>
              <w:t>,5</w:t>
            </w:r>
            <w:r w:rsidRPr="00B51A64">
              <w:rPr>
                <w:rFonts w:eastAsia="Times New Roman"/>
                <w:color w:val="000000" w:themeColor="text1"/>
                <w:szCs w:val="22"/>
              </w:rPr>
              <w:t>12</w:t>
            </w:r>
            <w:r w:rsidR="00C23EB6" w:rsidRPr="00B51A64">
              <w:rPr>
                <w:rFonts w:eastAsia="Times New Roman"/>
                <w:color w:val="000000" w:themeColor="text1"/>
                <w:szCs w:val="22"/>
              </w:rPr>
              <w:t>,5</w:t>
            </w:r>
            <w:r>
              <w:rPr>
                <w:rFonts w:eastAsia="Times New Roman"/>
                <w:color w:val="000000" w:themeColor="text1"/>
                <w:szCs w:val="22"/>
              </w:rPr>
              <w:t>6</w:t>
            </w:r>
            <w:r w:rsidRPr="00B51A64">
              <w:rPr>
                <w:rFonts w:eastAsia="Times New Roman"/>
                <w:color w:val="000000" w:themeColor="text1"/>
                <w:szCs w:val="22"/>
              </w:rPr>
              <w:t>9</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Recreación, Cultura y otras Manifestaciones Sociales</w:t>
            </w:r>
          </w:p>
        </w:tc>
        <w:tc>
          <w:tcPr>
            <w:tcW w:w="1574" w:type="pct"/>
            <w:shd w:val="clear" w:color="auto" w:fill="EAF1DD" w:themeFill="accent3" w:themeFillTint="33"/>
            <w:noWrap/>
          </w:tcPr>
          <w:p w:rsidR="00CC34EF" w:rsidRPr="0094148C" w:rsidRDefault="00C23EB6" w:rsidP="00B51A64">
            <w:pPr>
              <w:jc w:val="right"/>
              <w:rPr>
                <w:rFonts w:eastAsia="Times New Roman"/>
                <w:color w:val="FF0000"/>
                <w:szCs w:val="22"/>
              </w:rPr>
            </w:pPr>
            <w:r w:rsidRPr="00B51A64">
              <w:rPr>
                <w:rFonts w:eastAsia="Times New Roman"/>
                <w:color w:val="000000" w:themeColor="text1"/>
                <w:szCs w:val="22"/>
              </w:rPr>
              <w:t>9</w:t>
            </w:r>
            <w:r w:rsidR="00B51A64" w:rsidRPr="00B51A64">
              <w:rPr>
                <w:rFonts w:eastAsia="Times New Roman"/>
                <w:color w:val="000000" w:themeColor="text1"/>
                <w:szCs w:val="22"/>
              </w:rPr>
              <w:t>30</w:t>
            </w:r>
            <w:r w:rsidRPr="00B51A64">
              <w:rPr>
                <w:rFonts w:eastAsia="Times New Roman"/>
                <w:color w:val="000000" w:themeColor="text1"/>
                <w:szCs w:val="22"/>
              </w:rPr>
              <w:t>,</w:t>
            </w:r>
            <w:r w:rsidR="00B51A64" w:rsidRPr="00B51A64">
              <w:rPr>
                <w:rFonts w:eastAsia="Times New Roman"/>
                <w:color w:val="000000" w:themeColor="text1"/>
                <w:szCs w:val="22"/>
              </w:rPr>
              <w:t>7</w:t>
            </w:r>
            <w:r w:rsidRPr="00B51A64">
              <w:rPr>
                <w:rFonts w:eastAsia="Times New Roman"/>
                <w:color w:val="000000" w:themeColor="text1"/>
                <w:szCs w:val="22"/>
              </w:rPr>
              <w:t>45,</w:t>
            </w:r>
            <w:r w:rsidR="00B51A64" w:rsidRPr="00B51A64">
              <w:rPr>
                <w:rFonts w:eastAsia="Times New Roman"/>
                <w:color w:val="000000" w:themeColor="text1"/>
                <w:szCs w:val="22"/>
              </w:rPr>
              <w:t>3</w:t>
            </w:r>
            <w:r w:rsidRPr="00B51A64">
              <w:rPr>
                <w:rFonts w:eastAsia="Times New Roman"/>
                <w:color w:val="000000" w:themeColor="text1"/>
                <w:szCs w:val="22"/>
              </w:rPr>
              <w:t>8</w:t>
            </w:r>
            <w:r w:rsidR="00B51A64" w:rsidRPr="00B51A64">
              <w:rPr>
                <w:rFonts w:eastAsia="Times New Roman"/>
                <w:color w:val="000000" w:themeColor="text1"/>
                <w:szCs w:val="22"/>
              </w:rPr>
              <w:t>0</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Educación</w:t>
            </w:r>
          </w:p>
        </w:tc>
        <w:tc>
          <w:tcPr>
            <w:tcW w:w="1574" w:type="pct"/>
            <w:shd w:val="clear" w:color="auto" w:fill="EAF1DD" w:themeFill="accent3" w:themeFillTint="33"/>
            <w:noWrap/>
          </w:tcPr>
          <w:p w:rsidR="00CC34EF" w:rsidRPr="0094148C" w:rsidRDefault="00C23EB6" w:rsidP="00F64CF9">
            <w:pPr>
              <w:jc w:val="right"/>
              <w:rPr>
                <w:rFonts w:eastAsia="Times New Roman"/>
                <w:color w:val="FF0000"/>
                <w:szCs w:val="22"/>
              </w:rPr>
            </w:pPr>
            <w:r w:rsidRPr="00F64CF9">
              <w:rPr>
                <w:rFonts w:eastAsia="Times New Roman"/>
                <w:color w:val="000000" w:themeColor="text1"/>
                <w:szCs w:val="22"/>
              </w:rPr>
              <w:t>1</w:t>
            </w:r>
            <w:r w:rsidR="00F64CF9" w:rsidRPr="00F64CF9">
              <w:rPr>
                <w:rFonts w:eastAsia="Times New Roman"/>
                <w:color w:val="000000" w:themeColor="text1"/>
                <w:szCs w:val="22"/>
              </w:rPr>
              <w:t>4</w:t>
            </w:r>
            <w:r w:rsidRPr="00F64CF9">
              <w:rPr>
                <w:rFonts w:eastAsia="Times New Roman"/>
                <w:color w:val="000000" w:themeColor="text1"/>
                <w:szCs w:val="22"/>
              </w:rPr>
              <w:t>,</w:t>
            </w:r>
            <w:r w:rsidR="00F64CF9" w:rsidRPr="00F64CF9">
              <w:rPr>
                <w:rFonts w:eastAsia="Times New Roman"/>
                <w:color w:val="000000" w:themeColor="text1"/>
                <w:szCs w:val="22"/>
              </w:rPr>
              <w:t>058</w:t>
            </w:r>
            <w:r w:rsidRPr="00F64CF9">
              <w:rPr>
                <w:rFonts w:eastAsia="Times New Roman"/>
                <w:color w:val="000000" w:themeColor="text1"/>
                <w:szCs w:val="22"/>
              </w:rPr>
              <w:t>,</w:t>
            </w:r>
            <w:r w:rsidR="00F64CF9" w:rsidRPr="00F64CF9">
              <w:rPr>
                <w:rFonts w:eastAsia="Times New Roman"/>
                <w:color w:val="000000" w:themeColor="text1"/>
                <w:szCs w:val="22"/>
              </w:rPr>
              <w:t>619,844</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Protección Social</w:t>
            </w:r>
          </w:p>
        </w:tc>
        <w:tc>
          <w:tcPr>
            <w:tcW w:w="1574" w:type="pct"/>
            <w:shd w:val="clear" w:color="auto" w:fill="EAF1DD" w:themeFill="accent3" w:themeFillTint="33"/>
            <w:noWrap/>
          </w:tcPr>
          <w:p w:rsidR="00CC34EF" w:rsidRPr="0094148C" w:rsidRDefault="00C23EB6" w:rsidP="00B51A64">
            <w:pPr>
              <w:jc w:val="right"/>
              <w:rPr>
                <w:rFonts w:eastAsia="Times New Roman"/>
                <w:color w:val="FF0000"/>
                <w:szCs w:val="22"/>
              </w:rPr>
            </w:pPr>
            <w:r w:rsidRPr="00B51A64">
              <w:rPr>
                <w:rFonts w:eastAsia="Times New Roman"/>
                <w:color w:val="000000" w:themeColor="text1"/>
                <w:szCs w:val="22"/>
              </w:rPr>
              <w:t>3,</w:t>
            </w:r>
            <w:r w:rsidR="00B51A64" w:rsidRPr="00B51A64">
              <w:rPr>
                <w:rFonts w:eastAsia="Times New Roman"/>
                <w:color w:val="000000" w:themeColor="text1"/>
                <w:szCs w:val="22"/>
              </w:rPr>
              <w:t>636</w:t>
            </w:r>
            <w:r w:rsidRPr="00B51A64">
              <w:rPr>
                <w:rFonts w:eastAsia="Times New Roman"/>
                <w:color w:val="000000" w:themeColor="text1"/>
                <w:szCs w:val="22"/>
              </w:rPr>
              <w:t>,</w:t>
            </w:r>
            <w:r w:rsidR="00B51A64" w:rsidRPr="00B51A64">
              <w:rPr>
                <w:rFonts w:eastAsia="Times New Roman"/>
                <w:color w:val="000000" w:themeColor="text1"/>
                <w:szCs w:val="22"/>
              </w:rPr>
              <w:t>652</w:t>
            </w:r>
            <w:r w:rsidRPr="00B51A64">
              <w:rPr>
                <w:rFonts w:eastAsia="Times New Roman"/>
                <w:color w:val="000000" w:themeColor="text1"/>
                <w:szCs w:val="22"/>
              </w:rPr>
              <w:t>,</w:t>
            </w:r>
            <w:r w:rsidR="00B51A64" w:rsidRPr="00B51A64">
              <w:rPr>
                <w:rFonts w:eastAsia="Times New Roman"/>
                <w:color w:val="000000" w:themeColor="text1"/>
                <w:szCs w:val="22"/>
              </w:rPr>
              <w:t>973</w:t>
            </w:r>
          </w:p>
        </w:tc>
      </w:tr>
      <w:tr w:rsidR="00996222" w:rsidRPr="00402182" w:rsidTr="003438B7">
        <w:trPr>
          <w:trHeight w:val="454"/>
        </w:trPr>
        <w:tc>
          <w:tcPr>
            <w:tcW w:w="3426" w:type="pct"/>
            <w:shd w:val="clear" w:color="auto" w:fill="EAF1DD" w:themeFill="accent3" w:themeFillTint="33"/>
            <w:noWrap/>
          </w:tcPr>
          <w:p w:rsidR="00996222" w:rsidRPr="00402182" w:rsidRDefault="00C23EB6" w:rsidP="005844E1">
            <w:pPr>
              <w:ind w:firstLineChars="100" w:firstLine="220"/>
              <w:rPr>
                <w:rFonts w:eastAsia="Times New Roman"/>
                <w:szCs w:val="22"/>
              </w:rPr>
            </w:pPr>
            <w:r>
              <w:rPr>
                <w:rFonts w:eastAsia="Times New Roman"/>
                <w:szCs w:val="22"/>
              </w:rPr>
              <w:t>Otros Asuntos Sociales</w:t>
            </w:r>
          </w:p>
        </w:tc>
        <w:tc>
          <w:tcPr>
            <w:tcW w:w="1574" w:type="pct"/>
            <w:shd w:val="clear" w:color="auto" w:fill="EAF1DD" w:themeFill="accent3" w:themeFillTint="33"/>
            <w:noWrap/>
          </w:tcPr>
          <w:p w:rsidR="00996222" w:rsidRPr="0094148C" w:rsidRDefault="00F64CF9" w:rsidP="00F64CF9">
            <w:pPr>
              <w:jc w:val="right"/>
              <w:rPr>
                <w:rFonts w:eastAsia="Times New Roman"/>
                <w:color w:val="FF0000"/>
                <w:szCs w:val="22"/>
              </w:rPr>
            </w:pPr>
            <w:r w:rsidRPr="00F64CF9">
              <w:rPr>
                <w:rFonts w:eastAsia="Times New Roman"/>
                <w:color w:val="000000" w:themeColor="text1"/>
                <w:szCs w:val="22"/>
              </w:rPr>
              <w:t>28</w:t>
            </w:r>
            <w:r w:rsidR="00C23EB6" w:rsidRPr="00F64CF9">
              <w:rPr>
                <w:rFonts w:eastAsia="Times New Roman"/>
                <w:color w:val="000000" w:themeColor="text1"/>
                <w:szCs w:val="22"/>
              </w:rPr>
              <w:t>,</w:t>
            </w:r>
            <w:r w:rsidRPr="00F64CF9">
              <w:rPr>
                <w:rFonts w:eastAsia="Times New Roman"/>
                <w:color w:val="000000" w:themeColor="text1"/>
                <w:szCs w:val="22"/>
              </w:rPr>
              <w:t>903</w:t>
            </w:r>
            <w:r w:rsidR="00C23EB6" w:rsidRPr="00F64CF9">
              <w:rPr>
                <w:rFonts w:eastAsia="Times New Roman"/>
                <w:color w:val="000000" w:themeColor="text1"/>
                <w:szCs w:val="22"/>
              </w:rPr>
              <w:t>,</w:t>
            </w:r>
            <w:r w:rsidRPr="00F64CF9">
              <w:rPr>
                <w:rFonts w:eastAsia="Times New Roman"/>
                <w:color w:val="000000" w:themeColor="text1"/>
                <w:szCs w:val="22"/>
              </w:rPr>
              <w:t>16</w:t>
            </w:r>
            <w:r w:rsidR="00C23EB6" w:rsidRPr="00F64CF9">
              <w:rPr>
                <w:rFonts w:eastAsia="Times New Roman"/>
                <w:color w:val="000000" w:themeColor="text1"/>
                <w:szCs w:val="22"/>
              </w:rPr>
              <w:t>9</w:t>
            </w:r>
          </w:p>
        </w:tc>
      </w:tr>
      <w:tr w:rsidR="00B51A64" w:rsidRPr="00B51A64" w:rsidTr="003438B7">
        <w:trPr>
          <w:trHeight w:val="454"/>
        </w:trPr>
        <w:tc>
          <w:tcPr>
            <w:tcW w:w="3426" w:type="pct"/>
            <w:shd w:val="clear" w:color="auto" w:fill="C2D69B" w:themeFill="accent3" w:themeFillTint="99"/>
            <w:noWrap/>
            <w:hideMark/>
          </w:tcPr>
          <w:p w:rsidR="00CC34EF" w:rsidRPr="00402182" w:rsidRDefault="00CC34EF" w:rsidP="005844E1">
            <w:pPr>
              <w:rPr>
                <w:rFonts w:eastAsia="Times New Roman"/>
                <w:b/>
                <w:bCs/>
                <w:szCs w:val="22"/>
              </w:rPr>
            </w:pPr>
            <w:r w:rsidRPr="00402182">
              <w:rPr>
                <w:rFonts w:eastAsia="Times New Roman"/>
                <w:b/>
                <w:bCs/>
                <w:szCs w:val="22"/>
              </w:rPr>
              <w:t>Desarrollo Económico</w:t>
            </w:r>
          </w:p>
        </w:tc>
        <w:tc>
          <w:tcPr>
            <w:tcW w:w="1574" w:type="pct"/>
            <w:shd w:val="clear" w:color="auto" w:fill="C2D69B" w:themeFill="accent3" w:themeFillTint="99"/>
            <w:noWrap/>
          </w:tcPr>
          <w:p w:rsidR="00CC34EF" w:rsidRPr="00B51A64" w:rsidRDefault="00C23EB6" w:rsidP="00B51A64">
            <w:pPr>
              <w:jc w:val="right"/>
              <w:rPr>
                <w:rFonts w:eastAsia="Times New Roman"/>
                <w:b/>
                <w:bCs/>
                <w:color w:val="000000" w:themeColor="text1"/>
                <w:szCs w:val="22"/>
              </w:rPr>
            </w:pPr>
            <w:r w:rsidRPr="00B51A64">
              <w:rPr>
                <w:rFonts w:eastAsia="Times New Roman"/>
                <w:b/>
                <w:bCs/>
                <w:color w:val="000000" w:themeColor="text1"/>
                <w:szCs w:val="22"/>
              </w:rPr>
              <w:t>2,</w:t>
            </w:r>
            <w:r w:rsidR="00B51A64" w:rsidRPr="00B51A64">
              <w:rPr>
                <w:rFonts w:eastAsia="Times New Roman"/>
                <w:b/>
                <w:bCs/>
                <w:color w:val="000000" w:themeColor="text1"/>
                <w:szCs w:val="22"/>
              </w:rPr>
              <w:t>645</w:t>
            </w:r>
            <w:r w:rsidRPr="00B51A64">
              <w:rPr>
                <w:rFonts w:eastAsia="Times New Roman"/>
                <w:b/>
                <w:bCs/>
                <w:color w:val="000000" w:themeColor="text1"/>
                <w:szCs w:val="22"/>
              </w:rPr>
              <w:t>,58</w:t>
            </w:r>
            <w:r w:rsidR="00B51A64" w:rsidRPr="00B51A64">
              <w:rPr>
                <w:rFonts w:eastAsia="Times New Roman"/>
                <w:b/>
                <w:bCs/>
                <w:color w:val="000000" w:themeColor="text1"/>
                <w:szCs w:val="22"/>
              </w:rPr>
              <w:t>5</w:t>
            </w:r>
            <w:r w:rsidRPr="00B51A64">
              <w:rPr>
                <w:rFonts w:eastAsia="Times New Roman"/>
                <w:b/>
                <w:bCs/>
                <w:color w:val="000000" w:themeColor="text1"/>
                <w:szCs w:val="22"/>
              </w:rPr>
              <w:t>,3</w:t>
            </w:r>
            <w:r w:rsidR="00B51A64" w:rsidRPr="00B51A64">
              <w:rPr>
                <w:rFonts w:eastAsia="Times New Roman"/>
                <w:b/>
                <w:bCs/>
                <w:color w:val="000000" w:themeColor="text1"/>
                <w:szCs w:val="22"/>
              </w:rPr>
              <w:t>0</w:t>
            </w:r>
            <w:r w:rsidRPr="00B51A64">
              <w:rPr>
                <w:rFonts w:eastAsia="Times New Roman"/>
                <w:b/>
                <w:bCs/>
                <w:color w:val="000000" w:themeColor="text1"/>
                <w:szCs w:val="22"/>
              </w:rPr>
              <w:t>7</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Asuntos Económicos, Comerciales y Laborales en General</w:t>
            </w:r>
          </w:p>
        </w:tc>
        <w:tc>
          <w:tcPr>
            <w:tcW w:w="1574" w:type="pct"/>
            <w:shd w:val="clear" w:color="auto" w:fill="EAF1DD" w:themeFill="accent3" w:themeFillTint="33"/>
            <w:noWrap/>
          </w:tcPr>
          <w:p w:rsidR="00CC34EF" w:rsidRPr="0094148C" w:rsidRDefault="00C23EB6" w:rsidP="00130B3B">
            <w:pPr>
              <w:jc w:val="right"/>
              <w:rPr>
                <w:rFonts w:eastAsia="Times New Roman"/>
                <w:color w:val="FF0000"/>
                <w:szCs w:val="22"/>
              </w:rPr>
            </w:pPr>
            <w:r w:rsidRPr="00130B3B">
              <w:rPr>
                <w:rFonts w:eastAsia="Times New Roman"/>
                <w:color w:val="000000" w:themeColor="text1"/>
                <w:szCs w:val="22"/>
              </w:rPr>
              <w:t>6</w:t>
            </w:r>
            <w:r w:rsidR="00130B3B" w:rsidRPr="00130B3B">
              <w:rPr>
                <w:rFonts w:eastAsia="Times New Roman"/>
                <w:color w:val="000000" w:themeColor="text1"/>
                <w:szCs w:val="22"/>
              </w:rPr>
              <w:t>33</w:t>
            </w:r>
            <w:r w:rsidRPr="00130B3B">
              <w:rPr>
                <w:rFonts w:eastAsia="Times New Roman"/>
                <w:color w:val="000000" w:themeColor="text1"/>
                <w:szCs w:val="22"/>
              </w:rPr>
              <w:t>,</w:t>
            </w:r>
            <w:r w:rsidR="00130B3B" w:rsidRPr="00130B3B">
              <w:rPr>
                <w:rFonts w:eastAsia="Times New Roman"/>
                <w:color w:val="000000" w:themeColor="text1"/>
                <w:szCs w:val="22"/>
              </w:rPr>
              <w:t>9</w:t>
            </w:r>
            <w:r w:rsidRPr="00130B3B">
              <w:rPr>
                <w:rFonts w:eastAsia="Times New Roman"/>
                <w:color w:val="000000" w:themeColor="text1"/>
                <w:szCs w:val="22"/>
              </w:rPr>
              <w:t>4</w:t>
            </w:r>
            <w:r w:rsidR="00130B3B" w:rsidRPr="00130B3B">
              <w:rPr>
                <w:rFonts w:eastAsia="Times New Roman"/>
                <w:color w:val="000000" w:themeColor="text1"/>
                <w:szCs w:val="22"/>
              </w:rPr>
              <w:t>9</w:t>
            </w:r>
            <w:r w:rsidRPr="00130B3B">
              <w:rPr>
                <w:rFonts w:eastAsia="Times New Roman"/>
                <w:color w:val="000000" w:themeColor="text1"/>
                <w:szCs w:val="22"/>
              </w:rPr>
              <w:t>,</w:t>
            </w:r>
            <w:r w:rsidR="00130B3B" w:rsidRPr="00130B3B">
              <w:rPr>
                <w:rFonts w:eastAsia="Times New Roman"/>
                <w:color w:val="000000" w:themeColor="text1"/>
                <w:szCs w:val="22"/>
              </w:rPr>
              <w:t>869</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Agropecuaria, Silvicultura, Pesca y Caza</w:t>
            </w:r>
          </w:p>
        </w:tc>
        <w:tc>
          <w:tcPr>
            <w:tcW w:w="1574" w:type="pct"/>
            <w:shd w:val="clear" w:color="auto" w:fill="EAF1DD" w:themeFill="accent3" w:themeFillTint="33"/>
            <w:noWrap/>
          </w:tcPr>
          <w:p w:rsidR="00CC34EF" w:rsidRPr="0094148C" w:rsidRDefault="00C23EB6" w:rsidP="00B92A22">
            <w:pPr>
              <w:jc w:val="right"/>
              <w:rPr>
                <w:rFonts w:eastAsia="Times New Roman"/>
                <w:color w:val="FF0000"/>
                <w:szCs w:val="22"/>
              </w:rPr>
            </w:pPr>
            <w:r w:rsidRPr="00B92A22">
              <w:rPr>
                <w:rFonts w:eastAsia="Times New Roman"/>
                <w:color w:val="000000" w:themeColor="text1"/>
                <w:szCs w:val="22"/>
              </w:rPr>
              <w:t>6</w:t>
            </w:r>
            <w:r w:rsidR="00B92A22" w:rsidRPr="00B92A22">
              <w:rPr>
                <w:rFonts w:eastAsia="Times New Roman"/>
                <w:color w:val="000000" w:themeColor="text1"/>
                <w:szCs w:val="22"/>
              </w:rPr>
              <w:t>4</w:t>
            </w:r>
            <w:r w:rsidRPr="00B92A22">
              <w:rPr>
                <w:rFonts w:eastAsia="Times New Roman"/>
                <w:color w:val="000000" w:themeColor="text1"/>
                <w:szCs w:val="22"/>
              </w:rPr>
              <w:t>3,</w:t>
            </w:r>
            <w:r w:rsidR="00B92A22" w:rsidRPr="00B92A22">
              <w:rPr>
                <w:rFonts w:eastAsia="Times New Roman"/>
                <w:color w:val="000000" w:themeColor="text1"/>
                <w:szCs w:val="22"/>
              </w:rPr>
              <w:t>8</w:t>
            </w:r>
            <w:r w:rsidRPr="00B92A22">
              <w:rPr>
                <w:rFonts w:eastAsia="Times New Roman"/>
                <w:color w:val="000000" w:themeColor="text1"/>
                <w:szCs w:val="22"/>
              </w:rPr>
              <w:t>8</w:t>
            </w:r>
            <w:r w:rsidR="00B92A22" w:rsidRPr="00B92A22">
              <w:rPr>
                <w:rFonts w:eastAsia="Times New Roman"/>
                <w:color w:val="000000" w:themeColor="text1"/>
                <w:szCs w:val="22"/>
              </w:rPr>
              <w:t>5</w:t>
            </w:r>
            <w:r w:rsidRPr="00B92A22">
              <w:rPr>
                <w:rFonts w:eastAsia="Times New Roman"/>
                <w:color w:val="000000" w:themeColor="text1"/>
                <w:szCs w:val="22"/>
              </w:rPr>
              <w:t>,</w:t>
            </w:r>
            <w:r w:rsidR="00B92A22" w:rsidRPr="00B92A22">
              <w:rPr>
                <w:rFonts w:eastAsia="Times New Roman"/>
                <w:color w:val="000000" w:themeColor="text1"/>
                <w:szCs w:val="22"/>
              </w:rPr>
              <w:t>868</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Transporte</w:t>
            </w:r>
          </w:p>
        </w:tc>
        <w:tc>
          <w:tcPr>
            <w:tcW w:w="1574" w:type="pct"/>
            <w:shd w:val="clear" w:color="auto" w:fill="EAF1DD" w:themeFill="accent3" w:themeFillTint="33"/>
            <w:noWrap/>
          </w:tcPr>
          <w:p w:rsidR="00CC34EF" w:rsidRPr="0094148C" w:rsidRDefault="00B92A22" w:rsidP="00B92A22">
            <w:pPr>
              <w:jc w:val="right"/>
              <w:rPr>
                <w:rFonts w:eastAsia="Times New Roman"/>
                <w:color w:val="FF0000"/>
                <w:szCs w:val="22"/>
              </w:rPr>
            </w:pPr>
            <w:r w:rsidRPr="00B92A22">
              <w:rPr>
                <w:rFonts w:eastAsia="Times New Roman"/>
                <w:color w:val="000000" w:themeColor="text1"/>
                <w:szCs w:val="22"/>
              </w:rPr>
              <w:t>564</w:t>
            </w:r>
            <w:r w:rsidR="00C23EB6" w:rsidRPr="00B92A22">
              <w:rPr>
                <w:rFonts w:eastAsia="Times New Roman"/>
                <w:color w:val="000000" w:themeColor="text1"/>
                <w:szCs w:val="22"/>
              </w:rPr>
              <w:t>,</w:t>
            </w:r>
            <w:r w:rsidRPr="00B92A22">
              <w:rPr>
                <w:rFonts w:eastAsia="Times New Roman"/>
                <w:color w:val="000000" w:themeColor="text1"/>
                <w:szCs w:val="22"/>
              </w:rPr>
              <w:t>339</w:t>
            </w:r>
            <w:r w:rsidR="00C23EB6" w:rsidRPr="00B92A22">
              <w:rPr>
                <w:rFonts w:eastAsia="Times New Roman"/>
                <w:color w:val="000000" w:themeColor="text1"/>
                <w:szCs w:val="22"/>
              </w:rPr>
              <w:t>,</w:t>
            </w:r>
            <w:r w:rsidRPr="00B92A22">
              <w:rPr>
                <w:rFonts w:eastAsia="Times New Roman"/>
                <w:color w:val="000000" w:themeColor="text1"/>
                <w:szCs w:val="22"/>
              </w:rPr>
              <w:t>073</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Turismo</w:t>
            </w:r>
          </w:p>
        </w:tc>
        <w:tc>
          <w:tcPr>
            <w:tcW w:w="1574" w:type="pct"/>
            <w:shd w:val="clear" w:color="auto" w:fill="EAF1DD" w:themeFill="accent3" w:themeFillTint="33"/>
            <w:noWrap/>
          </w:tcPr>
          <w:p w:rsidR="00CC34EF" w:rsidRPr="0094148C" w:rsidRDefault="00B92A22" w:rsidP="00B92A22">
            <w:pPr>
              <w:jc w:val="right"/>
              <w:rPr>
                <w:rFonts w:eastAsia="Times New Roman"/>
                <w:color w:val="FF0000"/>
                <w:szCs w:val="22"/>
              </w:rPr>
            </w:pPr>
            <w:r w:rsidRPr="00B92A22">
              <w:rPr>
                <w:rFonts w:eastAsia="Times New Roman"/>
                <w:color w:val="000000" w:themeColor="text1"/>
                <w:szCs w:val="22"/>
              </w:rPr>
              <w:t>608</w:t>
            </w:r>
            <w:r w:rsidR="00C23EB6" w:rsidRPr="00B92A22">
              <w:rPr>
                <w:rFonts w:eastAsia="Times New Roman"/>
                <w:color w:val="000000" w:themeColor="text1"/>
                <w:szCs w:val="22"/>
              </w:rPr>
              <w:t>,</w:t>
            </w:r>
            <w:r w:rsidRPr="00B92A22">
              <w:rPr>
                <w:rFonts w:eastAsia="Times New Roman"/>
                <w:color w:val="000000" w:themeColor="text1"/>
                <w:szCs w:val="22"/>
              </w:rPr>
              <w:t>063</w:t>
            </w:r>
            <w:r w:rsidR="00C23EB6" w:rsidRPr="00B92A22">
              <w:rPr>
                <w:rFonts w:eastAsia="Times New Roman"/>
                <w:color w:val="000000" w:themeColor="text1"/>
                <w:szCs w:val="22"/>
              </w:rPr>
              <w:t>,</w:t>
            </w:r>
            <w:r w:rsidRPr="00B92A22">
              <w:rPr>
                <w:rFonts w:eastAsia="Times New Roman"/>
                <w:color w:val="000000" w:themeColor="text1"/>
                <w:szCs w:val="22"/>
              </w:rPr>
              <w:t>853</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firstLineChars="100" w:firstLine="220"/>
              <w:rPr>
                <w:rFonts w:eastAsia="Times New Roman"/>
                <w:szCs w:val="22"/>
              </w:rPr>
            </w:pPr>
            <w:r w:rsidRPr="00402182">
              <w:rPr>
                <w:rFonts w:eastAsia="Times New Roman"/>
                <w:szCs w:val="22"/>
              </w:rPr>
              <w:t>Ciencia, Tecnología e Innovación</w:t>
            </w:r>
          </w:p>
        </w:tc>
        <w:tc>
          <w:tcPr>
            <w:tcW w:w="1574" w:type="pct"/>
            <w:shd w:val="clear" w:color="auto" w:fill="EAF1DD" w:themeFill="accent3" w:themeFillTint="33"/>
            <w:noWrap/>
          </w:tcPr>
          <w:p w:rsidR="00CC34EF" w:rsidRPr="0094148C" w:rsidRDefault="00C23EB6" w:rsidP="00130B3B">
            <w:pPr>
              <w:jc w:val="right"/>
              <w:rPr>
                <w:rFonts w:eastAsia="Times New Roman"/>
                <w:color w:val="FF0000"/>
                <w:szCs w:val="22"/>
              </w:rPr>
            </w:pPr>
            <w:r w:rsidRPr="00130B3B">
              <w:rPr>
                <w:rFonts w:eastAsia="Times New Roman"/>
                <w:color w:val="000000" w:themeColor="text1"/>
                <w:szCs w:val="22"/>
              </w:rPr>
              <w:t>1</w:t>
            </w:r>
            <w:r w:rsidR="00130B3B" w:rsidRPr="00130B3B">
              <w:rPr>
                <w:rFonts w:eastAsia="Times New Roman"/>
                <w:color w:val="000000" w:themeColor="text1"/>
                <w:szCs w:val="22"/>
              </w:rPr>
              <w:t>95</w:t>
            </w:r>
            <w:r w:rsidRPr="00130B3B">
              <w:rPr>
                <w:rFonts w:eastAsia="Times New Roman"/>
                <w:color w:val="000000" w:themeColor="text1"/>
                <w:szCs w:val="22"/>
              </w:rPr>
              <w:t>,</w:t>
            </w:r>
            <w:r w:rsidR="00130B3B" w:rsidRPr="00130B3B">
              <w:rPr>
                <w:rFonts w:eastAsia="Times New Roman"/>
                <w:color w:val="000000" w:themeColor="text1"/>
                <w:szCs w:val="22"/>
              </w:rPr>
              <w:t>346</w:t>
            </w:r>
            <w:r w:rsidRPr="00130B3B">
              <w:rPr>
                <w:rFonts w:eastAsia="Times New Roman"/>
                <w:color w:val="000000" w:themeColor="text1"/>
                <w:szCs w:val="22"/>
              </w:rPr>
              <w:t>,</w:t>
            </w:r>
            <w:r w:rsidR="00130B3B" w:rsidRPr="00130B3B">
              <w:rPr>
                <w:rFonts w:eastAsia="Times New Roman"/>
                <w:color w:val="000000" w:themeColor="text1"/>
                <w:szCs w:val="22"/>
              </w:rPr>
              <w:t>644</w:t>
            </w:r>
          </w:p>
        </w:tc>
      </w:tr>
      <w:tr w:rsidR="00CC34EF" w:rsidRPr="00402182" w:rsidTr="003438B7">
        <w:trPr>
          <w:trHeight w:val="454"/>
        </w:trPr>
        <w:tc>
          <w:tcPr>
            <w:tcW w:w="3426" w:type="pct"/>
            <w:shd w:val="clear" w:color="auto" w:fill="C2D69B" w:themeFill="accent3" w:themeFillTint="99"/>
            <w:noWrap/>
            <w:hideMark/>
          </w:tcPr>
          <w:p w:rsidR="00CC34EF" w:rsidRPr="00402182" w:rsidRDefault="00CC34EF" w:rsidP="005844E1">
            <w:pPr>
              <w:rPr>
                <w:rFonts w:eastAsia="Times New Roman"/>
                <w:b/>
                <w:bCs/>
                <w:szCs w:val="22"/>
              </w:rPr>
            </w:pPr>
            <w:r w:rsidRPr="00402182">
              <w:rPr>
                <w:rFonts w:eastAsia="Times New Roman"/>
                <w:b/>
                <w:bCs/>
                <w:szCs w:val="22"/>
              </w:rPr>
              <w:t>Otras No Clasificadas en Funciones Anteriores</w:t>
            </w:r>
          </w:p>
        </w:tc>
        <w:tc>
          <w:tcPr>
            <w:tcW w:w="1574" w:type="pct"/>
            <w:shd w:val="clear" w:color="auto" w:fill="C2D69B" w:themeFill="accent3" w:themeFillTint="99"/>
            <w:noWrap/>
          </w:tcPr>
          <w:p w:rsidR="00CC34EF" w:rsidRPr="0094148C" w:rsidRDefault="00B92A22" w:rsidP="00D53787">
            <w:pPr>
              <w:jc w:val="right"/>
              <w:rPr>
                <w:rFonts w:eastAsia="Times New Roman"/>
                <w:b/>
                <w:bCs/>
                <w:color w:val="FF0000"/>
                <w:szCs w:val="22"/>
              </w:rPr>
            </w:pPr>
            <w:r w:rsidRPr="00D53787">
              <w:rPr>
                <w:rFonts w:eastAsia="Times New Roman"/>
                <w:b/>
                <w:bCs/>
                <w:color w:val="000000" w:themeColor="text1"/>
                <w:szCs w:val="22"/>
              </w:rPr>
              <w:t>6</w:t>
            </w:r>
            <w:r w:rsidR="00C23EB6" w:rsidRPr="00D53787">
              <w:rPr>
                <w:rFonts w:eastAsia="Times New Roman"/>
                <w:b/>
                <w:bCs/>
                <w:color w:val="000000" w:themeColor="text1"/>
                <w:szCs w:val="22"/>
              </w:rPr>
              <w:t>,</w:t>
            </w:r>
            <w:r w:rsidRPr="00D53787">
              <w:rPr>
                <w:rFonts w:eastAsia="Times New Roman"/>
                <w:b/>
                <w:bCs/>
                <w:color w:val="000000" w:themeColor="text1"/>
                <w:szCs w:val="22"/>
              </w:rPr>
              <w:t>653</w:t>
            </w:r>
            <w:r w:rsidR="00C23EB6" w:rsidRPr="00D53787">
              <w:rPr>
                <w:rFonts w:eastAsia="Times New Roman"/>
                <w:b/>
                <w:bCs/>
                <w:color w:val="000000" w:themeColor="text1"/>
                <w:szCs w:val="22"/>
              </w:rPr>
              <w:t>,</w:t>
            </w:r>
            <w:r w:rsidR="00D53787" w:rsidRPr="00D53787">
              <w:rPr>
                <w:rFonts w:eastAsia="Times New Roman"/>
                <w:b/>
                <w:bCs/>
                <w:color w:val="000000" w:themeColor="text1"/>
                <w:szCs w:val="22"/>
              </w:rPr>
              <w:t>808</w:t>
            </w:r>
            <w:r w:rsidR="00C23EB6" w:rsidRPr="00D53787">
              <w:rPr>
                <w:rFonts w:eastAsia="Times New Roman"/>
                <w:b/>
                <w:bCs/>
                <w:color w:val="000000" w:themeColor="text1"/>
                <w:szCs w:val="22"/>
              </w:rPr>
              <w:t>,</w:t>
            </w:r>
            <w:r w:rsidR="00D53787" w:rsidRPr="00D53787">
              <w:rPr>
                <w:rFonts w:eastAsia="Times New Roman"/>
                <w:b/>
                <w:bCs/>
                <w:color w:val="000000" w:themeColor="text1"/>
                <w:szCs w:val="22"/>
              </w:rPr>
              <w:t>121</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left="238"/>
              <w:rPr>
                <w:rFonts w:eastAsia="Times New Roman"/>
                <w:szCs w:val="22"/>
              </w:rPr>
            </w:pPr>
            <w:r w:rsidRPr="00402182">
              <w:rPr>
                <w:rFonts w:eastAsia="Times New Roman"/>
                <w:szCs w:val="22"/>
              </w:rPr>
              <w:t>Transacciones de la Deuda Pública / Costo Financiero de la Deuda</w:t>
            </w:r>
          </w:p>
        </w:tc>
        <w:tc>
          <w:tcPr>
            <w:tcW w:w="1574" w:type="pct"/>
            <w:shd w:val="clear" w:color="auto" w:fill="EAF1DD" w:themeFill="accent3" w:themeFillTint="33"/>
            <w:noWrap/>
          </w:tcPr>
          <w:p w:rsidR="00CC34EF" w:rsidRPr="0094148C" w:rsidRDefault="00B92A22" w:rsidP="00B92A22">
            <w:pPr>
              <w:jc w:val="right"/>
              <w:rPr>
                <w:rFonts w:eastAsia="Times New Roman"/>
                <w:color w:val="FF0000"/>
                <w:szCs w:val="22"/>
              </w:rPr>
            </w:pPr>
            <w:r w:rsidRPr="00B92A22">
              <w:rPr>
                <w:rFonts w:eastAsia="Times New Roman"/>
                <w:color w:val="000000" w:themeColor="text1"/>
                <w:szCs w:val="22"/>
              </w:rPr>
              <w:t>447</w:t>
            </w:r>
            <w:r w:rsidR="00C23EB6" w:rsidRPr="00B92A22">
              <w:rPr>
                <w:rFonts w:eastAsia="Times New Roman"/>
                <w:color w:val="000000" w:themeColor="text1"/>
                <w:szCs w:val="22"/>
              </w:rPr>
              <w:t>,</w:t>
            </w:r>
            <w:r w:rsidRPr="00B92A22">
              <w:rPr>
                <w:rFonts w:eastAsia="Times New Roman"/>
                <w:color w:val="000000" w:themeColor="text1"/>
                <w:szCs w:val="22"/>
              </w:rPr>
              <w:t>233</w:t>
            </w:r>
            <w:r w:rsidR="00C23EB6" w:rsidRPr="00B92A22">
              <w:rPr>
                <w:rFonts w:eastAsia="Times New Roman"/>
                <w:color w:val="000000" w:themeColor="text1"/>
                <w:szCs w:val="22"/>
              </w:rPr>
              <w:t>,</w:t>
            </w:r>
            <w:r w:rsidRPr="00B92A22">
              <w:rPr>
                <w:rFonts w:eastAsia="Times New Roman"/>
                <w:color w:val="000000" w:themeColor="text1"/>
                <w:szCs w:val="22"/>
              </w:rPr>
              <w:t>979</w:t>
            </w:r>
          </w:p>
        </w:tc>
      </w:tr>
      <w:tr w:rsidR="00CC34EF" w:rsidRPr="00402182" w:rsidTr="003438B7">
        <w:trPr>
          <w:trHeight w:val="454"/>
        </w:trPr>
        <w:tc>
          <w:tcPr>
            <w:tcW w:w="3426" w:type="pct"/>
            <w:shd w:val="clear" w:color="auto" w:fill="EAF1DD" w:themeFill="accent3" w:themeFillTint="33"/>
            <w:noWrap/>
            <w:hideMark/>
          </w:tcPr>
          <w:p w:rsidR="00CC34EF" w:rsidRPr="00402182" w:rsidRDefault="00CC34EF" w:rsidP="005844E1">
            <w:pPr>
              <w:ind w:left="238"/>
              <w:rPr>
                <w:rFonts w:eastAsia="Times New Roman"/>
                <w:szCs w:val="22"/>
              </w:rPr>
            </w:pPr>
            <w:r w:rsidRPr="00402182">
              <w:rPr>
                <w:rFonts w:eastAsia="Times New Roman"/>
                <w:szCs w:val="22"/>
              </w:rPr>
              <w:t>Transferencias, Participaciones y Aportaciones entre Diferentes Niveles y Órdenes de Gobierno</w:t>
            </w:r>
          </w:p>
        </w:tc>
        <w:tc>
          <w:tcPr>
            <w:tcW w:w="1574" w:type="pct"/>
            <w:shd w:val="clear" w:color="auto" w:fill="EAF1DD" w:themeFill="accent3" w:themeFillTint="33"/>
            <w:noWrap/>
          </w:tcPr>
          <w:p w:rsidR="00CC34EF" w:rsidRPr="0094148C" w:rsidRDefault="00B92A22" w:rsidP="00B92A22">
            <w:pPr>
              <w:jc w:val="right"/>
              <w:rPr>
                <w:rFonts w:eastAsia="Times New Roman"/>
                <w:color w:val="FF0000"/>
                <w:szCs w:val="22"/>
              </w:rPr>
            </w:pPr>
            <w:r w:rsidRPr="00B92A22">
              <w:rPr>
                <w:rFonts w:eastAsia="Times New Roman"/>
                <w:color w:val="000000" w:themeColor="text1"/>
                <w:szCs w:val="22"/>
              </w:rPr>
              <w:t>6</w:t>
            </w:r>
            <w:r w:rsidR="00C23EB6" w:rsidRPr="00B92A22">
              <w:rPr>
                <w:rFonts w:eastAsia="Times New Roman"/>
                <w:color w:val="000000" w:themeColor="text1"/>
                <w:szCs w:val="22"/>
              </w:rPr>
              <w:t>,</w:t>
            </w:r>
            <w:r w:rsidRPr="00B92A22">
              <w:rPr>
                <w:rFonts w:eastAsia="Times New Roman"/>
                <w:color w:val="000000" w:themeColor="text1"/>
                <w:szCs w:val="22"/>
              </w:rPr>
              <w:t>206</w:t>
            </w:r>
            <w:r w:rsidR="00C23EB6" w:rsidRPr="00B92A22">
              <w:rPr>
                <w:rFonts w:eastAsia="Times New Roman"/>
                <w:color w:val="000000" w:themeColor="text1"/>
                <w:szCs w:val="22"/>
              </w:rPr>
              <w:t>,</w:t>
            </w:r>
            <w:r w:rsidRPr="00B92A22">
              <w:rPr>
                <w:rFonts w:eastAsia="Times New Roman"/>
                <w:color w:val="000000" w:themeColor="text1"/>
                <w:szCs w:val="22"/>
              </w:rPr>
              <w:t>574</w:t>
            </w:r>
            <w:r w:rsidR="00C23EB6" w:rsidRPr="00B92A22">
              <w:rPr>
                <w:rFonts w:eastAsia="Times New Roman"/>
                <w:color w:val="000000" w:themeColor="text1"/>
                <w:szCs w:val="22"/>
              </w:rPr>
              <w:t>,</w:t>
            </w:r>
            <w:r w:rsidRPr="00B92A22">
              <w:rPr>
                <w:rFonts w:eastAsia="Times New Roman"/>
                <w:color w:val="000000" w:themeColor="text1"/>
                <w:szCs w:val="22"/>
              </w:rPr>
              <w:t>142</w:t>
            </w:r>
          </w:p>
        </w:tc>
      </w:tr>
      <w:tr w:rsidR="00CC34EF" w:rsidRPr="00402182" w:rsidTr="003438B7">
        <w:trPr>
          <w:trHeight w:val="454"/>
        </w:trPr>
        <w:tc>
          <w:tcPr>
            <w:tcW w:w="3426" w:type="pct"/>
            <w:shd w:val="clear" w:color="auto" w:fill="C2D69B" w:themeFill="accent3" w:themeFillTint="99"/>
            <w:noWrap/>
            <w:hideMark/>
          </w:tcPr>
          <w:p w:rsidR="00CC34EF" w:rsidRPr="00402182" w:rsidRDefault="00CC34EF" w:rsidP="005844E1">
            <w:pPr>
              <w:rPr>
                <w:rFonts w:eastAsia="Times New Roman"/>
                <w:b/>
                <w:bCs/>
                <w:szCs w:val="22"/>
              </w:rPr>
            </w:pPr>
            <w:r w:rsidRPr="00402182">
              <w:rPr>
                <w:rFonts w:eastAsia="Times New Roman"/>
                <w:b/>
                <w:bCs/>
                <w:szCs w:val="22"/>
              </w:rPr>
              <w:t>Total general</w:t>
            </w:r>
          </w:p>
        </w:tc>
        <w:tc>
          <w:tcPr>
            <w:tcW w:w="1574" w:type="pct"/>
            <w:shd w:val="clear" w:color="auto" w:fill="C2D69B" w:themeFill="accent3" w:themeFillTint="99"/>
            <w:noWrap/>
          </w:tcPr>
          <w:p w:rsidR="00CC34EF" w:rsidRPr="00402182" w:rsidRDefault="00D53787" w:rsidP="00D53787">
            <w:pPr>
              <w:jc w:val="right"/>
              <w:rPr>
                <w:rFonts w:eastAsia="Times New Roman"/>
                <w:b/>
                <w:bCs/>
                <w:szCs w:val="22"/>
              </w:rPr>
            </w:pPr>
            <w:r>
              <w:rPr>
                <w:rFonts w:eastAsia="Times New Roman"/>
                <w:b/>
                <w:bCs/>
                <w:szCs w:val="22"/>
              </w:rPr>
              <w:t>40</w:t>
            </w:r>
            <w:r w:rsidR="00C23EB6" w:rsidRPr="00C23EB6">
              <w:rPr>
                <w:rFonts w:eastAsia="Times New Roman"/>
                <w:b/>
                <w:bCs/>
                <w:szCs w:val="22"/>
              </w:rPr>
              <w:t>,</w:t>
            </w:r>
            <w:r>
              <w:rPr>
                <w:rFonts w:eastAsia="Times New Roman"/>
                <w:b/>
                <w:bCs/>
                <w:szCs w:val="22"/>
              </w:rPr>
              <w:t>813</w:t>
            </w:r>
            <w:r w:rsidR="00C23EB6" w:rsidRPr="00C23EB6">
              <w:rPr>
                <w:rFonts w:eastAsia="Times New Roman"/>
                <w:b/>
                <w:bCs/>
                <w:szCs w:val="22"/>
              </w:rPr>
              <w:t>,</w:t>
            </w:r>
            <w:r>
              <w:rPr>
                <w:rFonts w:eastAsia="Times New Roman"/>
                <w:b/>
                <w:bCs/>
                <w:szCs w:val="22"/>
              </w:rPr>
              <w:t>192</w:t>
            </w:r>
            <w:r w:rsidR="00C23EB6" w:rsidRPr="00C23EB6">
              <w:rPr>
                <w:rFonts w:eastAsia="Times New Roman"/>
                <w:b/>
                <w:bCs/>
                <w:szCs w:val="22"/>
              </w:rPr>
              <w:t>,</w:t>
            </w:r>
            <w:r>
              <w:rPr>
                <w:rFonts w:eastAsia="Times New Roman"/>
                <w:b/>
                <w:bCs/>
                <w:szCs w:val="22"/>
              </w:rPr>
              <w:t>8</w:t>
            </w:r>
            <w:r w:rsidR="00C23EB6" w:rsidRPr="00C23EB6">
              <w:rPr>
                <w:rFonts w:eastAsia="Times New Roman"/>
                <w:b/>
                <w:bCs/>
                <w:szCs w:val="22"/>
              </w:rPr>
              <w:t>7</w:t>
            </w:r>
            <w:r>
              <w:rPr>
                <w:rFonts w:eastAsia="Times New Roman"/>
                <w:b/>
                <w:bCs/>
                <w:szCs w:val="22"/>
              </w:rPr>
              <w:t>5</w:t>
            </w:r>
          </w:p>
        </w:tc>
      </w:tr>
    </w:tbl>
    <w:p w:rsidR="006F6A52" w:rsidRDefault="006F6A52">
      <w:pPr>
        <w:spacing w:after="0"/>
        <w:jc w:val="both"/>
      </w:pPr>
    </w:p>
    <w:p w:rsidR="006F6A52" w:rsidRDefault="0060747A">
      <w:pPr>
        <w:spacing w:after="0"/>
        <w:jc w:val="both"/>
      </w:pPr>
      <w:r>
        <w:rPr>
          <w:u w:val="single"/>
        </w:rPr>
        <w:t>¿QUÉ PUEDEN HACER LOS CIUDADANOS?</w:t>
      </w:r>
    </w:p>
    <w:p w:rsidR="006F6A52" w:rsidRDefault="0060747A">
      <w:pPr>
        <w:spacing w:after="0"/>
        <w:jc w:val="both"/>
      </w:pPr>
      <w:r w:rsidRPr="00631AE4">
        <w:t>Informarse sobre lo que hace el Gobierno con los recursos públicos y vigilar si está cumpliendo con sus obligaciones, en relación con el dinero distribuido en los diferentes programas y proyectos.</w:t>
      </w:r>
    </w:p>
    <w:p w:rsidR="006F6A52" w:rsidRDefault="006F6A52">
      <w:pPr>
        <w:spacing w:after="0"/>
        <w:jc w:val="both"/>
      </w:pPr>
    </w:p>
    <w:p w:rsidR="006F6A52" w:rsidRDefault="0060747A">
      <w:pPr>
        <w:spacing w:after="0"/>
        <w:jc w:val="both"/>
      </w:pPr>
      <w:r>
        <w:t xml:space="preserve">Ejercer su derecho a solicitar información gubernamental a través del Sistema de Acceso a la Información Pública. </w:t>
      </w:r>
    </w:p>
    <w:p w:rsidR="006F6A52" w:rsidRPr="0077155F" w:rsidRDefault="006F6A52">
      <w:pPr>
        <w:spacing w:after="0"/>
        <w:jc w:val="both"/>
        <w:rPr>
          <w:color w:val="auto"/>
        </w:rPr>
      </w:pPr>
    </w:p>
    <w:p w:rsidR="006F6A52" w:rsidRPr="0077155F" w:rsidRDefault="0060747A">
      <w:pPr>
        <w:spacing w:after="0"/>
        <w:jc w:val="both"/>
        <w:rPr>
          <w:color w:val="auto"/>
        </w:rPr>
      </w:pPr>
      <w:bookmarkStart w:id="1" w:name="h.8blfvbp5purg" w:colFirst="0" w:colLast="0"/>
      <w:bookmarkEnd w:id="1"/>
      <w:r w:rsidRPr="0077155F">
        <w:rPr>
          <w:color w:val="auto"/>
        </w:rPr>
        <w:t xml:space="preserve">Visitar la página web del Gobierno del Estado (www.yucatan.gob.mx) que proporciona información de interés. Puede encontrarse el Padrón de Trámites y Servicios Estatales, así como el </w:t>
      </w:r>
      <w:r w:rsidRPr="0077155F">
        <w:rPr>
          <w:color w:val="auto"/>
        </w:rPr>
        <w:lastRenderedPageBreak/>
        <w:t>Catálogo de Programas de Bienes y Servicios Públicos, en el cual se informa quiénes pueden acceder a ellos, sus requisitos, las oficinas y personas a quien dirigirse para solicitar sus beneficios.</w:t>
      </w:r>
    </w:p>
    <w:p w:rsidR="006F6A52" w:rsidRPr="0077155F" w:rsidRDefault="006F6A52">
      <w:pPr>
        <w:spacing w:after="0"/>
        <w:jc w:val="both"/>
        <w:rPr>
          <w:color w:val="auto"/>
        </w:rPr>
      </w:pPr>
      <w:bookmarkStart w:id="2" w:name="h.f93i3qqukjj1" w:colFirst="0" w:colLast="0"/>
      <w:bookmarkEnd w:id="2"/>
    </w:p>
    <w:p w:rsidR="006F6A52" w:rsidRPr="0077155F" w:rsidRDefault="0060747A">
      <w:pPr>
        <w:spacing w:after="0"/>
        <w:jc w:val="both"/>
        <w:rPr>
          <w:color w:val="auto"/>
        </w:rPr>
      </w:pPr>
      <w:bookmarkStart w:id="3" w:name="h.ph174o30ht3u" w:colFirst="0" w:colLast="0"/>
      <w:bookmarkEnd w:id="3"/>
      <w:r w:rsidRPr="0077155F">
        <w:rPr>
          <w:color w:val="auto"/>
        </w:rPr>
        <w:t>De igual manera, pueden ingresar al Observatorio de Compromisos del Gobierno del Estado el cual es un sitio electrónico dinámico, en el que se informan los avances que registran en su cumplimiento los 227 compromisos plasmados en el Plan Estatal de Desarrollo 2012-2018 (</w:t>
      </w:r>
      <w:hyperlink r:id="rId5">
        <w:r w:rsidRPr="0077155F">
          <w:rPr>
            <w:color w:val="auto"/>
          </w:rPr>
          <w:t>www.observatorio.yucatan.gob.mx/</w:t>
        </w:r>
      </w:hyperlink>
      <w:r w:rsidRPr="0077155F">
        <w:rPr>
          <w:color w:val="auto"/>
        </w:rPr>
        <w:t xml:space="preserve">). </w:t>
      </w:r>
    </w:p>
    <w:sectPr w:rsidR="006F6A52" w:rsidRPr="0077155F">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6F6A52"/>
    <w:rsid w:val="0006125C"/>
    <w:rsid w:val="00074356"/>
    <w:rsid w:val="00097D76"/>
    <w:rsid w:val="000F749E"/>
    <w:rsid w:val="0010050A"/>
    <w:rsid w:val="00130B3B"/>
    <w:rsid w:val="001B73EB"/>
    <w:rsid w:val="00251B3F"/>
    <w:rsid w:val="002721A2"/>
    <w:rsid w:val="00283052"/>
    <w:rsid w:val="003438B7"/>
    <w:rsid w:val="003A5EB0"/>
    <w:rsid w:val="003C6374"/>
    <w:rsid w:val="0040712B"/>
    <w:rsid w:val="0041732F"/>
    <w:rsid w:val="004459C1"/>
    <w:rsid w:val="004571CD"/>
    <w:rsid w:val="004604FE"/>
    <w:rsid w:val="004D0194"/>
    <w:rsid w:val="00506909"/>
    <w:rsid w:val="005158CD"/>
    <w:rsid w:val="005B2EC9"/>
    <w:rsid w:val="005E133C"/>
    <w:rsid w:val="006063F0"/>
    <w:rsid w:val="0060747A"/>
    <w:rsid w:val="00631AE4"/>
    <w:rsid w:val="006C49C9"/>
    <w:rsid w:val="006F6A52"/>
    <w:rsid w:val="00714DF2"/>
    <w:rsid w:val="00716A27"/>
    <w:rsid w:val="0077155F"/>
    <w:rsid w:val="00782987"/>
    <w:rsid w:val="008951CF"/>
    <w:rsid w:val="008A07FA"/>
    <w:rsid w:val="008C79BA"/>
    <w:rsid w:val="0094148C"/>
    <w:rsid w:val="00985956"/>
    <w:rsid w:val="00986995"/>
    <w:rsid w:val="00996222"/>
    <w:rsid w:val="009B1D5A"/>
    <w:rsid w:val="00B0078E"/>
    <w:rsid w:val="00B51A64"/>
    <w:rsid w:val="00B85CC8"/>
    <w:rsid w:val="00B92A22"/>
    <w:rsid w:val="00BD255D"/>
    <w:rsid w:val="00C23EB6"/>
    <w:rsid w:val="00C82315"/>
    <w:rsid w:val="00CB337B"/>
    <w:rsid w:val="00CC34EF"/>
    <w:rsid w:val="00D53787"/>
    <w:rsid w:val="00D55BA8"/>
    <w:rsid w:val="00DE7640"/>
    <w:rsid w:val="00E02B40"/>
    <w:rsid w:val="00E1487B"/>
    <w:rsid w:val="00E43967"/>
    <w:rsid w:val="00E47490"/>
    <w:rsid w:val="00E6135A"/>
    <w:rsid w:val="00EC2C18"/>
    <w:rsid w:val="00EF2DAC"/>
    <w:rsid w:val="00F27350"/>
    <w:rsid w:val="00F35667"/>
    <w:rsid w:val="00F503B5"/>
    <w:rsid w:val="00F64CF9"/>
    <w:rsid w:val="00FD6AB3"/>
    <w:rsid w:val="00FE13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styleId="Tablaconcuadrcula">
    <w:name w:val="Table Grid"/>
    <w:basedOn w:val="Tablanormal"/>
    <w:uiPriority w:val="59"/>
    <w:rsid w:val="00CC3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31AE4"/>
    <w:rPr>
      <w:color w:val="0000FF" w:themeColor="hyperlink"/>
      <w:u w:val="single"/>
    </w:rPr>
  </w:style>
  <w:style w:type="character" w:styleId="Refdecomentario">
    <w:name w:val="annotation reference"/>
    <w:basedOn w:val="Fuentedeprrafopredeter"/>
    <w:uiPriority w:val="99"/>
    <w:semiHidden/>
    <w:unhideWhenUsed/>
    <w:rsid w:val="0040712B"/>
    <w:rPr>
      <w:sz w:val="16"/>
      <w:szCs w:val="16"/>
    </w:rPr>
  </w:style>
  <w:style w:type="paragraph" w:styleId="Textocomentario">
    <w:name w:val="annotation text"/>
    <w:basedOn w:val="Normal"/>
    <w:link w:val="TextocomentarioCar"/>
    <w:uiPriority w:val="99"/>
    <w:semiHidden/>
    <w:unhideWhenUsed/>
    <w:rsid w:val="0040712B"/>
    <w:pPr>
      <w:spacing w:line="240" w:lineRule="auto"/>
    </w:pPr>
    <w:rPr>
      <w:sz w:val="20"/>
    </w:rPr>
  </w:style>
  <w:style w:type="character" w:customStyle="1" w:styleId="TextocomentarioCar">
    <w:name w:val="Texto comentario Car"/>
    <w:basedOn w:val="Fuentedeprrafopredeter"/>
    <w:link w:val="Textocomentario"/>
    <w:uiPriority w:val="99"/>
    <w:semiHidden/>
    <w:rsid w:val="0040712B"/>
    <w:rPr>
      <w:sz w:val="20"/>
    </w:rPr>
  </w:style>
  <w:style w:type="paragraph" w:styleId="Asuntodelcomentario">
    <w:name w:val="annotation subject"/>
    <w:basedOn w:val="Textocomentario"/>
    <w:next w:val="Textocomentario"/>
    <w:link w:val="AsuntodelcomentarioCar"/>
    <w:uiPriority w:val="99"/>
    <w:semiHidden/>
    <w:unhideWhenUsed/>
    <w:rsid w:val="0040712B"/>
    <w:rPr>
      <w:b/>
      <w:bCs/>
    </w:rPr>
  </w:style>
  <w:style w:type="character" w:customStyle="1" w:styleId="AsuntodelcomentarioCar">
    <w:name w:val="Asunto del comentario Car"/>
    <w:basedOn w:val="TextocomentarioCar"/>
    <w:link w:val="Asuntodelcomentario"/>
    <w:uiPriority w:val="99"/>
    <w:semiHidden/>
    <w:rsid w:val="0040712B"/>
    <w:rPr>
      <w:b/>
      <w:bCs/>
      <w:sz w:val="20"/>
    </w:rPr>
  </w:style>
  <w:style w:type="paragraph" w:styleId="Textodeglobo">
    <w:name w:val="Balloon Text"/>
    <w:basedOn w:val="Normal"/>
    <w:link w:val="TextodegloboCar"/>
    <w:uiPriority w:val="99"/>
    <w:semiHidden/>
    <w:unhideWhenUsed/>
    <w:rsid w:val="004071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12B"/>
    <w:rPr>
      <w:rFonts w:ascii="Tahoma" w:hAnsi="Tahoma" w:cs="Tahoma"/>
      <w:sz w:val="16"/>
      <w:szCs w:val="16"/>
    </w:rPr>
  </w:style>
  <w:style w:type="paragraph" w:styleId="Prrafodelista">
    <w:name w:val="List Paragraph"/>
    <w:basedOn w:val="Normal"/>
    <w:uiPriority w:val="34"/>
    <w:qFormat/>
    <w:rsid w:val="009869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styleId="Tablaconcuadrcula">
    <w:name w:val="Table Grid"/>
    <w:basedOn w:val="Tablanormal"/>
    <w:uiPriority w:val="59"/>
    <w:rsid w:val="00CC3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31AE4"/>
    <w:rPr>
      <w:color w:val="0000FF" w:themeColor="hyperlink"/>
      <w:u w:val="single"/>
    </w:rPr>
  </w:style>
  <w:style w:type="character" w:styleId="Refdecomentario">
    <w:name w:val="annotation reference"/>
    <w:basedOn w:val="Fuentedeprrafopredeter"/>
    <w:uiPriority w:val="99"/>
    <w:semiHidden/>
    <w:unhideWhenUsed/>
    <w:rsid w:val="0040712B"/>
    <w:rPr>
      <w:sz w:val="16"/>
      <w:szCs w:val="16"/>
    </w:rPr>
  </w:style>
  <w:style w:type="paragraph" w:styleId="Textocomentario">
    <w:name w:val="annotation text"/>
    <w:basedOn w:val="Normal"/>
    <w:link w:val="TextocomentarioCar"/>
    <w:uiPriority w:val="99"/>
    <w:semiHidden/>
    <w:unhideWhenUsed/>
    <w:rsid w:val="0040712B"/>
    <w:pPr>
      <w:spacing w:line="240" w:lineRule="auto"/>
    </w:pPr>
    <w:rPr>
      <w:sz w:val="20"/>
    </w:rPr>
  </w:style>
  <w:style w:type="character" w:customStyle="1" w:styleId="TextocomentarioCar">
    <w:name w:val="Texto comentario Car"/>
    <w:basedOn w:val="Fuentedeprrafopredeter"/>
    <w:link w:val="Textocomentario"/>
    <w:uiPriority w:val="99"/>
    <w:semiHidden/>
    <w:rsid w:val="0040712B"/>
    <w:rPr>
      <w:sz w:val="20"/>
    </w:rPr>
  </w:style>
  <w:style w:type="paragraph" w:styleId="Asuntodelcomentario">
    <w:name w:val="annotation subject"/>
    <w:basedOn w:val="Textocomentario"/>
    <w:next w:val="Textocomentario"/>
    <w:link w:val="AsuntodelcomentarioCar"/>
    <w:uiPriority w:val="99"/>
    <w:semiHidden/>
    <w:unhideWhenUsed/>
    <w:rsid w:val="0040712B"/>
    <w:rPr>
      <w:b/>
      <w:bCs/>
    </w:rPr>
  </w:style>
  <w:style w:type="character" w:customStyle="1" w:styleId="AsuntodelcomentarioCar">
    <w:name w:val="Asunto del comentario Car"/>
    <w:basedOn w:val="TextocomentarioCar"/>
    <w:link w:val="Asuntodelcomentario"/>
    <w:uiPriority w:val="99"/>
    <w:semiHidden/>
    <w:rsid w:val="0040712B"/>
    <w:rPr>
      <w:b/>
      <w:bCs/>
      <w:sz w:val="20"/>
    </w:rPr>
  </w:style>
  <w:style w:type="paragraph" w:styleId="Textodeglobo">
    <w:name w:val="Balloon Text"/>
    <w:basedOn w:val="Normal"/>
    <w:link w:val="TextodegloboCar"/>
    <w:uiPriority w:val="99"/>
    <w:semiHidden/>
    <w:unhideWhenUsed/>
    <w:rsid w:val="004071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12B"/>
    <w:rPr>
      <w:rFonts w:ascii="Tahoma" w:hAnsi="Tahoma" w:cs="Tahoma"/>
      <w:sz w:val="16"/>
      <w:szCs w:val="16"/>
    </w:rPr>
  </w:style>
  <w:style w:type="paragraph" w:styleId="Prrafodelista">
    <w:name w:val="List Paragraph"/>
    <w:basedOn w:val="Normal"/>
    <w:uiPriority w:val="34"/>
    <w:qFormat/>
    <w:rsid w:val="00986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17064">
      <w:bodyDiv w:val="1"/>
      <w:marLeft w:val="0"/>
      <w:marRight w:val="0"/>
      <w:marTop w:val="0"/>
      <w:marBottom w:val="0"/>
      <w:divBdr>
        <w:top w:val="none" w:sz="0" w:space="0" w:color="auto"/>
        <w:left w:val="none" w:sz="0" w:space="0" w:color="auto"/>
        <w:bottom w:val="none" w:sz="0" w:space="0" w:color="auto"/>
        <w:right w:val="none" w:sz="0" w:space="0" w:color="auto"/>
      </w:divBdr>
    </w:div>
    <w:div w:id="1665426856">
      <w:bodyDiv w:val="1"/>
      <w:marLeft w:val="0"/>
      <w:marRight w:val="0"/>
      <w:marTop w:val="0"/>
      <w:marBottom w:val="0"/>
      <w:divBdr>
        <w:top w:val="none" w:sz="0" w:space="0" w:color="auto"/>
        <w:left w:val="none" w:sz="0" w:space="0" w:color="auto"/>
        <w:bottom w:val="none" w:sz="0" w:space="0" w:color="auto"/>
        <w:right w:val="none" w:sz="0" w:space="0" w:color="auto"/>
      </w:divBdr>
    </w:div>
    <w:div w:id="1681080058">
      <w:bodyDiv w:val="1"/>
      <w:marLeft w:val="0"/>
      <w:marRight w:val="0"/>
      <w:marTop w:val="0"/>
      <w:marBottom w:val="0"/>
      <w:divBdr>
        <w:top w:val="none" w:sz="0" w:space="0" w:color="auto"/>
        <w:left w:val="none" w:sz="0" w:space="0" w:color="auto"/>
        <w:bottom w:val="none" w:sz="0" w:space="0" w:color="auto"/>
        <w:right w:val="none" w:sz="0" w:space="0" w:color="auto"/>
      </w:divBdr>
    </w:div>
    <w:div w:id="170540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bservatorio.yucatan.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1322</Words>
  <Characters>7272</Characters>
  <Application>Microsoft Office Word</Application>
  <DocSecurity>4</DocSecurity>
  <Lines>60</Lines>
  <Paragraphs>17</Paragraphs>
  <ScaleCrop>false</ScaleCrop>
  <HeadingPairs>
    <vt:vector size="2" baseType="variant">
      <vt:variant>
        <vt:lpstr>Título</vt:lpstr>
      </vt:variant>
      <vt:variant>
        <vt:i4>1</vt:i4>
      </vt:variant>
    </vt:vector>
  </HeadingPairs>
  <TitlesOfParts>
    <vt:vector size="1" baseType="lpstr">
      <vt:lpstr>Presupuesto ciudadano (solo texto).docx</vt:lpstr>
    </vt:vector>
  </TitlesOfParts>
  <Company>Hewlett-Packard Company</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ciudadano (solo texto).docx</dc:title>
  <dc:creator>Wendy L. Rejon Barrancos</dc:creator>
  <cp:lastModifiedBy>Eduar Raul Chi Santana</cp:lastModifiedBy>
  <cp:revision>2</cp:revision>
  <dcterms:created xsi:type="dcterms:W3CDTF">2018-01-25T17:48:00Z</dcterms:created>
  <dcterms:modified xsi:type="dcterms:W3CDTF">2018-01-25T17:48:00Z</dcterms:modified>
</cp:coreProperties>
</file>