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AE" w:rsidRPr="005A36E9" w:rsidRDefault="0010695F" w:rsidP="006552AE">
      <w:pPr>
        <w:spacing w:line="240" w:lineRule="auto"/>
        <w:jc w:val="center"/>
        <w:rPr>
          <w:rFonts w:cs="Arial"/>
          <w:b/>
          <w:sz w:val="20"/>
          <w:szCs w:val="20"/>
        </w:rPr>
      </w:pPr>
      <w:r w:rsidRPr="005A36E9">
        <w:rPr>
          <w:rFonts w:cs="Arial"/>
          <w:b/>
          <w:sz w:val="20"/>
          <w:szCs w:val="20"/>
        </w:rPr>
        <w:t xml:space="preserve">     </w:t>
      </w:r>
      <w:r w:rsidR="006552AE" w:rsidRPr="005A36E9">
        <w:rPr>
          <w:rFonts w:cs="Arial"/>
          <w:b/>
          <w:sz w:val="20"/>
          <w:szCs w:val="20"/>
        </w:rPr>
        <w:t>Cuenta Pública</w:t>
      </w:r>
      <w:r w:rsidR="005A6930">
        <w:rPr>
          <w:rFonts w:cs="Arial"/>
          <w:b/>
          <w:sz w:val="20"/>
          <w:szCs w:val="20"/>
        </w:rPr>
        <w:t xml:space="preserve"> 2017</w:t>
      </w:r>
    </w:p>
    <w:p w:rsidR="006552AE" w:rsidRPr="005A36E9" w:rsidRDefault="006552AE" w:rsidP="006552AE">
      <w:pPr>
        <w:spacing w:line="240" w:lineRule="auto"/>
        <w:jc w:val="center"/>
        <w:rPr>
          <w:rFonts w:cs="Arial"/>
          <w:b/>
          <w:sz w:val="20"/>
          <w:szCs w:val="20"/>
        </w:rPr>
      </w:pPr>
      <w:r w:rsidRPr="005A36E9">
        <w:rPr>
          <w:rFonts w:cs="Arial"/>
          <w:b/>
          <w:sz w:val="20"/>
          <w:szCs w:val="20"/>
        </w:rPr>
        <w:t>Notas a los Estados Financieros</w:t>
      </w:r>
    </w:p>
    <w:p w:rsidR="006552AE" w:rsidRPr="005A36E9" w:rsidRDefault="006552AE" w:rsidP="005C4746">
      <w:pPr>
        <w:spacing w:line="240" w:lineRule="auto"/>
        <w:jc w:val="center"/>
        <w:rPr>
          <w:rFonts w:cs="Arial"/>
          <w:b/>
          <w:sz w:val="20"/>
          <w:szCs w:val="20"/>
        </w:rPr>
      </w:pPr>
      <w:r w:rsidRPr="005A36E9">
        <w:rPr>
          <w:rFonts w:cs="Arial"/>
          <w:b/>
          <w:sz w:val="20"/>
          <w:szCs w:val="20"/>
        </w:rPr>
        <w:t>A</w:t>
      </w:r>
      <w:r w:rsidR="00A570C8" w:rsidRPr="005A36E9">
        <w:rPr>
          <w:rFonts w:cs="Arial"/>
          <w:b/>
          <w:sz w:val="20"/>
          <w:szCs w:val="20"/>
        </w:rPr>
        <w:t xml:space="preserve">l </w:t>
      </w:r>
      <w:r w:rsidR="005C4746" w:rsidRPr="005A36E9">
        <w:rPr>
          <w:rFonts w:cs="Arial"/>
          <w:b/>
          <w:sz w:val="20"/>
          <w:szCs w:val="20"/>
        </w:rPr>
        <w:t>31</w:t>
      </w:r>
      <w:r w:rsidR="0095697D" w:rsidRPr="005A36E9">
        <w:rPr>
          <w:rFonts w:cs="Arial"/>
          <w:b/>
          <w:sz w:val="20"/>
          <w:szCs w:val="20"/>
        </w:rPr>
        <w:t xml:space="preserve"> de</w:t>
      </w:r>
      <w:r w:rsidR="009B615E" w:rsidRPr="005A36E9">
        <w:rPr>
          <w:rFonts w:cs="Arial"/>
          <w:b/>
          <w:sz w:val="20"/>
          <w:szCs w:val="20"/>
        </w:rPr>
        <w:t xml:space="preserve"> </w:t>
      </w:r>
      <w:r w:rsidR="005C4746" w:rsidRPr="005A36E9">
        <w:rPr>
          <w:rFonts w:cs="Arial"/>
          <w:b/>
          <w:sz w:val="20"/>
          <w:szCs w:val="20"/>
        </w:rPr>
        <w:t>Dic</w:t>
      </w:r>
      <w:r w:rsidR="009D7865" w:rsidRPr="005A36E9">
        <w:rPr>
          <w:rFonts w:cs="Arial"/>
          <w:b/>
          <w:sz w:val="20"/>
          <w:szCs w:val="20"/>
        </w:rPr>
        <w:t>iembre</w:t>
      </w:r>
      <w:r w:rsidR="00E236E5" w:rsidRPr="005A36E9">
        <w:rPr>
          <w:rFonts w:cs="Arial"/>
          <w:b/>
          <w:sz w:val="20"/>
          <w:szCs w:val="20"/>
        </w:rPr>
        <w:t xml:space="preserve"> </w:t>
      </w:r>
      <w:r w:rsidR="00F60453" w:rsidRPr="005A36E9">
        <w:rPr>
          <w:rFonts w:cs="Arial"/>
          <w:b/>
          <w:sz w:val="20"/>
          <w:szCs w:val="20"/>
        </w:rPr>
        <w:t>de 2017</w:t>
      </w:r>
    </w:p>
    <w:p w:rsidR="006552AE" w:rsidRPr="005A36E9" w:rsidRDefault="006552AE" w:rsidP="006552AE">
      <w:pPr>
        <w:spacing w:line="240" w:lineRule="auto"/>
        <w:jc w:val="center"/>
        <w:rPr>
          <w:rFonts w:cs="Arial"/>
          <w:b/>
          <w:sz w:val="20"/>
          <w:szCs w:val="20"/>
        </w:rPr>
      </w:pPr>
      <w:r w:rsidRPr="005A36E9">
        <w:rPr>
          <w:rFonts w:cs="Arial"/>
          <w:b/>
          <w:sz w:val="20"/>
          <w:szCs w:val="20"/>
        </w:rPr>
        <w:t>(Pesos)</w:t>
      </w:r>
    </w:p>
    <w:p w:rsidR="009B615E" w:rsidRPr="005A36E9" w:rsidRDefault="005A36E9" w:rsidP="005A36E9">
      <w:pPr>
        <w:spacing w:line="240" w:lineRule="auto"/>
        <w:rPr>
          <w:rFonts w:cs="Arial"/>
          <w:b/>
          <w:sz w:val="20"/>
          <w:szCs w:val="20"/>
          <w:u w:val="single"/>
        </w:rPr>
      </w:pPr>
      <w:r w:rsidRPr="005A36E9">
        <w:rPr>
          <w:rFonts w:cs="Arial"/>
          <w:b/>
          <w:sz w:val="20"/>
          <w:szCs w:val="20"/>
        </w:rPr>
        <w:t>Ente Público</w:t>
      </w:r>
      <w:proofErr w:type="gramStart"/>
      <w:r w:rsidRPr="005A36E9">
        <w:rPr>
          <w:rFonts w:cs="Arial"/>
          <w:b/>
          <w:sz w:val="20"/>
          <w:szCs w:val="20"/>
        </w:rPr>
        <w:t>:  UNIVERSIDAD</w:t>
      </w:r>
      <w:proofErr w:type="gramEnd"/>
      <w:r w:rsidRPr="005A36E9">
        <w:rPr>
          <w:rFonts w:cs="Arial"/>
          <w:b/>
          <w:sz w:val="20"/>
          <w:szCs w:val="20"/>
        </w:rPr>
        <w:t xml:space="preserve"> TECNOLÓGICA REGIONAL DEL SUR</w:t>
      </w:r>
    </w:p>
    <w:p w:rsidR="009B615E" w:rsidRPr="005A36E9" w:rsidRDefault="002E3286" w:rsidP="002E3286">
      <w:pPr>
        <w:spacing w:line="240" w:lineRule="auto"/>
        <w:rPr>
          <w:rFonts w:cs="Arial"/>
          <w:b/>
          <w:sz w:val="20"/>
          <w:szCs w:val="20"/>
        </w:rPr>
      </w:pPr>
      <w:r w:rsidRPr="005A36E9">
        <w:rPr>
          <w:rFonts w:cs="Arial"/>
          <w:b/>
          <w:sz w:val="20"/>
          <w:szCs w:val="20"/>
        </w:rPr>
        <w:t>NOTAS DE GESTIÓN ADMINISTRATIVO</w:t>
      </w:r>
    </w:p>
    <w:tbl>
      <w:tblPr>
        <w:tblW w:w="12494" w:type="dxa"/>
        <w:tblCellMar>
          <w:left w:w="70" w:type="dxa"/>
          <w:right w:w="70" w:type="dxa"/>
        </w:tblCellMar>
        <w:tblLook w:val="04A0" w:firstRow="1" w:lastRow="0" w:firstColumn="1" w:lastColumn="0" w:noHBand="0" w:noVBand="1"/>
      </w:tblPr>
      <w:tblGrid>
        <w:gridCol w:w="196"/>
        <w:gridCol w:w="2008"/>
        <w:gridCol w:w="1470"/>
        <w:gridCol w:w="1470"/>
        <w:gridCol w:w="1470"/>
        <w:gridCol w:w="1470"/>
        <w:gridCol w:w="1470"/>
        <w:gridCol w:w="1470"/>
        <w:gridCol w:w="1470"/>
      </w:tblGrid>
      <w:tr w:rsidR="007964FA" w:rsidRPr="005A36E9" w:rsidTr="005A36E9">
        <w:trPr>
          <w:trHeight w:val="82"/>
        </w:trPr>
        <w:tc>
          <w:tcPr>
            <w:tcW w:w="2204" w:type="dxa"/>
            <w:gridSpan w:val="2"/>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 Introducción</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261"/>
        </w:trPr>
        <w:tc>
          <w:tcPr>
            <w:tcW w:w="12494" w:type="dxa"/>
            <w:gridSpan w:val="9"/>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Los Estados Financieros de la Universidad Tecnológica Regional del Sur, Proveen información financiera a los principales usuarios de la misma, al Congreso y a los ciudadanos que así lo requieran.</w:t>
            </w:r>
          </w:p>
        </w:tc>
      </w:tr>
      <w:tr w:rsidR="007964FA" w:rsidRPr="005A36E9" w:rsidTr="005A36E9">
        <w:trPr>
          <w:trHeight w:val="300"/>
        </w:trPr>
        <w:tc>
          <w:tcPr>
            <w:tcW w:w="12494" w:type="dxa"/>
            <w:gridSpan w:val="9"/>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El objeto del presente documento es la revelación del contexto y de los aspectos económicos-financieros </w:t>
            </w:r>
            <w:r w:rsidR="00427F7E" w:rsidRPr="005A36E9">
              <w:rPr>
                <w:rFonts w:eastAsia="Times New Roman" w:cs="Arial"/>
                <w:sz w:val="20"/>
                <w:szCs w:val="20"/>
                <w:lang w:eastAsia="es-MX"/>
              </w:rPr>
              <w:t>más</w:t>
            </w:r>
            <w:r w:rsidRPr="005A36E9">
              <w:rPr>
                <w:rFonts w:eastAsia="Times New Roman" w:cs="Arial"/>
                <w:sz w:val="20"/>
                <w:szCs w:val="20"/>
                <w:lang w:eastAsia="es-MX"/>
              </w:rPr>
              <w:t xml:space="preserve"> relevantes que influyeron en las decisiones del periodo, y que son considerados en la elaboración de los estados financieros para la mayor comprensión de los mismos y sus particularidades.</w:t>
            </w:r>
          </w:p>
        </w:tc>
      </w:tr>
      <w:tr w:rsidR="007964FA" w:rsidRPr="005A36E9" w:rsidTr="005A36E9">
        <w:trPr>
          <w:trHeight w:val="276"/>
        </w:trPr>
        <w:tc>
          <w:tcPr>
            <w:tcW w:w="12494" w:type="dxa"/>
            <w:gridSpan w:val="9"/>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De esta manera, se informa y explica la respuesta del gobierno a las condiciones relacionadas con la información financiera de cada periodo de gestión; además, de exponer aquellas políticas que podrían afectar la toma de decisiones en periodos posteriores.</w:t>
            </w:r>
          </w:p>
        </w:tc>
      </w:tr>
      <w:tr w:rsidR="007964FA" w:rsidRPr="005A36E9" w:rsidTr="005A36E9">
        <w:trPr>
          <w:trHeight w:val="97"/>
        </w:trPr>
        <w:tc>
          <w:tcPr>
            <w:tcW w:w="196"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2.- Panorama Económico y Financiero</w:t>
            </w: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r>
      <w:tr w:rsidR="007964FA" w:rsidRPr="005A36E9" w:rsidTr="005A36E9">
        <w:trPr>
          <w:trHeight w:val="213"/>
        </w:trPr>
        <w:tc>
          <w:tcPr>
            <w:tcW w:w="12494" w:type="dxa"/>
            <w:gridSpan w:val="9"/>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La Universidad tiene básicamente dos fuentes de financiamiento: Federal y Estatal, aunque de menor medida cuenta con Ingresos propios basados principalmente en el cobro de cuotas de Inscripciones y reinscripciones.</w:t>
            </w:r>
          </w:p>
        </w:tc>
      </w:tr>
      <w:tr w:rsidR="007964FA" w:rsidRPr="005A36E9" w:rsidTr="005A36E9">
        <w:trPr>
          <w:trHeight w:val="97"/>
        </w:trPr>
        <w:tc>
          <w:tcPr>
            <w:tcW w:w="196"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r>
      <w:tr w:rsidR="007964FA" w:rsidRPr="005A36E9" w:rsidTr="005A36E9">
        <w:trPr>
          <w:trHeight w:val="97"/>
        </w:trPr>
        <w:tc>
          <w:tcPr>
            <w:tcW w:w="3674" w:type="dxa"/>
            <w:gridSpan w:val="3"/>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3.- Autorización e Historia</w:t>
            </w: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center"/>
            <w:hideMark/>
          </w:tcPr>
          <w:p w:rsidR="007964FA" w:rsidRPr="005A36E9" w:rsidRDefault="007964FA" w:rsidP="007964FA">
            <w:pPr>
              <w:spacing w:after="0" w:line="240" w:lineRule="auto"/>
              <w:jc w:val="both"/>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69"/>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La Universidad Tecnológica Regional del Sur, es un organismo público descentralizado del Gobierno del Estado de Yucatán, constituida en el año de 2000, mediante decreto 268 publicado en el diario oficial del estado el 6 de junio del año 2000; dicha entidad cuenta con personalidad jurídica y patrimonio propios, con domicilio en el municipio de Tekax, Yucatán siendo su principal objeto el formar, a partir de egresados del bachillerato, técnicos superiores universitarios aptos para la aplicación de conocimientos o la resolución creativa de problemas, con un sentido de innovación en la incorporación de los avances científicos y tecnológicos y en general promover la cultura científica y tecnológica</w:t>
            </w:r>
          </w:p>
          <w:p w:rsidR="005A36E9" w:rsidRPr="005A36E9" w:rsidRDefault="005A36E9" w:rsidP="007964FA">
            <w:pPr>
              <w:spacing w:after="0" w:line="240" w:lineRule="auto"/>
              <w:jc w:val="both"/>
              <w:rPr>
                <w:rFonts w:eastAsia="Times New Roman" w:cs="Arial"/>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4.- Organización y Objeto Social</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65"/>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Dicha entidad cuenta con personalidad jurídica y patrimonio propios, con domicilio en el municipio de Tekax, Yucatán siendo su principal objeto el formar, a partir de egresados del bachillerato, técnicos superiores universitarios aptos para la aplicación de conocimientos o la resolución creativa de problemas, con un sentido de innovación en la incorporación de los avances científicos y tecnológicos y en general promover la cultura científica y tecnológica</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6614" w:type="dxa"/>
            <w:gridSpan w:val="5"/>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5.- Bases de Preparación de los Estados Financieros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232"/>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La Universidad, </w:t>
            </w:r>
            <w:r w:rsidR="0060109C" w:rsidRPr="005A36E9">
              <w:rPr>
                <w:rFonts w:eastAsia="Times New Roman" w:cs="Arial"/>
                <w:sz w:val="20"/>
                <w:szCs w:val="20"/>
                <w:lang w:eastAsia="es-MX"/>
              </w:rPr>
              <w:t>está</w:t>
            </w:r>
            <w:r w:rsidRPr="005A36E9">
              <w:rPr>
                <w:rFonts w:eastAsia="Times New Roman" w:cs="Arial"/>
                <w:sz w:val="20"/>
                <w:szCs w:val="20"/>
                <w:lang w:eastAsia="es-MX"/>
              </w:rPr>
              <w:t xml:space="preserve"> obligada a dar cumplimiento a lo establecido en la ley del presupuesto, contabilidad y gasto </w:t>
            </w:r>
            <w:r w:rsidR="0060109C" w:rsidRPr="005A36E9">
              <w:rPr>
                <w:rFonts w:eastAsia="Times New Roman" w:cs="Arial"/>
                <w:sz w:val="20"/>
                <w:szCs w:val="20"/>
                <w:lang w:eastAsia="es-MX"/>
              </w:rPr>
              <w:t>público</w:t>
            </w:r>
            <w:r w:rsidRPr="005A36E9">
              <w:rPr>
                <w:rFonts w:eastAsia="Times New Roman" w:cs="Arial"/>
                <w:sz w:val="20"/>
                <w:szCs w:val="20"/>
                <w:lang w:eastAsia="es-MX"/>
              </w:rPr>
              <w:t xml:space="preserve"> del estado de Yucatán, por tanto deberá cumplir con lo establecido por el CONAC y las disposiciones legales aplicables. Debido a que en el presente ejercicio fiscal se está implementando lo establecido por el CONAC, se presentara los Estados Financieros con la Normatividad anteriormente utilizada para fines de comparación en la transición a la nueva estructura.</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6.- Políticas de Contabilidad Significativas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69"/>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El Registro contable se realiza dentro de las normas y lineamientos vigentes aplicables de acuerdo al CONAC para tal fin</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9554" w:type="dxa"/>
            <w:gridSpan w:val="7"/>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7.- Posición en Moneda Extranjera y Protección por Registro Cambiario</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65"/>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Los valores presentados son en Moneda Nacional, no teniendo cuenta bancaria ni inversiones en moneda extranjera</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8.- Fideicomisos, Mandatos y Análogos.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89"/>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 xml:space="preserve"> Se </w:t>
            </w:r>
            <w:r w:rsidR="0060109C" w:rsidRPr="005A36E9">
              <w:rPr>
                <w:rFonts w:eastAsia="Times New Roman" w:cs="Arial"/>
                <w:sz w:val="20"/>
                <w:szCs w:val="20"/>
                <w:lang w:eastAsia="es-MX"/>
              </w:rPr>
              <w:t>constituyó</w:t>
            </w:r>
            <w:r w:rsidRPr="005A36E9">
              <w:rPr>
                <w:rFonts w:eastAsia="Times New Roman" w:cs="Arial"/>
                <w:sz w:val="20"/>
                <w:szCs w:val="20"/>
                <w:lang w:eastAsia="es-MX"/>
              </w:rPr>
              <w:t xml:space="preserve"> Fideicomiso  No. 745371 del programa de fortalecimiento de la calidad en</w:t>
            </w:r>
            <w:r w:rsidR="00A570C8" w:rsidRPr="005A36E9">
              <w:rPr>
                <w:rFonts w:eastAsia="Times New Roman" w:cs="Arial"/>
                <w:sz w:val="20"/>
                <w:szCs w:val="20"/>
                <w:lang w:eastAsia="es-MX"/>
              </w:rPr>
              <w:t xml:space="preserve"> </w:t>
            </w:r>
            <w:r w:rsidRPr="005A36E9">
              <w:rPr>
                <w:rFonts w:eastAsia="Times New Roman" w:cs="Arial"/>
                <w:sz w:val="20"/>
                <w:szCs w:val="20"/>
                <w:lang w:eastAsia="es-MX"/>
              </w:rPr>
              <w:t>Instituciones Educativas, (PROFOCIE)  con Banorte, correspondiente al ejercicio 2014-2015</w:t>
            </w:r>
          </w:p>
          <w:p w:rsidR="00A570C8" w:rsidRPr="005A36E9" w:rsidRDefault="00A570C8" w:rsidP="007964FA">
            <w:pPr>
              <w:spacing w:after="0" w:line="240" w:lineRule="auto"/>
              <w:rPr>
                <w:rFonts w:eastAsia="Times New Roman" w:cs="Arial"/>
                <w:sz w:val="20"/>
                <w:szCs w:val="20"/>
                <w:lang w:eastAsia="es-MX"/>
              </w:rPr>
            </w:pPr>
          </w:p>
          <w:p w:rsidR="00A570C8" w:rsidRPr="005A36E9" w:rsidRDefault="00A570C8"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 xml:space="preserve">Se firmó Convenio con la Federación denominado  "Programa de </w:t>
            </w:r>
            <w:r w:rsidR="007F2562" w:rsidRPr="005A36E9">
              <w:rPr>
                <w:rFonts w:eastAsia="Times New Roman" w:cs="Arial"/>
                <w:sz w:val="20"/>
                <w:szCs w:val="20"/>
                <w:lang w:eastAsia="es-MX"/>
              </w:rPr>
              <w:t>Fortalecimiento</w:t>
            </w:r>
            <w:r w:rsidRPr="005A36E9">
              <w:rPr>
                <w:rFonts w:eastAsia="Times New Roman" w:cs="Arial"/>
                <w:sz w:val="20"/>
                <w:szCs w:val="20"/>
                <w:lang w:eastAsia="es-MX"/>
              </w:rPr>
              <w:t xml:space="preserve"> de Cuerpos Académicos (PFCE) por un importe de $ 2,055,000.00</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3674" w:type="dxa"/>
            <w:gridSpan w:val="3"/>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9.- Reporte de Recaudación</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No Aplica</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8084" w:type="dxa"/>
            <w:gridSpan w:val="6"/>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10.- Información sobre la Deuda y el Reporte Analítico de la Deuda</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No Aplica</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3674" w:type="dxa"/>
            <w:gridSpan w:val="3"/>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11.- Calificaciones Otorgadas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No Aplica</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3674" w:type="dxa"/>
            <w:gridSpan w:val="3"/>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12.- Procesos de Mejora</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252"/>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Se cuenta con un Sistema de Gestión de la Calidad y con la Verificación ISO-9001-2008, lo cual permite a la Universidad contar con las herramientas necesarias para un adecuado control Interno e igualmente certeza de que las operaciones se realicen en forma adecuada.</w:t>
            </w:r>
          </w:p>
        </w:tc>
      </w:tr>
      <w:tr w:rsidR="007964FA" w:rsidRPr="005A36E9" w:rsidTr="005A36E9">
        <w:trPr>
          <w:trHeight w:val="218"/>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Cada ejercicio es sometido a la revisión de un despacho Dictaminador Externo, el cual da certidumbre </w:t>
            </w:r>
            <w:r w:rsidR="002E6904" w:rsidRPr="005A36E9">
              <w:rPr>
                <w:rFonts w:eastAsia="Times New Roman" w:cs="Arial"/>
                <w:sz w:val="20"/>
                <w:szCs w:val="20"/>
                <w:lang w:eastAsia="es-MX"/>
              </w:rPr>
              <w:t>al</w:t>
            </w:r>
            <w:r w:rsidRPr="005A36E9">
              <w:rPr>
                <w:rFonts w:eastAsia="Times New Roman" w:cs="Arial"/>
                <w:sz w:val="20"/>
                <w:szCs w:val="20"/>
                <w:lang w:eastAsia="es-MX"/>
              </w:rPr>
              <w:t xml:space="preserve"> correcto manejo de los recursos </w:t>
            </w:r>
            <w:r w:rsidR="0060109C" w:rsidRPr="005A36E9">
              <w:rPr>
                <w:rFonts w:eastAsia="Times New Roman" w:cs="Arial"/>
                <w:sz w:val="20"/>
                <w:szCs w:val="20"/>
                <w:lang w:eastAsia="es-MX"/>
              </w:rPr>
              <w:t>tantos</w:t>
            </w:r>
            <w:r w:rsidRPr="005A36E9">
              <w:rPr>
                <w:rFonts w:eastAsia="Times New Roman" w:cs="Arial"/>
                <w:sz w:val="20"/>
                <w:szCs w:val="20"/>
                <w:lang w:eastAsia="es-MX"/>
              </w:rPr>
              <w:t xml:space="preserve"> materiales, así como monetarios.</w:t>
            </w: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13.- Información por segmentos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No Aplica</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5144" w:type="dxa"/>
            <w:gridSpan w:val="4"/>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14.- Eventos Posteriores al Cierre</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3478" w:type="dxa"/>
            <w:gridSpan w:val="2"/>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r w:rsidRPr="005A36E9">
              <w:rPr>
                <w:rFonts w:eastAsia="Times New Roman" w:cs="Arial"/>
                <w:sz w:val="20"/>
                <w:szCs w:val="20"/>
                <w:lang w:eastAsia="es-MX"/>
              </w:rPr>
              <w:t>No se tienen en este mes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3674" w:type="dxa"/>
            <w:gridSpan w:val="3"/>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15.- Partes Relacionadas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189"/>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No existen partes relacionadas que pudieran ejercer influencia significativa sobre la toma de decisiones financieras y operativas sobre la información financiera de la Universidad en este periodo que se informa.</w:t>
            </w: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jc w:val="both"/>
              <w:rPr>
                <w:rFonts w:eastAsia="Times New Roman" w:cs="Arial"/>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97"/>
        </w:trPr>
        <w:tc>
          <w:tcPr>
            <w:tcW w:w="11024" w:type="dxa"/>
            <w:gridSpan w:val="8"/>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16.- Responsabilidad Sobre la Presentación Razonable de los Estados Financieros</w:t>
            </w: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sz w:val="20"/>
                <w:szCs w:val="20"/>
                <w:lang w:eastAsia="es-MX"/>
              </w:rPr>
            </w:pPr>
          </w:p>
        </w:tc>
      </w:tr>
      <w:tr w:rsidR="007964FA" w:rsidRPr="005A36E9" w:rsidTr="005A36E9">
        <w:trPr>
          <w:trHeight w:val="97"/>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2008"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47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7964FA" w:rsidRPr="005A36E9" w:rsidTr="005A36E9">
        <w:trPr>
          <w:trHeight w:val="242"/>
        </w:trPr>
        <w:tc>
          <w:tcPr>
            <w:tcW w:w="196"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298" w:type="dxa"/>
            <w:gridSpan w:val="8"/>
            <w:tcBorders>
              <w:top w:val="nil"/>
              <w:left w:val="nil"/>
              <w:bottom w:val="nil"/>
              <w:right w:val="nil"/>
            </w:tcBorders>
            <w:shd w:val="clear" w:color="auto" w:fill="auto"/>
            <w:vAlign w:val="center"/>
            <w:hideMark/>
          </w:tcPr>
          <w:p w:rsidR="007964FA" w:rsidRPr="005A36E9" w:rsidRDefault="007964FA" w:rsidP="007964FA">
            <w:pPr>
              <w:spacing w:after="0" w:line="240" w:lineRule="auto"/>
              <w:jc w:val="both"/>
              <w:rPr>
                <w:rFonts w:eastAsia="Times New Roman" w:cs="Arial"/>
                <w:sz w:val="20"/>
                <w:szCs w:val="20"/>
                <w:lang w:eastAsia="es-MX"/>
              </w:rPr>
            </w:pPr>
            <w:r w:rsidRPr="005A36E9">
              <w:rPr>
                <w:rFonts w:eastAsia="Times New Roman" w:cs="Arial"/>
                <w:sz w:val="20"/>
                <w:szCs w:val="20"/>
                <w:lang w:eastAsia="es-MX"/>
              </w:rPr>
              <w:t xml:space="preserve">     Para darle certidumbre a los Estados Financieros, éstos se presentan debidamente rubricados y se incluye la siguiente leyenda: "Bajo protesta de decir verdad declaramos que los Estados Financieros y sus Notas, son razonablemente correctos y son responsabilidad del emisor".</w:t>
            </w:r>
          </w:p>
        </w:tc>
      </w:tr>
    </w:tbl>
    <w:p w:rsidR="009B615E" w:rsidRPr="005A36E9" w:rsidRDefault="009B615E">
      <w:pPr>
        <w:rPr>
          <w:sz w:val="20"/>
          <w:szCs w:val="20"/>
        </w:rPr>
      </w:pPr>
    </w:p>
    <w:p w:rsidR="005A36E9" w:rsidRPr="005A36E9" w:rsidRDefault="005A36E9">
      <w:pPr>
        <w:rPr>
          <w:sz w:val="20"/>
          <w:szCs w:val="20"/>
        </w:rPr>
      </w:pPr>
    </w:p>
    <w:p w:rsidR="005A36E9" w:rsidRPr="005A36E9" w:rsidRDefault="005A36E9">
      <w:pPr>
        <w:rPr>
          <w:sz w:val="20"/>
          <w:szCs w:val="20"/>
        </w:rPr>
      </w:pPr>
    </w:p>
    <w:p w:rsidR="005A36E9" w:rsidRDefault="005A36E9">
      <w:pPr>
        <w:rPr>
          <w:sz w:val="20"/>
          <w:szCs w:val="20"/>
        </w:rPr>
      </w:pPr>
    </w:p>
    <w:p w:rsidR="005A36E9" w:rsidRPr="005A36E9" w:rsidRDefault="005A36E9">
      <w:pPr>
        <w:rPr>
          <w:sz w:val="20"/>
          <w:szCs w:val="20"/>
        </w:rPr>
      </w:pPr>
    </w:p>
    <w:p w:rsidR="005A36E9" w:rsidRPr="005A36E9" w:rsidRDefault="005A36E9">
      <w:pPr>
        <w:rPr>
          <w:sz w:val="20"/>
          <w:szCs w:val="20"/>
        </w:rPr>
      </w:pPr>
    </w:p>
    <w:p w:rsidR="005A36E9" w:rsidRPr="005A36E9" w:rsidRDefault="005A36E9">
      <w:pPr>
        <w:rPr>
          <w:sz w:val="20"/>
          <w:szCs w:val="20"/>
        </w:rPr>
      </w:pPr>
    </w:p>
    <w:p w:rsidR="002E3286" w:rsidRPr="005A36E9" w:rsidRDefault="002E3286" w:rsidP="002E3286">
      <w:pPr>
        <w:spacing w:line="240" w:lineRule="auto"/>
        <w:rPr>
          <w:rFonts w:cs="Arial"/>
          <w:b/>
          <w:sz w:val="20"/>
          <w:szCs w:val="20"/>
        </w:rPr>
      </w:pPr>
      <w:r w:rsidRPr="005A36E9">
        <w:rPr>
          <w:rFonts w:cs="Arial"/>
          <w:b/>
          <w:sz w:val="20"/>
          <w:szCs w:val="20"/>
        </w:rPr>
        <w:lastRenderedPageBreak/>
        <w:t>NOTAS DE DESGLOSE</w:t>
      </w:r>
    </w:p>
    <w:tbl>
      <w:tblPr>
        <w:tblW w:w="10481" w:type="dxa"/>
        <w:tblCellMar>
          <w:left w:w="70" w:type="dxa"/>
          <w:right w:w="70" w:type="dxa"/>
        </w:tblCellMar>
        <w:tblLook w:val="04A0" w:firstRow="1" w:lastRow="0" w:firstColumn="1" w:lastColumn="0" w:noHBand="0" w:noVBand="1"/>
      </w:tblPr>
      <w:tblGrid>
        <w:gridCol w:w="186"/>
        <w:gridCol w:w="1953"/>
        <w:gridCol w:w="1030"/>
        <w:gridCol w:w="1030"/>
        <w:gridCol w:w="1030"/>
        <w:gridCol w:w="640"/>
        <w:gridCol w:w="1420"/>
        <w:gridCol w:w="1700"/>
        <w:gridCol w:w="1540"/>
      </w:tblGrid>
      <w:tr w:rsidR="005C4746" w:rsidRPr="005A36E9" w:rsidTr="005C4746">
        <w:trPr>
          <w:trHeight w:val="255"/>
        </w:trPr>
        <w:tc>
          <w:tcPr>
            <w:tcW w:w="5181" w:type="dxa"/>
            <w:gridSpan w:val="5"/>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1) NOTAS AL ESTADO DE SITUACION FINANCIERA</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19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2091"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Activo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0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5181" w:type="dxa"/>
            <w:gridSpan w:val="5"/>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Al cierre del periodo los saldos son los siguientes:</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u w:val="single"/>
                <w:lang w:eastAsia="es-MX"/>
              </w:rPr>
            </w:pPr>
            <w:r w:rsidRPr="005A36E9">
              <w:rPr>
                <w:rFonts w:eastAsia="Times New Roman" w:cs="Arial"/>
                <w:b/>
                <w:bCs/>
                <w:sz w:val="20"/>
                <w:szCs w:val="20"/>
                <w:u w:val="single"/>
                <w:lang w:eastAsia="es-MX"/>
              </w:rPr>
              <w:t>Efectivo y Equivalentes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7,779,754.42</w:t>
            </w:r>
          </w:p>
        </w:tc>
      </w:tr>
      <w:tr w:rsidR="005C4746" w:rsidRPr="005A36E9" w:rsidTr="005C4746">
        <w:trPr>
          <w:trHeight w:val="1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2091"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Efectivo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14,820.13</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15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Caja Administración y Finanzas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14,820.13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8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55"/>
        </w:trPr>
        <w:tc>
          <w:tcPr>
            <w:tcW w:w="4151"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Bancos Dependencias y Otros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7,764,934.29</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Federal 0138836870</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xml:space="preserve">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3,310,895.55</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Estatal0138836991</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1,475,113.61</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Ingresos Propios 0138837103</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463,407.13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Donativos 0557175394</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PYME 0625185050</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792.24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PROMEP 0835585860</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FODAEES 0893853505</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835.40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PROMEP 0204091903</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268.13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PADES 0893853505</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108.33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CIDESY 0204094007</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1,085.42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PRODEP 0264337753</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5,334.50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lastRenderedPageBreak/>
              <w:t> </w:t>
            </w:r>
          </w:p>
        </w:tc>
        <w:tc>
          <w:tcPr>
            <w:tcW w:w="5043" w:type="dxa"/>
            <w:gridSpan w:val="4"/>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PFCE 0472280300</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423,525.14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Federal esp. 0317161377</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34,491.44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Estatal esp. 0317173400</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196,762.20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Banorte CTA. PFCE 0358977629</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1,527,093.00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7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hideMark/>
          </w:tcPr>
          <w:p w:rsidR="005C4746" w:rsidRPr="005A36E9" w:rsidRDefault="005C4746" w:rsidP="005C4746">
            <w:pPr>
              <w:spacing w:after="0" w:line="240" w:lineRule="auto"/>
              <w:jc w:val="center"/>
              <w:rPr>
                <w:rFonts w:eastAsia="Times New Roman" w:cs="Arial"/>
                <w:sz w:val="20"/>
                <w:szCs w:val="20"/>
                <w:lang w:eastAsia="es-MX"/>
              </w:rPr>
            </w:pPr>
            <w:r w:rsidRPr="005A36E9">
              <w:rPr>
                <w:rFonts w:eastAsia="Times New Roman" w:cs="Arial"/>
                <w:sz w:val="20"/>
                <w:szCs w:val="20"/>
                <w:lang w:eastAsia="es-MX"/>
              </w:rPr>
              <w:t>Banorte CTA. PADES 2017 0362166363</w:t>
            </w:r>
          </w:p>
        </w:tc>
        <w:tc>
          <w:tcPr>
            <w:tcW w:w="1030" w:type="dxa"/>
            <w:tcBorders>
              <w:top w:val="nil"/>
              <w:left w:val="nil"/>
              <w:bottom w:val="nil"/>
              <w:right w:val="nil"/>
            </w:tcBorders>
            <w:shd w:val="clear" w:color="000000" w:fill="FFFFFF"/>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325,222.20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7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u w:val="single"/>
                <w:lang w:eastAsia="es-MX"/>
              </w:rPr>
            </w:pPr>
            <w:r w:rsidRPr="005A36E9">
              <w:rPr>
                <w:rFonts w:eastAsia="Times New Roman" w:cs="Arial"/>
                <w:b/>
                <w:bCs/>
                <w:sz w:val="20"/>
                <w:szCs w:val="20"/>
                <w:u w:val="single"/>
                <w:lang w:eastAsia="es-MX"/>
              </w:rPr>
              <w:t>Efectivo o Equivalente de Efectivo a Recibir</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7,261.53</w:t>
            </w:r>
          </w:p>
        </w:tc>
      </w:tr>
      <w:tr w:rsidR="005C4746" w:rsidRPr="005A36E9" w:rsidTr="005C4746">
        <w:trPr>
          <w:trHeight w:val="18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Cuentas por Cobrar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Municipio de Tekax, Yucatán</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CEGUT</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Secertaria de Hacienda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Universidad Autonoma de Yucatan</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4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xml:space="preserve">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Deudores Diversos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3,050.90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MEJÍA COBIÁN FRANCISCO JAVIER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VARIOS (I.S.P.T. ANUAL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1,678.45</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AJUSTE ISR 2010</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67.80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MEDINA PECH LETICIA GUADALUPE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CHAN MAGAÑA MARIO RENÉ</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37.65</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RODRÍGEZ SALAZAR JORGE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1,267.00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TEJERO MENA PAULO CESAR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JANICE ESCOBEDO SALAZAR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lastRenderedPageBreak/>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BRITO VILLANUEVA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VALENCIA GARCIA SILVIA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JULAIN JAVIER NIC NAVARRETE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9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NOVELO DURAN CARLOS EDUARDO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5181" w:type="dxa"/>
            <w:gridSpan w:val="5"/>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Contribuciones por recuperar a corto plazo</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4,210.64</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Gobierno del Estado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Subsidio al Empleo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2,240.64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ISR a favor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1,970.00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u w:val="single"/>
                <w:lang w:eastAsia="es-MX"/>
              </w:rPr>
            </w:pPr>
            <w:r w:rsidRPr="005A36E9">
              <w:rPr>
                <w:rFonts w:eastAsia="Times New Roman" w:cs="Arial"/>
                <w:b/>
                <w:bCs/>
                <w:sz w:val="20"/>
                <w:szCs w:val="20"/>
                <w:u w:val="single"/>
                <w:lang w:eastAsia="es-MX"/>
              </w:rPr>
              <w:t>Bienes o Servicios a Recibir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126.01</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Anticipos a Corto Plazo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126.01</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4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MAGNOLIA CARDENAS RODRIGUEZ</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SECRETARIA DE GOBERNACION</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ORGANIZATION UNIVERSITAIRE INTERAMERICAN</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ROBERTO JOEL BRITO VILLANUEVA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SERV. DIGITALES INTEGRALES S.A.B. DE C.V</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JUAREZ RAMIREZ LUIS GUILLERMO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LUCELY VERA CHI</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126.01</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SARIFE ESTHER DIAZ SUAREZ</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DANESI GPE. PEREZ UICAB</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LIZZETE JANICE ESCOBEDO SALAZAR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LUIS CANTO CONCHA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4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p w:rsidR="005A36E9" w:rsidRPr="005A36E9" w:rsidRDefault="005A36E9" w:rsidP="005C4746">
            <w:pPr>
              <w:spacing w:after="0" w:line="240" w:lineRule="auto"/>
              <w:rPr>
                <w:rFonts w:eastAsia="Times New Roman" w:cs="Arial"/>
                <w:b/>
                <w:bCs/>
                <w:sz w:val="20"/>
                <w:szCs w:val="20"/>
                <w:lang w:eastAsia="es-MX"/>
              </w:rPr>
            </w:pP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u w:val="single"/>
                <w:lang w:eastAsia="es-MX"/>
              </w:rPr>
            </w:pPr>
            <w:r w:rsidRPr="005A36E9">
              <w:rPr>
                <w:rFonts w:eastAsia="Times New Roman" w:cs="Arial"/>
                <w:b/>
                <w:bCs/>
                <w:sz w:val="20"/>
                <w:szCs w:val="20"/>
                <w:u w:val="single"/>
                <w:lang w:eastAsia="es-MX"/>
              </w:rPr>
              <w:t>Efectivo o Equivalente a Recibir a Largo Plazo</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Deudores Diversos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0.00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4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7103" w:type="dxa"/>
            <w:gridSpan w:val="6"/>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u w:val="single"/>
                <w:lang w:eastAsia="es-MX"/>
              </w:rPr>
            </w:pPr>
            <w:r w:rsidRPr="005A36E9">
              <w:rPr>
                <w:rFonts w:eastAsia="Times New Roman" w:cs="Arial"/>
                <w:b/>
                <w:bCs/>
                <w:sz w:val="20"/>
                <w:szCs w:val="20"/>
                <w:u w:val="single"/>
                <w:lang w:eastAsia="es-MX"/>
              </w:rPr>
              <w:t>Bienes Inmuebles, Infraestructura y Construcciones en Proceso</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24,427,795.63</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24,427,795.63</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Bienes Inmuebles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69,516,617.10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Bienes Muebles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38,775,888.04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Activos Intangibles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639,666.55</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683" w:type="dxa"/>
            <w:gridSpan w:val="5"/>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xml:space="preserve">Depreciación, deteriorio y Amortización acumumada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-85,568,169.09</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Otros Activos no Circulantes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1,063,793.03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4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43" w:type="dxa"/>
            <w:gridSpan w:val="8"/>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Los bienes en Comodato propiedad de la Universidad Tecnológica Regional del Sur en Convenio con la Universidad Tecnológica Metropolitana están integrados en los rubros a que pertenecen en el presente reporte.</w:t>
            </w:r>
          </w:p>
        </w:tc>
      </w:tr>
      <w:tr w:rsidR="005C4746" w:rsidRPr="005A36E9" w:rsidTr="005C4746">
        <w:trPr>
          <w:trHeight w:val="4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43" w:type="dxa"/>
            <w:gridSpan w:val="8"/>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Los bienes propiedad de la Universidad se deprecian en linea recta con los porcentajes que marcan las leyes pertinentes en cada tipo de bien</w:t>
            </w:r>
          </w:p>
        </w:tc>
      </w:tr>
      <w:tr w:rsidR="005C4746" w:rsidRPr="005A36E9" w:rsidTr="005C4746">
        <w:trPr>
          <w:trHeight w:val="31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64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42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vAlign w:val="center"/>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300"/>
        </w:trPr>
        <w:tc>
          <w:tcPr>
            <w:tcW w:w="2091" w:type="dxa"/>
            <w:gridSpan w:val="2"/>
            <w:tcBorders>
              <w:top w:val="nil"/>
              <w:left w:val="nil"/>
              <w:bottom w:val="nil"/>
              <w:right w:val="nil"/>
            </w:tcBorders>
            <w:shd w:val="clear" w:color="000000" w:fill="FFFFFF"/>
            <w:noWrap/>
            <w:vAlign w:val="bottom"/>
            <w:hideMark/>
          </w:tcPr>
          <w:p w:rsidR="005A36E9" w:rsidRDefault="005A36E9" w:rsidP="005C4746">
            <w:pPr>
              <w:spacing w:after="0" w:line="240" w:lineRule="auto"/>
              <w:rPr>
                <w:rFonts w:eastAsia="Times New Roman" w:cs="Arial"/>
                <w:b/>
                <w:bCs/>
                <w:sz w:val="20"/>
                <w:szCs w:val="20"/>
                <w:lang w:eastAsia="es-MX"/>
              </w:rPr>
            </w:pPr>
          </w:p>
          <w:p w:rsidR="005A36E9" w:rsidRDefault="005A36E9" w:rsidP="005C4746">
            <w:pPr>
              <w:spacing w:after="0" w:line="240" w:lineRule="auto"/>
              <w:rPr>
                <w:rFonts w:eastAsia="Times New Roman" w:cs="Arial"/>
                <w:b/>
                <w:bCs/>
                <w:sz w:val="20"/>
                <w:szCs w:val="20"/>
                <w:lang w:eastAsia="es-MX"/>
              </w:rPr>
            </w:pPr>
          </w:p>
          <w:p w:rsidR="005A36E9" w:rsidRDefault="005A36E9" w:rsidP="005C4746">
            <w:pPr>
              <w:spacing w:after="0" w:line="240" w:lineRule="auto"/>
              <w:rPr>
                <w:rFonts w:eastAsia="Times New Roman" w:cs="Arial"/>
                <w:b/>
                <w:bCs/>
                <w:sz w:val="20"/>
                <w:szCs w:val="20"/>
                <w:lang w:eastAsia="es-MX"/>
              </w:rPr>
            </w:pPr>
          </w:p>
          <w:p w:rsidR="005A36E9" w:rsidRDefault="005A36E9" w:rsidP="005C4746">
            <w:pPr>
              <w:spacing w:after="0" w:line="240" w:lineRule="auto"/>
              <w:rPr>
                <w:rFonts w:eastAsia="Times New Roman" w:cs="Arial"/>
                <w:b/>
                <w:bCs/>
                <w:sz w:val="20"/>
                <w:szCs w:val="20"/>
                <w:lang w:eastAsia="es-MX"/>
              </w:rPr>
            </w:pPr>
          </w:p>
          <w:p w:rsidR="005A36E9" w:rsidRDefault="005A36E9" w:rsidP="005C4746">
            <w:pPr>
              <w:spacing w:after="0" w:line="240" w:lineRule="auto"/>
              <w:rPr>
                <w:rFonts w:eastAsia="Times New Roman" w:cs="Arial"/>
                <w:b/>
                <w:bCs/>
                <w:sz w:val="20"/>
                <w:szCs w:val="20"/>
                <w:lang w:eastAsia="es-MX"/>
              </w:rPr>
            </w:pPr>
          </w:p>
          <w:p w:rsidR="005A36E9" w:rsidRDefault="005A36E9" w:rsidP="005C4746">
            <w:pPr>
              <w:spacing w:after="0" w:line="240" w:lineRule="auto"/>
              <w:rPr>
                <w:rFonts w:eastAsia="Times New Roman" w:cs="Arial"/>
                <w:b/>
                <w:bCs/>
                <w:sz w:val="20"/>
                <w:szCs w:val="20"/>
                <w:lang w:eastAsia="es-MX"/>
              </w:rPr>
            </w:pPr>
          </w:p>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Pasivo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lastRenderedPageBreak/>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Proveedores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97,737.20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CFE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43,806.00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Metlife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48,131.20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Pech Ramírez Fátima Guadalupe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5,800.00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Canché Caamal Ard Peter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Tax Consultores Tributarios SCP</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Inteligencia Corportativa del Sureste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Asistencia Gerencial y Directiva S.C.</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Cuentas por pagar a corto plazo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1,275,747.22</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13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IETU</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-8,305.00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ISR Retenido por Salarios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838,906.82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IVA Por Pagar</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1,627.33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Cuotas ISSSTEY</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187,034.62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Seguros Metlife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15,932.72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4% S/nómina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159,222.92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IVA Trasladado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Prestamos ISSSTEY</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75,759.41</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Aportación voluntaria a los trabajadores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Colegio de estudios Iberoamerica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5,460.00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Pensión Alimenticia Ing</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b/>
                <w:bCs/>
                <w:color w:val="000000"/>
                <w:sz w:val="20"/>
                <w:szCs w:val="20"/>
                <w:lang w:eastAsia="es-MX"/>
              </w:rPr>
            </w:pPr>
            <w:r w:rsidRPr="005A36E9">
              <w:rPr>
                <w:rFonts w:eastAsia="Times New Roman" w:cs="Times New Roman"/>
                <w:b/>
                <w:bCs/>
                <w:color w:val="000000"/>
                <w:sz w:val="20"/>
                <w:szCs w:val="20"/>
                <w:lang w:eastAsia="es-MX"/>
              </w:rPr>
              <w:t>108.40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Otros Pasivos  a Corto Plazo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1,375,824.42</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CAU</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118.33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PYME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1,850.49</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CGUT</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Fondo de Contingencia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1,373,855.60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3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5821" w:type="dxa"/>
            <w:gridSpan w:val="6"/>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2) NOTAS AL ESTADO DE VARIACIONES DE PATRIMONIO</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2091"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Patrimonio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1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Patrimonio Contribuido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103,019,691.62</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Aportación Federal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83,750,466.33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Aportación Estatal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19,218,859.78</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Aportación Propia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50,365.51</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9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Patrimonio Donado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29,366.12</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Secretaria de Educación Publica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7,255.00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H. Ayuntamiento de Tekax</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22,111.12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Revaluación del Patrimonio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1,439,773.16</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Activos Actualizados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1,531,391.16</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Depreciación de Activos Actualizados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-91,618.00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p w:rsidR="005A36E9" w:rsidRDefault="005A36E9" w:rsidP="005C4746">
            <w:pPr>
              <w:spacing w:after="0" w:line="240" w:lineRule="auto"/>
              <w:rPr>
                <w:rFonts w:eastAsia="Times New Roman" w:cs="Arial"/>
                <w:sz w:val="20"/>
                <w:szCs w:val="20"/>
                <w:lang w:eastAsia="es-MX"/>
              </w:rPr>
            </w:pPr>
          </w:p>
          <w:p w:rsidR="005A36E9" w:rsidRDefault="005A36E9" w:rsidP="005C4746">
            <w:pPr>
              <w:spacing w:after="0" w:line="240" w:lineRule="auto"/>
              <w:rPr>
                <w:rFonts w:eastAsia="Times New Roman" w:cs="Arial"/>
                <w:sz w:val="20"/>
                <w:szCs w:val="20"/>
                <w:lang w:eastAsia="es-MX"/>
              </w:rPr>
            </w:pPr>
          </w:p>
          <w:p w:rsidR="005A36E9" w:rsidRPr="005A36E9" w:rsidRDefault="005A36E9" w:rsidP="005C4746">
            <w:pPr>
              <w:spacing w:after="0" w:line="240" w:lineRule="auto"/>
              <w:rPr>
                <w:rFonts w:eastAsia="Times New Roman" w:cs="Arial"/>
                <w:sz w:val="20"/>
                <w:szCs w:val="20"/>
                <w:lang w:eastAsia="es-MX"/>
              </w:rPr>
            </w:pP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4151"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3) NOTAS AL ESTADO DE ACTIVIDADES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1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Ingresos de Gestión</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32,668,258.05</w:t>
            </w:r>
          </w:p>
        </w:tc>
      </w:tr>
      <w:tr w:rsidR="005C4746" w:rsidRPr="005A36E9" w:rsidTr="005C4746">
        <w:trPr>
          <w:trHeight w:val="1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5683" w:type="dxa"/>
            <w:gridSpan w:val="5"/>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xml:space="preserve">Ingresos por venta de Bienes, Servicios Producidos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1,382,655.51</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Impresiones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32,209.77</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Fotocopias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43,918.76</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Artículos varios de papelería</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1,375.43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Inscripciones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157,227.50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Reinscripciones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478,950.00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Certificados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91,447.00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5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Expedición de Títulos Profesionales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85,940.00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Expedición de Constancias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25,635.00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2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Examen de Admision (EXANI)</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153,760.00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4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Venta de Playeras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6,206.88</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8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Examen Remedial y Especial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56,530.00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Ingenierías Profesionales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42,570.00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Servicio Transporte</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7,480.00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xml:space="preserve">Gto. </w:t>
            </w:r>
            <w:proofErr w:type="gramStart"/>
            <w:r w:rsidRPr="005A36E9">
              <w:rPr>
                <w:rFonts w:eastAsia="Times New Roman" w:cs="Arial"/>
                <w:sz w:val="20"/>
                <w:szCs w:val="20"/>
                <w:lang w:eastAsia="es-MX"/>
              </w:rPr>
              <w:t>de</w:t>
            </w:r>
            <w:proofErr w:type="gramEnd"/>
            <w:r w:rsidRPr="005A36E9">
              <w:rPr>
                <w:rFonts w:eastAsia="Times New Roman" w:cs="Arial"/>
                <w:sz w:val="20"/>
                <w:szCs w:val="20"/>
                <w:lang w:eastAsia="es-MX"/>
              </w:rPr>
              <w:t xml:space="preserve"> gestión trámite reg. Título y Cédula</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9,900.00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Cuota de mantenimiento para campo deportivo</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200.00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Inscripción al 3er. Congreso de Turismo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188,350.00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Venta de refrescos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955.17</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24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xml:space="preserve">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Subsidios y Subvenciones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29,347,003.40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Subsidio Federal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16,469,110.00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Subsidio Estatal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12,877,893.40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5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lastRenderedPageBreak/>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Otros Ingresos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13,458.60</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Intereses Ganados cuenta Federal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5,212.09</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Intereses Ganados cuenta Estatal</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2,181.99</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5043" w:type="dxa"/>
            <w:gridSpan w:val="4"/>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Intereses Ganados cuenta Ingresos Propios</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985.69</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Intereses Ganados FOMIX</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5,004.96</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18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64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42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70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c>
          <w:tcPr>
            <w:tcW w:w="1540" w:type="dxa"/>
            <w:tcBorders>
              <w:top w:val="nil"/>
              <w:left w:val="nil"/>
              <w:bottom w:val="nil"/>
              <w:right w:val="nil"/>
            </w:tcBorders>
            <w:shd w:val="clear" w:color="000000" w:fill="FFFFFF"/>
            <w:vAlign w:val="bottom"/>
            <w:hideMark/>
          </w:tcPr>
          <w:p w:rsidR="005C4746" w:rsidRPr="005A36E9" w:rsidRDefault="005C4746" w:rsidP="005C4746">
            <w:pPr>
              <w:spacing w:after="0" w:line="240" w:lineRule="auto"/>
              <w:jc w:val="both"/>
              <w:rPr>
                <w:rFonts w:eastAsia="Times New Roman" w:cs="Arial"/>
                <w:sz w:val="20"/>
                <w:szCs w:val="20"/>
                <w:lang w:eastAsia="es-MX"/>
              </w:rPr>
            </w:pPr>
            <w:r w:rsidRPr="005A36E9">
              <w:rPr>
                <w:rFonts w:eastAsia="Times New Roman" w:cs="Arial"/>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Otros Ingresos y Beneficios Varios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1,925,140.54</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Recuperaciones Varias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1,925,140.54</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sz w:val="20"/>
                <w:szCs w:val="20"/>
                <w:lang w:eastAsia="es-MX"/>
              </w:rPr>
            </w:pPr>
            <w:r w:rsidRPr="005A36E9">
              <w:rPr>
                <w:rFonts w:eastAsia="Times New Roman" w:cs="Arial"/>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3121"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Gastos y Otras Perdidas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165"/>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953"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4013" w:type="dxa"/>
            <w:gridSpan w:val="3"/>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Gastos de Funcionamiento</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Arial"/>
                <w:b/>
                <w:bCs/>
                <w:sz w:val="20"/>
                <w:szCs w:val="20"/>
                <w:lang w:eastAsia="es-MX"/>
              </w:rPr>
            </w:pPr>
            <w:r w:rsidRPr="005A36E9">
              <w:rPr>
                <w:rFonts w:eastAsia="Times New Roman" w:cs="Arial"/>
                <w:b/>
                <w:bCs/>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31,729,796.75</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Servicios Personales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22,267,975.20</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Materiales y Suministros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1,699,676.82</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5C4746" w:rsidRPr="005A36E9" w:rsidTr="005C4746">
        <w:trPr>
          <w:trHeight w:val="300"/>
        </w:trPr>
        <w:tc>
          <w:tcPr>
            <w:tcW w:w="138"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2983" w:type="dxa"/>
            <w:gridSpan w:val="2"/>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Servicios Generales</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03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6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420" w:type="dxa"/>
            <w:tcBorders>
              <w:top w:val="nil"/>
              <w:left w:val="nil"/>
              <w:bottom w:val="single" w:sz="4" w:space="0" w:color="auto"/>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7,762,144.73</w:t>
            </w:r>
          </w:p>
        </w:tc>
        <w:tc>
          <w:tcPr>
            <w:tcW w:w="170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c>
          <w:tcPr>
            <w:tcW w:w="1540" w:type="dxa"/>
            <w:tcBorders>
              <w:top w:val="nil"/>
              <w:left w:val="nil"/>
              <w:bottom w:val="nil"/>
              <w:right w:val="nil"/>
            </w:tcBorders>
            <w:shd w:val="clear" w:color="000000" w:fill="FFFFFF"/>
            <w:noWrap/>
            <w:vAlign w:val="bottom"/>
            <w:hideMark/>
          </w:tcPr>
          <w:p w:rsidR="005C4746" w:rsidRPr="005A36E9" w:rsidRDefault="005C4746" w:rsidP="005C4746">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bl>
    <w:p w:rsidR="009B615E" w:rsidRPr="005A36E9" w:rsidRDefault="009B615E" w:rsidP="00AF2C59">
      <w:pPr>
        <w:tabs>
          <w:tab w:val="left" w:pos="0"/>
        </w:tabs>
        <w:spacing w:after="0" w:line="240" w:lineRule="auto"/>
        <w:rPr>
          <w:rFonts w:cs="Arial"/>
          <w:b/>
          <w:sz w:val="20"/>
          <w:szCs w:val="20"/>
        </w:rPr>
      </w:pPr>
    </w:p>
    <w:p w:rsidR="009B615E" w:rsidRDefault="009B615E"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Default="005A36E9" w:rsidP="009B615E">
      <w:pPr>
        <w:spacing w:after="0" w:line="240" w:lineRule="auto"/>
        <w:ind w:firstLine="708"/>
        <w:rPr>
          <w:rFonts w:cs="Arial"/>
          <w:b/>
          <w:sz w:val="20"/>
          <w:szCs w:val="20"/>
        </w:rPr>
      </w:pPr>
    </w:p>
    <w:p w:rsidR="005A36E9" w:rsidRPr="005A36E9" w:rsidRDefault="005A36E9" w:rsidP="009B615E">
      <w:pPr>
        <w:spacing w:after="0" w:line="240" w:lineRule="auto"/>
        <w:ind w:firstLine="708"/>
        <w:rPr>
          <w:rFonts w:cs="Arial"/>
          <w:b/>
          <w:sz w:val="20"/>
          <w:szCs w:val="20"/>
        </w:rPr>
      </w:pPr>
    </w:p>
    <w:p w:rsidR="0095697D" w:rsidRPr="005A36E9" w:rsidRDefault="0095697D" w:rsidP="00091A2A">
      <w:pPr>
        <w:spacing w:after="0" w:line="240" w:lineRule="auto"/>
        <w:rPr>
          <w:rFonts w:cs="Arial"/>
          <w:b/>
          <w:sz w:val="20"/>
          <w:szCs w:val="20"/>
        </w:rPr>
      </w:pPr>
      <w:r w:rsidRPr="005A36E9">
        <w:rPr>
          <w:rFonts w:cs="Arial"/>
          <w:b/>
          <w:sz w:val="20"/>
          <w:szCs w:val="20"/>
        </w:rPr>
        <w:lastRenderedPageBreak/>
        <w:t>NOTAS DE MEMORIA</w:t>
      </w:r>
    </w:p>
    <w:tbl>
      <w:tblPr>
        <w:tblW w:w="17180" w:type="dxa"/>
        <w:tblCellMar>
          <w:left w:w="70" w:type="dxa"/>
          <w:right w:w="70" w:type="dxa"/>
        </w:tblCellMar>
        <w:tblLook w:val="04A0" w:firstRow="1" w:lastRow="0" w:firstColumn="1" w:lastColumn="0" w:noHBand="0" w:noVBand="1"/>
      </w:tblPr>
      <w:tblGrid>
        <w:gridCol w:w="4930"/>
        <w:gridCol w:w="4930"/>
        <w:gridCol w:w="1200"/>
        <w:gridCol w:w="1200"/>
        <w:gridCol w:w="1200"/>
        <w:gridCol w:w="620"/>
        <w:gridCol w:w="540"/>
        <w:gridCol w:w="660"/>
        <w:gridCol w:w="1900"/>
      </w:tblGrid>
      <w:tr w:rsidR="0095697D" w:rsidRPr="005A36E9" w:rsidTr="00AD693E">
        <w:trPr>
          <w:trHeight w:val="300"/>
        </w:trPr>
        <w:tc>
          <w:tcPr>
            <w:tcW w:w="493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Arial"/>
                <w:b/>
                <w:bCs/>
                <w:i/>
                <w:iCs/>
                <w:sz w:val="20"/>
                <w:szCs w:val="20"/>
                <w:u w:val="single"/>
                <w:lang w:eastAsia="es-MX"/>
              </w:rPr>
            </w:pPr>
          </w:p>
        </w:tc>
        <w:tc>
          <w:tcPr>
            <w:tcW w:w="493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Arial"/>
                <w:b/>
                <w:bCs/>
                <w:i/>
                <w:iCs/>
                <w:sz w:val="20"/>
                <w:szCs w:val="20"/>
                <w:u w:val="single"/>
                <w:lang w:eastAsia="es-MX"/>
              </w:rPr>
            </w:pPr>
          </w:p>
        </w:tc>
        <w:tc>
          <w:tcPr>
            <w:tcW w:w="120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tcPr>
          <w:p w:rsidR="0095697D" w:rsidRPr="005A36E9" w:rsidRDefault="0095697D" w:rsidP="0095697D">
            <w:pPr>
              <w:spacing w:after="0" w:line="240" w:lineRule="auto"/>
              <w:rPr>
                <w:rFonts w:eastAsia="Times New Roman" w:cs="Times New Roman"/>
                <w:sz w:val="20"/>
                <w:szCs w:val="20"/>
                <w:lang w:eastAsia="es-MX"/>
              </w:rPr>
            </w:pPr>
          </w:p>
        </w:tc>
      </w:tr>
      <w:tr w:rsidR="007964FA" w:rsidRPr="005A36E9" w:rsidTr="00AD693E">
        <w:trPr>
          <w:trHeight w:val="255"/>
        </w:trPr>
        <w:tc>
          <w:tcPr>
            <w:tcW w:w="9860" w:type="dxa"/>
            <w:gridSpan w:val="2"/>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i/>
                <w:iCs/>
                <w:sz w:val="20"/>
                <w:szCs w:val="20"/>
                <w:u w:val="single"/>
                <w:lang w:eastAsia="es-MX"/>
              </w:rPr>
            </w:pPr>
            <w:r w:rsidRPr="005A36E9">
              <w:rPr>
                <w:rFonts w:eastAsia="Times New Roman" w:cs="Arial"/>
                <w:b/>
                <w:bCs/>
                <w:i/>
                <w:iCs/>
                <w:sz w:val="20"/>
                <w:szCs w:val="20"/>
                <w:u w:val="single"/>
                <w:lang w:eastAsia="es-MX"/>
              </w:rPr>
              <w:t>Presupuestarias</w:t>
            </w:r>
          </w:p>
        </w:tc>
        <w:tc>
          <w:tcPr>
            <w:tcW w:w="120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Arial"/>
                <w:b/>
                <w:bCs/>
                <w:i/>
                <w:iCs/>
                <w:sz w:val="20"/>
                <w:szCs w:val="20"/>
                <w:u w:val="single"/>
                <w:lang w:eastAsia="es-MX"/>
              </w:rPr>
            </w:pPr>
          </w:p>
        </w:tc>
        <w:tc>
          <w:tcPr>
            <w:tcW w:w="120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hideMark/>
          </w:tcPr>
          <w:p w:rsidR="007964FA" w:rsidRPr="005A36E9" w:rsidRDefault="007964FA" w:rsidP="007964FA">
            <w:pPr>
              <w:spacing w:after="0" w:line="240" w:lineRule="auto"/>
              <w:rPr>
                <w:rFonts w:eastAsia="Times New Roman" w:cs="Times New Roman"/>
                <w:sz w:val="20"/>
                <w:szCs w:val="20"/>
                <w:lang w:eastAsia="es-MX"/>
              </w:rPr>
            </w:pPr>
          </w:p>
        </w:tc>
      </w:tr>
      <w:tr w:rsidR="000218C1" w:rsidRPr="005A36E9" w:rsidTr="00AD693E">
        <w:trPr>
          <w:trHeight w:val="255"/>
        </w:trPr>
        <w:tc>
          <w:tcPr>
            <w:tcW w:w="9860" w:type="dxa"/>
            <w:gridSpan w:val="2"/>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u w:val="single"/>
                <w:lang w:eastAsia="es-MX"/>
              </w:rPr>
            </w:pPr>
          </w:p>
          <w:tbl>
            <w:tblPr>
              <w:tblW w:w="9720" w:type="dxa"/>
              <w:tblCellMar>
                <w:left w:w="70" w:type="dxa"/>
                <w:right w:w="70" w:type="dxa"/>
              </w:tblCellMar>
              <w:tblLook w:val="04A0" w:firstRow="1" w:lastRow="0" w:firstColumn="1" w:lastColumn="0" w:noHBand="0" w:noVBand="1"/>
            </w:tblPr>
            <w:tblGrid>
              <w:gridCol w:w="1200"/>
              <w:gridCol w:w="1200"/>
              <w:gridCol w:w="1200"/>
              <w:gridCol w:w="1200"/>
              <w:gridCol w:w="1200"/>
              <w:gridCol w:w="620"/>
              <w:gridCol w:w="540"/>
              <w:gridCol w:w="660"/>
              <w:gridCol w:w="1900"/>
            </w:tblGrid>
            <w:tr w:rsidR="00AD693E" w:rsidRPr="005A36E9" w:rsidTr="00AD693E">
              <w:trPr>
                <w:trHeight w:val="255"/>
              </w:trPr>
              <w:tc>
                <w:tcPr>
                  <w:tcW w:w="2400" w:type="dxa"/>
                  <w:gridSpan w:val="2"/>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u w:val="single"/>
                      <w:lang w:eastAsia="es-MX"/>
                    </w:rPr>
                  </w:pPr>
                  <w:r w:rsidRPr="005A36E9">
                    <w:rPr>
                      <w:rFonts w:eastAsia="Times New Roman" w:cs="Arial"/>
                      <w:sz w:val="20"/>
                      <w:szCs w:val="20"/>
                      <w:u w:val="single"/>
                      <w:lang w:eastAsia="es-MX"/>
                    </w:rPr>
                    <w:t>Cuentas de Ingresos:</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u w:val="single"/>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r>
            <w:tr w:rsidR="00AD693E" w:rsidRPr="005A36E9" w:rsidTr="00AD693E">
              <w:trPr>
                <w:trHeight w:val="405"/>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sz w:val="20"/>
                      <w:szCs w:val="20"/>
                      <w:lang w:eastAsia="es-MX"/>
                    </w:rPr>
                  </w:pPr>
                </w:p>
              </w:tc>
              <w:tc>
                <w:tcPr>
                  <w:tcW w:w="2400" w:type="dxa"/>
                  <w:gridSpan w:val="2"/>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Ley de Ingresos</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C61C9F" w:rsidRPr="005A36E9" w:rsidRDefault="00C61C9F" w:rsidP="00C61C9F">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Ley de Ingresos por Ejecutar</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5701DD"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34,325,006.90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Ley de Ingresos Devengada</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C61C9F" w:rsidRPr="005A36E9" w:rsidRDefault="005701DD" w:rsidP="00C61C9F">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-160,080.0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Ley de Ingresos Recaudada</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F016FA"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w:t>
                  </w:r>
                  <w:r w:rsidR="00AD693E" w:rsidRPr="005A36E9">
                    <w:rPr>
                      <w:rFonts w:eastAsia="Times New Roman" w:cs="Times New Roman"/>
                      <w:color w:val="000000"/>
                      <w:sz w:val="20"/>
                      <w:szCs w:val="20"/>
                      <w:lang w:eastAsia="es-MX"/>
                    </w:rPr>
                    <w:t>.00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AD693E" w:rsidRPr="005A36E9" w:rsidTr="00AD693E">
              <w:trPr>
                <w:trHeight w:val="300"/>
              </w:trPr>
              <w:tc>
                <w:tcPr>
                  <w:tcW w:w="2400" w:type="dxa"/>
                  <w:gridSpan w:val="2"/>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u w:val="single"/>
                      <w:lang w:eastAsia="es-MX"/>
                    </w:rPr>
                  </w:pPr>
                  <w:r w:rsidRPr="005A36E9">
                    <w:rPr>
                      <w:rFonts w:eastAsia="Times New Roman" w:cs="Arial"/>
                      <w:sz w:val="20"/>
                      <w:szCs w:val="20"/>
                      <w:u w:val="single"/>
                      <w:lang w:eastAsia="es-MX"/>
                    </w:rPr>
                    <w:t>Cuentas de Egresos:</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u w:val="single"/>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 </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 de Egresos Aprobado</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Arial"/>
                      <w:b/>
                      <w:bCs/>
                      <w:sz w:val="20"/>
                      <w:szCs w:val="20"/>
                      <w:lang w:eastAsia="es-MX"/>
                    </w:rPr>
                  </w:pPr>
                  <w:r w:rsidRPr="005A36E9">
                    <w:rPr>
                      <w:rFonts w:eastAsia="Times New Roman" w:cs="Arial"/>
                      <w:b/>
                      <w:bCs/>
                      <w:sz w:val="20"/>
                      <w:szCs w:val="20"/>
                      <w:lang w:eastAsia="es-MX"/>
                    </w:rPr>
                    <w:t>44,347,966.00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Arial"/>
                      <w:b/>
                      <w:bCs/>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 de Egresos por Ejercer</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5701DD"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12,625,032.27</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 de Egresos Comprometido</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5701DD"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296,085.76</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 de Egresos Devengado</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0.00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 de Egresos Ejercido</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5701DD" w:rsidP="00AD693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4,894,872.90</w:t>
                  </w:r>
                </w:p>
              </w:tc>
            </w:tr>
            <w:tr w:rsidR="00AD693E" w:rsidRPr="005A36E9" w:rsidTr="00AD693E">
              <w:trPr>
                <w:trHeight w:val="300"/>
              </w:trPr>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jc w:val="right"/>
                    <w:rPr>
                      <w:rFonts w:eastAsia="Times New Roman" w:cs="Times New Roman"/>
                      <w:color w:val="000000"/>
                      <w:sz w:val="20"/>
                      <w:szCs w:val="20"/>
                      <w:lang w:eastAsia="es-MX"/>
                    </w:rPr>
                  </w:pPr>
                </w:p>
              </w:tc>
              <w:tc>
                <w:tcPr>
                  <w:tcW w:w="3600" w:type="dxa"/>
                  <w:gridSpan w:val="3"/>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r w:rsidRPr="005A36E9">
                    <w:rPr>
                      <w:rFonts w:eastAsia="Times New Roman" w:cs="Arial"/>
                      <w:sz w:val="20"/>
                      <w:szCs w:val="20"/>
                      <w:lang w:eastAsia="es-MX"/>
                    </w:rPr>
                    <w:t>Presupuestos de Egresos Pagado</w:t>
                  </w:r>
                </w:p>
              </w:tc>
              <w:tc>
                <w:tcPr>
                  <w:tcW w:w="120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hideMark/>
                </w:tcPr>
                <w:p w:rsidR="00AD693E" w:rsidRPr="005A36E9" w:rsidRDefault="00AD693E" w:rsidP="00AD693E">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hideMark/>
                </w:tcPr>
                <w:p w:rsidR="00AD693E" w:rsidRPr="005A36E9" w:rsidRDefault="005701DD" w:rsidP="004635BE">
                  <w:pPr>
                    <w:spacing w:after="0" w:line="240" w:lineRule="auto"/>
                    <w:jc w:val="right"/>
                    <w:rPr>
                      <w:rFonts w:eastAsia="Times New Roman" w:cs="Times New Roman"/>
                      <w:color w:val="000000"/>
                      <w:sz w:val="20"/>
                      <w:szCs w:val="20"/>
                      <w:lang w:eastAsia="es-MX"/>
                    </w:rPr>
                  </w:pPr>
                  <w:r w:rsidRPr="005A36E9">
                    <w:rPr>
                      <w:rFonts w:eastAsia="Times New Roman" w:cs="Times New Roman"/>
                      <w:color w:val="000000"/>
                      <w:sz w:val="20"/>
                      <w:szCs w:val="20"/>
                      <w:lang w:eastAsia="es-MX"/>
                    </w:rPr>
                    <w:t>26,531,975.06</w:t>
                  </w:r>
                </w:p>
              </w:tc>
            </w:tr>
          </w:tbl>
          <w:p w:rsidR="00AD693E" w:rsidRPr="005A36E9" w:rsidRDefault="00AD693E" w:rsidP="000218C1">
            <w:pPr>
              <w:spacing w:after="0" w:line="240" w:lineRule="auto"/>
              <w:rPr>
                <w:rFonts w:eastAsia="Times New Roman" w:cs="Arial"/>
                <w:sz w:val="20"/>
                <w:szCs w:val="20"/>
                <w:u w:val="single"/>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u w:val="single"/>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r>
      <w:tr w:rsidR="000218C1" w:rsidRPr="005A36E9" w:rsidTr="00AD693E">
        <w:trPr>
          <w:trHeight w:val="300"/>
        </w:trPr>
        <w:tc>
          <w:tcPr>
            <w:tcW w:w="4930" w:type="dxa"/>
            <w:tcBorders>
              <w:top w:val="nil"/>
              <w:left w:val="nil"/>
              <w:bottom w:val="nil"/>
              <w:right w:val="nil"/>
            </w:tcBorders>
            <w:shd w:val="clear" w:color="auto" w:fill="auto"/>
            <w:noWrap/>
            <w:vAlign w:val="bottom"/>
          </w:tcPr>
          <w:p w:rsidR="000218C1" w:rsidRPr="005A36E9" w:rsidRDefault="000218C1" w:rsidP="000218C1">
            <w:pPr>
              <w:spacing w:after="0" w:line="240" w:lineRule="auto"/>
              <w:jc w:val="right"/>
              <w:rPr>
                <w:rFonts w:eastAsia="Times New Roman" w:cs="Times New Roman"/>
                <w:sz w:val="20"/>
                <w:szCs w:val="20"/>
                <w:lang w:eastAsia="es-MX"/>
              </w:rPr>
            </w:pPr>
          </w:p>
        </w:tc>
        <w:tc>
          <w:tcPr>
            <w:tcW w:w="493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r>
      <w:tr w:rsidR="000218C1" w:rsidRPr="005A36E9" w:rsidTr="00AD693E">
        <w:trPr>
          <w:trHeight w:val="405"/>
        </w:trPr>
        <w:tc>
          <w:tcPr>
            <w:tcW w:w="4930" w:type="dxa"/>
            <w:tcBorders>
              <w:top w:val="nil"/>
              <w:left w:val="nil"/>
              <w:bottom w:val="nil"/>
              <w:right w:val="nil"/>
            </w:tcBorders>
            <w:shd w:val="clear" w:color="auto" w:fill="auto"/>
            <w:noWrap/>
            <w:vAlign w:val="bottom"/>
          </w:tcPr>
          <w:p w:rsidR="000218C1" w:rsidRPr="005A36E9" w:rsidRDefault="000218C1" w:rsidP="000218C1">
            <w:pPr>
              <w:spacing w:after="0" w:line="240" w:lineRule="auto"/>
              <w:jc w:val="right"/>
              <w:rPr>
                <w:rFonts w:eastAsia="Times New Roman" w:cs="Times New Roman"/>
                <w:sz w:val="20"/>
                <w:szCs w:val="20"/>
                <w:lang w:eastAsia="es-MX"/>
              </w:rPr>
            </w:pPr>
          </w:p>
        </w:tc>
        <w:tc>
          <w:tcPr>
            <w:tcW w:w="6130" w:type="dxa"/>
            <w:gridSpan w:val="2"/>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2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tcPr>
          <w:p w:rsidR="000218C1" w:rsidRPr="005A36E9" w:rsidRDefault="000218C1" w:rsidP="000218C1">
            <w:pPr>
              <w:spacing w:after="0" w:line="240" w:lineRule="auto"/>
              <w:jc w:val="right"/>
              <w:rPr>
                <w:rFonts w:eastAsia="Times New Roman" w:cs="Times New Roman"/>
                <w:color w:val="000000"/>
                <w:sz w:val="20"/>
                <w:szCs w:val="20"/>
                <w:lang w:eastAsia="es-MX"/>
              </w:rPr>
            </w:pPr>
          </w:p>
        </w:tc>
      </w:tr>
      <w:tr w:rsidR="000218C1" w:rsidRPr="005A36E9" w:rsidTr="00AD693E">
        <w:trPr>
          <w:trHeight w:val="300"/>
        </w:trPr>
        <w:tc>
          <w:tcPr>
            <w:tcW w:w="4930" w:type="dxa"/>
            <w:tcBorders>
              <w:top w:val="nil"/>
              <w:left w:val="nil"/>
              <w:bottom w:val="nil"/>
              <w:right w:val="nil"/>
            </w:tcBorders>
            <w:shd w:val="clear" w:color="auto" w:fill="auto"/>
            <w:noWrap/>
            <w:vAlign w:val="bottom"/>
          </w:tcPr>
          <w:p w:rsidR="000218C1" w:rsidRPr="005A36E9" w:rsidRDefault="000218C1" w:rsidP="000218C1">
            <w:pPr>
              <w:spacing w:after="0" w:line="240" w:lineRule="auto"/>
              <w:jc w:val="right"/>
              <w:rPr>
                <w:rFonts w:eastAsia="Times New Roman" w:cs="Times New Roman"/>
                <w:color w:val="000000"/>
                <w:sz w:val="20"/>
                <w:szCs w:val="20"/>
                <w:lang w:eastAsia="es-MX"/>
              </w:rPr>
            </w:pPr>
          </w:p>
        </w:tc>
        <w:tc>
          <w:tcPr>
            <w:tcW w:w="7330" w:type="dxa"/>
            <w:gridSpan w:val="3"/>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54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660" w:type="dxa"/>
            <w:tcBorders>
              <w:top w:val="nil"/>
              <w:left w:val="nil"/>
              <w:bottom w:val="nil"/>
              <w:right w:val="nil"/>
            </w:tcBorders>
            <w:shd w:val="clear" w:color="auto" w:fill="auto"/>
            <w:noWrap/>
            <w:vAlign w:val="bottom"/>
          </w:tcPr>
          <w:p w:rsidR="000218C1" w:rsidRPr="005A36E9" w:rsidRDefault="000218C1" w:rsidP="000218C1">
            <w:pPr>
              <w:spacing w:after="0" w:line="240" w:lineRule="auto"/>
              <w:rPr>
                <w:rFonts w:eastAsia="Times New Roman" w:cs="Times New Roman"/>
                <w:sz w:val="20"/>
                <w:szCs w:val="20"/>
                <w:lang w:eastAsia="es-MX"/>
              </w:rPr>
            </w:pPr>
          </w:p>
        </w:tc>
        <w:tc>
          <w:tcPr>
            <w:tcW w:w="1900" w:type="dxa"/>
            <w:tcBorders>
              <w:top w:val="nil"/>
              <w:left w:val="nil"/>
              <w:bottom w:val="nil"/>
              <w:right w:val="nil"/>
            </w:tcBorders>
            <w:shd w:val="clear" w:color="000000" w:fill="FFFFFF"/>
            <w:noWrap/>
            <w:vAlign w:val="bottom"/>
          </w:tcPr>
          <w:p w:rsidR="000218C1" w:rsidRPr="005A36E9" w:rsidRDefault="000218C1" w:rsidP="000218C1">
            <w:pPr>
              <w:spacing w:after="0" w:line="240" w:lineRule="auto"/>
              <w:jc w:val="right"/>
              <w:rPr>
                <w:rFonts w:eastAsia="Times New Roman" w:cs="Times New Roman"/>
                <w:color w:val="000000"/>
                <w:sz w:val="20"/>
                <w:szCs w:val="20"/>
                <w:lang w:eastAsia="es-MX"/>
              </w:rPr>
            </w:pPr>
          </w:p>
        </w:tc>
      </w:tr>
    </w:tbl>
    <w:p w:rsidR="00AD693E" w:rsidRPr="005A36E9" w:rsidRDefault="00AD693E" w:rsidP="002634F5">
      <w:pPr>
        <w:jc w:val="both"/>
        <w:rPr>
          <w:sz w:val="20"/>
          <w:szCs w:val="20"/>
        </w:rPr>
      </w:pPr>
    </w:p>
    <w:p w:rsidR="00CB65FC" w:rsidRPr="005A36E9" w:rsidRDefault="0070701B" w:rsidP="0070701B">
      <w:pPr>
        <w:jc w:val="both"/>
        <w:rPr>
          <w:sz w:val="20"/>
          <w:szCs w:val="20"/>
        </w:rPr>
      </w:pPr>
      <w:r w:rsidRPr="0070701B">
        <w:rPr>
          <w:sz w:val="20"/>
          <w:szCs w:val="20"/>
        </w:rPr>
        <w:t>Bajo protesta de decir verdad declaramos que los Estados Financieros y sus Notas son razonablemente correctos y responsabilidad del emisor.</w:t>
      </w:r>
      <w:bookmarkStart w:id="0" w:name="_GoBack"/>
      <w:bookmarkEnd w:id="0"/>
    </w:p>
    <w:sectPr w:rsidR="00CB65FC" w:rsidRPr="005A36E9" w:rsidSect="005A36E9">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FF"/>
    <w:rsid w:val="000218C1"/>
    <w:rsid w:val="000318F3"/>
    <w:rsid w:val="00046717"/>
    <w:rsid w:val="00091A2A"/>
    <w:rsid w:val="000B6805"/>
    <w:rsid w:val="0010695F"/>
    <w:rsid w:val="001B3D7B"/>
    <w:rsid w:val="001C114C"/>
    <w:rsid w:val="001F3F7A"/>
    <w:rsid w:val="00262AE2"/>
    <w:rsid w:val="002634F5"/>
    <w:rsid w:val="002E3286"/>
    <w:rsid w:val="002E6904"/>
    <w:rsid w:val="00366FCF"/>
    <w:rsid w:val="00367176"/>
    <w:rsid w:val="003A450E"/>
    <w:rsid w:val="00427F7E"/>
    <w:rsid w:val="004635BE"/>
    <w:rsid w:val="00472615"/>
    <w:rsid w:val="00512CA7"/>
    <w:rsid w:val="005322E4"/>
    <w:rsid w:val="005701DD"/>
    <w:rsid w:val="005A36E9"/>
    <w:rsid w:val="005A6930"/>
    <w:rsid w:val="005C4746"/>
    <w:rsid w:val="0060109C"/>
    <w:rsid w:val="006552AE"/>
    <w:rsid w:val="0070701B"/>
    <w:rsid w:val="007076AD"/>
    <w:rsid w:val="00746AF6"/>
    <w:rsid w:val="007722F2"/>
    <w:rsid w:val="007964FA"/>
    <w:rsid w:val="007F2562"/>
    <w:rsid w:val="008B3F5B"/>
    <w:rsid w:val="008E4CC4"/>
    <w:rsid w:val="008F19EA"/>
    <w:rsid w:val="0095697D"/>
    <w:rsid w:val="00995EFF"/>
    <w:rsid w:val="009B0070"/>
    <w:rsid w:val="009B615E"/>
    <w:rsid w:val="009D7865"/>
    <w:rsid w:val="00A10C45"/>
    <w:rsid w:val="00A570C8"/>
    <w:rsid w:val="00AB3D4E"/>
    <w:rsid w:val="00AB5D35"/>
    <w:rsid w:val="00AD693E"/>
    <w:rsid w:val="00AF2C59"/>
    <w:rsid w:val="00AF77F9"/>
    <w:rsid w:val="00B37140"/>
    <w:rsid w:val="00BB65FE"/>
    <w:rsid w:val="00C61324"/>
    <w:rsid w:val="00C61C9F"/>
    <w:rsid w:val="00C65A59"/>
    <w:rsid w:val="00CB65FC"/>
    <w:rsid w:val="00CD0476"/>
    <w:rsid w:val="00D029FD"/>
    <w:rsid w:val="00D7798F"/>
    <w:rsid w:val="00DA53B3"/>
    <w:rsid w:val="00DB5769"/>
    <w:rsid w:val="00DC7802"/>
    <w:rsid w:val="00DF120B"/>
    <w:rsid w:val="00E15EEE"/>
    <w:rsid w:val="00E236E5"/>
    <w:rsid w:val="00E24B0B"/>
    <w:rsid w:val="00F016FA"/>
    <w:rsid w:val="00F60453"/>
    <w:rsid w:val="00FD0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0070"/>
    <w:rPr>
      <w:color w:val="0000FF"/>
      <w:u w:val="single"/>
    </w:rPr>
  </w:style>
  <w:style w:type="character" w:styleId="Hipervnculovisitado">
    <w:name w:val="FollowedHyperlink"/>
    <w:basedOn w:val="Fuentedeprrafopredeter"/>
    <w:uiPriority w:val="99"/>
    <w:semiHidden/>
    <w:unhideWhenUsed/>
    <w:rsid w:val="009B0070"/>
    <w:rPr>
      <w:color w:val="800080"/>
      <w:u w:val="single"/>
    </w:rPr>
  </w:style>
  <w:style w:type="paragraph" w:customStyle="1" w:styleId="xl70">
    <w:name w:val="xl70"/>
    <w:basedOn w:val="Normal"/>
    <w:rsid w:val="009B00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2">
    <w:name w:val="xl72"/>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3">
    <w:name w:val="xl73"/>
    <w:basedOn w:val="Normal"/>
    <w:rsid w:val="009B0070"/>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74">
    <w:name w:val="xl74"/>
    <w:basedOn w:val="Normal"/>
    <w:rsid w:val="009B0070"/>
    <w:pPr>
      <w:shd w:val="clear" w:color="000000" w:fill="FFFFFF"/>
      <w:spacing w:before="100" w:beforeAutospacing="1" w:after="100" w:afterAutospacing="1" w:line="240" w:lineRule="auto"/>
    </w:pPr>
    <w:rPr>
      <w:rFonts w:ascii="Arial" w:eastAsia="Times New Roman" w:hAnsi="Arial" w:cs="Arial"/>
      <w:b/>
      <w:bCs/>
      <w:sz w:val="20"/>
      <w:szCs w:val="20"/>
      <w:lang w:eastAsia="es-MX"/>
    </w:rPr>
  </w:style>
  <w:style w:type="paragraph" w:customStyle="1" w:styleId="xl75">
    <w:name w:val="xl75"/>
    <w:basedOn w:val="Normal"/>
    <w:rsid w:val="009B0070"/>
    <w:pPr>
      <w:shd w:val="clear" w:color="000000" w:fill="FFFFFF"/>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76">
    <w:name w:val="xl76"/>
    <w:basedOn w:val="Normal"/>
    <w:rsid w:val="009B0070"/>
    <w:pPr>
      <w:shd w:val="clear" w:color="000000" w:fill="FFFFFF"/>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77">
    <w:name w:val="xl77"/>
    <w:basedOn w:val="Normal"/>
    <w:rsid w:val="009B0070"/>
    <w:pP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78">
    <w:name w:val="xl78"/>
    <w:basedOn w:val="Normal"/>
    <w:rsid w:val="009B0070"/>
    <w:pPr>
      <w:shd w:val="clear" w:color="000000" w:fill="FFFFFF"/>
      <w:spacing w:before="100" w:beforeAutospacing="1" w:after="100" w:afterAutospacing="1" w:line="240" w:lineRule="auto"/>
    </w:pPr>
    <w:rPr>
      <w:rFonts w:ascii="Arial" w:eastAsia="Times New Roman" w:hAnsi="Arial" w:cs="Arial"/>
      <w:b/>
      <w:bCs/>
      <w:sz w:val="20"/>
      <w:szCs w:val="20"/>
      <w:u w:val="single"/>
      <w:lang w:eastAsia="es-MX"/>
    </w:rPr>
  </w:style>
  <w:style w:type="paragraph" w:customStyle="1" w:styleId="xl79">
    <w:name w:val="xl79"/>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0">
    <w:name w:val="xl80"/>
    <w:basedOn w:val="Normal"/>
    <w:rsid w:val="009B007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81">
    <w:name w:val="xl81"/>
    <w:basedOn w:val="Normal"/>
    <w:rsid w:val="009B007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82">
    <w:name w:val="xl82"/>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3">
    <w:name w:val="xl83"/>
    <w:basedOn w:val="Normal"/>
    <w:rsid w:val="009B0070"/>
    <w:pP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84">
    <w:name w:val="xl84"/>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u w:val="single"/>
      <w:lang w:eastAsia="es-MX"/>
    </w:rPr>
  </w:style>
  <w:style w:type="paragraph" w:customStyle="1" w:styleId="xl85">
    <w:name w:val="xl85"/>
    <w:basedOn w:val="Normal"/>
    <w:rsid w:val="009B0070"/>
    <w:pPr>
      <w:shd w:val="clear" w:color="000000" w:fill="FFFFFF"/>
      <w:spacing w:before="100" w:beforeAutospacing="1" w:after="100" w:afterAutospacing="1" w:line="240" w:lineRule="auto"/>
    </w:pPr>
    <w:rPr>
      <w:rFonts w:ascii="Arial" w:eastAsia="Times New Roman" w:hAnsi="Arial" w:cs="Arial"/>
      <w:color w:val="FFFFFF"/>
      <w:sz w:val="20"/>
      <w:szCs w:val="20"/>
      <w:lang w:eastAsia="es-MX"/>
    </w:rPr>
  </w:style>
  <w:style w:type="paragraph" w:customStyle="1" w:styleId="xl86">
    <w:name w:val="xl86"/>
    <w:basedOn w:val="Normal"/>
    <w:rsid w:val="009B0070"/>
    <w:pPr>
      <w:shd w:val="clear" w:color="000000" w:fill="FFFFFF"/>
      <w:spacing w:before="100" w:beforeAutospacing="1" w:after="100" w:afterAutospacing="1" w:line="240" w:lineRule="auto"/>
    </w:pPr>
    <w:rPr>
      <w:rFonts w:ascii="Arial" w:eastAsia="Times New Roman" w:hAnsi="Arial" w:cs="Arial"/>
      <w:color w:val="FFFFFF"/>
      <w:sz w:val="20"/>
      <w:szCs w:val="20"/>
      <w:lang w:eastAsia="es-MX"/>
    </w:rPr>
  </w:style>
  <w:style w:type="paragraph" w:customStyle="1" w:styleId="xl87">
    <w:name w:val="xl87"/>
    <w:basedOn w:val="Normal"/>
    <w:rsid w:val="009B0070"/>
    <w:pPr>
      <w:shd w:val="clear" w:color="000000" w:fill="FFFFFF"/>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88">
    <w:name w:val="xl88"/>
    <w:basedOn w:val="Normal"/>
    <w:rsid w:val="009B0070"/>
    <w:pP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s-MX"/>
    </w:rPr>
  </w:style>
  <w:style w:type="paragraph" w:customStyle="1" w:styleId="xl89">
    <w:name w:val="xl89"/>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9B0070"/>
    <w:pPr>
      <w:shd w:val="clear" w:color="000000" w:fill="FFFFFF"/>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68">
    <w:name w:val="xl68"/>
    <w:basedOn w:val="Normal"/>
    <w:rsid w:val="00C65A5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C65A59"/>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91">
    <w:name w:val="xl91"/>
    <w:basedOn w:val="Normal"/>
    <w:rsid w:val="00C65A59"/>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2">
    <w:name w:val="xl92"/>
    <w:basedOn w:val="Normal"/>
    <w:rsid w:val="00C65A59"/>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93">
    <w:name w:val="xl93"/>
    <w:basedOn w:val="Normal"/>
    <w:rsid w:val="00C65A59"/>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C65A59"/>
    <w:pPr>
      <w:shd w:val="clear" w:color="000000" w:fill="FFFFFF"/>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95">
    <w:name w:val="xl95"/>
    <w:basedOn w:val="Normal"/>
    <w:rsid w:val="00AB3D4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0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0070"/>
    <w:rPr>
      <w:color w:val="0000FF"/>
      <w:u w:val="single"/>
    </w:rPr>
  </w:style>
  <w:style w:type="character" w:styleId="Hipervnculovisitado">
    <w:name w:val="FollowedHyperlink"/>
    <w:basedOn w:val="Fuentedeprrafopredeter"/>
    <w:uiPriority w:val="99"/>
    <w:semiHidden/>
    <w:unhideWhenUsed/>
    <w:rsid w:val="009B0070"/>
    <w:rPr>
      <w:color w:val="800080"/>
      <w:u w:val="single"/>
    </w:rPr>
  </w:style>
  <w:style w:type="paragraph" w:customStyle="1" w:styleId="xl70">
    <w:name w:val="xl70"/>
    <w:basedOn w:val="Normal"/>
    <w:rsid w:val="009B007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2">
    <w:name w:val="xl72"/>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3">
    <w:name w:val="xl73"/>
    <w:basedOn w:val="Normal"/>
    <w:rsid w:val="009B0070"/>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74">
    <w:name w:val="xl74"/>
    <w:basedOn w:val="Normal"/>
    <w:rsid w:val="009B0070"/>
    <w:pPr>
      <w:shd w:val="clear" w:color="000000" w:fill="FFFFFF"/>
      <w:spacing w:before="100" w:beforeAutospacing="1" w:after="100" w:afterAutospacing="1" w:line="240" w:lineRule="auto"/>
    </w:pPr>
    <w:rPr>
      <w:rFonts w:ascii="Arial" w:eastAsia="Times New Roman" w:hAnsi="Arial" w:cs="Arial"/>
      <w:b/>
      <w:bCs/>
      <w:sz w:val="20"/>
      <w:szCs w:val="20"/>
      <w:lang w:eastAsia="es-MX"/>
    </w:rPr>
  </w:style>
  <w:style w:type="paragraph" w:customStyle="1" w:styleId="xl75">
    <w:name w:val="xl75"/>
    <w:basedOn w:val="Normal"/>
    <w:rsid w:val="009B0070"/>
    <w:pPr>
      <w:shd w:val="clear" w:color="000000" w:fill="FFFFFF"/>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76">
    <w:name w:val="xl76"/>
    <w:basedOn w:val="Normal"/>
    <w:rsid w:val="009B0070"/>
    <w:pPr>
      <w:shd w:val="clear" w:color="000000" w:fill="FFFFFF"/>
      <w:spacing w:before="100" w:beforeAutospacing="1" w:after="100" w:afterAutospacing="1" w:line="240" w:lineRule="auto"/>
      <w:jc w:val="right"/>
    </w:pPr>
    <w:rPr>
      <w:rFonts w:ascii="Arial" w:eastAsia="Times New Roman" w:hAnsi="Arial" w:cs="Arial"/>
      <w:b/>
      <w:bCs/>
      <w:sz w:val="20"/>
      <w:szCs w:val="20"/>
      <w:lang w:eastAsia="es-MX"/>
    </w:rPr>
  </w:style>
  <w:style w:type="paragraph" w:customStyle="1" w:styleId="xl77">
    <w:name w:val="xl77"/>
    <w:basedOn w:val="Normal"/>
    <w:rsid w:val="009B0070"/>
    <w:pP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78">
    <w:name w:val="xl78"/>
    <w:basedOn w:val="Normal"/>
    <w:rsid w:val="009B0070"/>
    <w:pPr>
      <w:shd w:val="clear" w:color="000000" w:fill="FFFFFF"/>
      <w:spacing w:before="100" w:beforeAutospacing="1" w:after="100" w:afterAutospacing="1" w:line="240" w:lineRule="auto"/>
    </w:pPr>
    <w:rPr>
      <w:rFonts w:ascii="Arial" w:eastAsia="Times New Roman" w:hAnsi="Arial" w:cs="Arial"/>
      <w:b/>
      <w:bCs/>
      <w:sz w:val="20"/>
      <w:szCs w:val="20"/>
      <w:u w:val="single"/>
      <w:lang w:eastAsia="es-MX"/>
    </w:rPr>
  </w:style>
  <w:style w:type="paragraph" w:customStyle="1" w:styleId="xl79">
    <w:name w:val="xl79"/>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0">
    <w:name w:val="xl80"/>
    <w:basedOn w:val="Normal"/>
    <w:rsid w:val="009B007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81">
    <w:name w:val="xl81"/>
    <w:basedOn w:val="Normal"/>
    <w:rsid w:val="009B007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82">
    <w:name w:val="xl82"/>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3">
    <w:name w:val="xl83"/>
    <w:basedOn w:val="Normal"/>
    <w:rsid w:val="009B0070"/>
    <w:pP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84">
    <w:name w:val="xl84"/>
    <w:basedOn w:val="Normal"/>
    <w:rsid w:val="009B0070"/>
    <w:pPr>
      <w:shd w:val="clear" w:color="000000" w:fill="FFFFFF"/>
      <w:spacing w:before="100" w:beforeAutospacing="1" w:after="100" w:afterAutospacing="1" w:line="240" w:lineRule="auto"/>
      <w:jc w:val="right"/>
    </w:pPr>
    <w:rPr>
      <w:rFonts w:ascii="Arial" w:eastAsia="Times New Roman" w:hAnsi="Arial" w:cs="Arial"/>
      <w:sz w:val="20"/>
      <w:szCs w:val="20"/>
      <w:u w:val="single"/>
      <w:lang w:eastAsia="es-MX"/>
    </w:rPr>
  </w:style>
  <w:style w:type="paragraph" w:customStyle="1" w:styleId="xl85">
    <w:name w:val="xl85"/>
    <w:basedOn w:val="Normal"/>
    <w:rsid w:val="009B0070"/>
    <w:pPr>
      <w:shd w:val="clear" w:color="000000" w:fill="FFFFFF"/>
      <w:spacing w:before="100" w:beforeAutospacing="1" w:after="100" w:afterAutospacing="1" w:line="240" w:lineRule="auto"/>
    </w:pPr>
    <w:rPr>
      <w:rFonts w:ascii="Arial" w:eastAsia="Times New Roman" w:hAnsi="Arial" w:cs="Arial"/>
      <w:color w:val="FFFFFF"/>
      <w:sz w:val="20"/>
      <w:szCs w:val="20"/>
      <w:lang w:eastAsia="es-MX"/>
    </w:rPr>
  </w:style>
  <w:style w:type="paragraph" w:customStyle="1" w:styleId="xl86">
    <w:name w:val="xl86"/>
    <w:basedOn w:val="Normal"/>
    <w:rsid w:val="009B0070"/>
    <w:pPr>
      <w:shd w:val="clear" w:color="000000" w:fill="FFFFFF"/>
      <w:spacing w:before="100" w:beforeAutospacing="1" w:after="100" w:afterAutospacing="1" w:line="240" w:lineRule="auto"/>
    </w:pPr>
    <w:rPr>
      <w:rFonts w:ascii="Arial" w:eastAsia="Times New Roman" w:hAnsi="Arial" w:cs="Arial"/>
      <w:color w:val="FFFFFF"/>
      <w:sz w:val="20"/>
      <w:szCs w:val="20"/>
      <w:lang w:eastAsia="es-MX"/>
    </w:rPr>
  </w:style>
  <w:style w:type="paragraph" w:customStyle="1" w:styleId="xl87">
    <w:name w:val="xl87"/>
    <w:basedOn w:val="Normal"/>
    <w:rsid w:val="009B0070"/>
    <w:pPr>
      <w:shd w:val="clear" w:color="000000" w:fill="FFFFFF"/>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88">
    <w:name w:val="xl88"/>
    <w:basedOn w:val="Normal"/>
    <w:rsid w:val="009B0070"/>
    <w:pP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s-MX"/>
    </w:rPr>
  </w:style>
  <w:style w:type="paragraph" w:customStyle="1" w:styleId="xl89">
    <w:name w:val="xl89"/>
    <w:basedOn w:val="Normal"/>
    <w:rsid w:val="009B0070"/>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9B0070"/>
    <w:pPr>
      <w:shd w:val="clear" w:color="000000" w:fill="FFFFFF"/>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68">
    <w:name w:val="xl68"/>
    <w:basedOn w:val="Normal"/>
    <w:rsid w:val="00C65A5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C65A59"/>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91">
    <w:name w:val="xl91"/>
    <w:basedOn w:val="Normal"/>
    <w:rsid w:val="00C65A59"/>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2">
    <w:name w:val="xl92"/>
    <w:basedOn w:val="Normal"/>
    <w:rsid w:val="00C65A59"/>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93">
    <w:name w:val="xl93"/>
    <w:basedOn w:val="Normal"/>
    <w:rsid w:val="00C65A59"/>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C65A59"/>
    <w:pPr>
      <w:shd w:val="clear" w:color="000000" w:fill="FFFFFF"/>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95">
    <w:name w:val="xl95"/>
    <w:basedOn w:val="Normal"/>
    <w:rsid w:val="00AB3D4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0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099">
      <w:bodyDiv w:val="1"/>
      <w:marLeft w:val="0"/>
      <w:marRight w:val="0"/>
      <w:marTop w:val="0"/>
      <w:marBottom w:val="0"/>
      <w:divBdr>
        <w:top w:val="none" w:sz="0" w:space="0" w:color="auto"/>
        <w:left w:val="none" w:sz="0" w:space="0" w:color="auto"/>
        <w:bottom w:val="none" w:sz="0" w:space="0" w:color="auto"/>
        <w:right w:val="none" w:sz="0" w:space="0" w:color="auto"/>
      </w:divBdr>
    </w:div>
    <w:div w:id="44262200">
      <w:bodyDiv w:val="1"/>
      <w:marLeft w:val="0"/>
      <w:marRight w:val="0"/>
      <w:marTop w:val="0"/>
      <w:marBottom w:val="0"/>
      <w:divBdr>
        <w:top w:val="none" w:sz="0" w:space="0" w:color="auto"/>
        <w:left w:val="none" w:sz="0" w:space="0" w:color="auto"/>
        <w:bottom w:val="none" w:sz="0" w:space="0" w:color="auto"/>
        <w:right w:val="none" w:sz="0" w:space="0" w:color="auto"/>
      </w:divBdr>
    </w:div>
    <w:div w:id="106045180">
      <w:bodyDiv w:val="1"/>
      <w:marLeft w:val="0"/>
      <w:marRight w:val="0"/>
      <w:marTop w:val="0"/>
      <w:marBottom w:val="0"/>
      <w:divBdr>
        <w:top w:val="none" w:sz="0" w:space="0" w:color="auto"/>
        <w:left w:val="none" w:sz="0" w:space="0" w:color="auto"/>
        <w:bottom w:val="none" w:sz="0" w:space="0" w:color="auto"/>
        <w:right w:val="none" w:sz="0" w:space="0" w:color="auto"/>
      </w:divBdr>
    </w:div>
    <w:div w:id="108009737">
      <w:bodyDiv w:val="1"/>
      <w:marLeft w:val="0"/>
      <w:marRight w:val="0"/>
      <w:marTop w:val="0"/>
      <w:marBottom w:val="0"/>
      <w:divBdr>
        <w:top w:val="none" w:sz="0" w:space="0" w:color="auto"/>
        <w:left w:val="none" w:sz="0" w:space="0" w:color="auto"/>
        <w:bottom w:val="none" w:sz="0" w:space="0" w:color="auto"/>
        <w:right w:val="none" w:sz="0" w:space="0" w:color="auto"/>
      </w:divBdr>
    </w:div>
    <w:div w:id="133063758">
      <w:bodyDiv w:val="1"/>
      <w:marLeft w:val="0"/>
      <w:marRight w:val="0"/>
      <w:marTop w:val="0"/>
      <w:marBottom w:val="0"/>
      <w:divBdr>
        <w:top w:val="none" w:sz="0" w:space="0" w:color="auto"/>
        <w:left w:val="none" w:sz="0" w:space="0" w:color="auto"/>
        <w:bottom w:val="none" w:sz="0" w:space="0" w:color="auto"/>
        <w:right w:val="none" w:sz="0" w:space="0" w:color="auto"/>
      </w:divBdr>
    </w:div>
    <w:div w:id="172912856">
      <w:bodyDiv w:val="1"/>
      <w:marLeft w:val="0"/>
      <w:marRight w:val="0"/>
      <w:marTop w:val="0"/>
      <w:marBottom w:val="0"/>
      <w:divBdr>
        <w:top w:val="none" w:sz="0" w:space="0" w:color="auto"/>
        <w:left w:val="none" w:sz="0" w:space="0" w:color="auto"/>
        <w:bottom w:val="none" w:sz="0" w:space="0" w:color="auto"/>
        <w:right w:val="none" w:sz="0" w:space="0" w:color="auto"/>
      </w:divBdr>
    </w:div>
    <w:div w:id="184444078">
      <w:bodyDiv w:val="1"/>
      <w:marLeft w:val="0"/>
      <w:marRight w:val="0"/>
      <w:marTop w:val="0"/>
      <w:marBottom w:val="0"/>
      <w:divBdr>
        <w:top w:val="none" w:sz="0" w:space="0" w:color="auto"/>
        <w:left w:val="none" w:sz="0" w:space="0" w:color="auto"/>
        <w:bottom w:val="none" w:sz="0" w:space="0" w:color="auto"/>
        <w:right w:val="none" w:sz="0" w:space="0" w:color="auto"/>
      </w:divBdr>
    </w:div>
    <w:div w:id="237981496">
      <w:bodyDiv w:val="1"/>
      <w:marLeft w:val="0"/>
      <w:marRight w:val="0"/>
      <w:marTop w:val="0"/>
      <w:marBottom w:val="0"/>
      <w:divBdr>
        <w:top w:val="none" w:sz="0" w:space="0" w:color="auto"/>
        <w:left w:val="none" w:sz="0" w:space="0" w:color="auto"/>
        <w:bottom w:val="none" w:sz="0" w:space="0" w:color="auto"/>
        <w:right w:val="none" w:sz="0" w:space="0" w:color="auto"/>
      </w:divBdr>
    </w:div>
    <w:div w:id="246118484">
      <w:bodyDiv w:val="1"/>
      <w:marLeft w:val="0"/>
      <w:marRight w:val="0"/>
      <w:marTop w:val="0"/>
      <w:marBottom w:val="0"/>
      <w:divBdr>
        <w:top w:val="none" w:sz="0" w:space="0" w:color="auto"/>
        <w:left w:val="none" w:sz="0" w:space="0" w:color="auto"/>
        <w:bottom w:val="none" w:sz="0" w:space="0" w:color="auto"/>
        <w:right w:val="none" w:sz="0" w:space="0" w:color="auto"/>
      </w:divBdr>
    </w:div>
    <w:div w:id="277494276">
      <w:bodyDiv w:val="1"/>
      <w:marLeft w:val="0"/>
      <w:marRight w:val="0"/>
      <w:marTop w:val="0"/>
      <w:marBottom w:val="0"/>
      <w:divBdr>
        <w:top w:val="none" w:sz="0" w:space="0" w:color="auto"/>
        <w:left w:val="none" w:sz="0" w:space="0" w:color="auto"/>
        <w:bottom w:val="none" w:sz="0" w:space="0" w:color="auto"/>
        <w:right w:val="none" w:sz="0" w:space="0" w:color="auto"/>
      </w:divBdr>
    </w:div>
    <w:div w:id="284313912">
      <w:bodyDiv w:val="1"/>
      <w:marLeft w:val="0"/>
      <w:marRight w:val="0"/>
      <w:marTop w:val="0"/>
      <w:marBottom w:val="0"/>
      <w:divBdr>
        <w:top w:val="none" w:sz="0" w:space="0" w:color="auto"/>
        <w:left w:val="none" w:sz="0" w:space="0" w:color="auto"/>
        <w:bottom w:val="none" w:sz="0" w:space="0" w:color="auto"/>
        <w:right w:val="none" w:sz="0" w:space="0" w:color="auto"/>
      </w:divBdr>
    </w:div>
    <w:div w:id="327171051">
      <w:bodyDiv w:val="1"/>
      <w:marLeft w:val="0"/>
      <w:marRight w:val="0"/>
      <w:marTop w:val="0"/>
      <w:marBottom w:val="0"/>
      <w:divBdr>
        <w:top w:val="none" w:sz="0" w:space="0" w:color="auto"/>
        <w:left w:val="none" w:sz="0" w:space="0" w:color="auto"/>
        <w:bottom w:val="none" w:sz="0" w:space="0" w:color="auto"/>
        <w:right w:val="none" w:sz="0" w:space="0" w:color="auto"/>
      </w:divBdr>
    </w:div>
    <w:div w:id="347565269">
      <w:bodyDiv w:val="1"/>
      <w:marLeft w:val="0"/>
      <w:marRight w:val="0"/>
      <w:marTop w:val="0"/>
      <w:marBottom w:val="0"/>
      <w:divBdr>
        <w:top w:val="none" w:sz="0" w:space="0" w:color="auto"/>
        <w:left w:val="none" w:sz="0" w:space="0" w:color="auto"/>
        <w:bottom w:val="none" w:sz="0" w:space="0" w:color="auto"/>
        <w:right w:val="none" w:sz="0" w:space="0" w:color="auto"/>
      </w:divBdr>
    </w:div>
    <w:div w:id="376514955">
      <w:bodyDiv w:val="1"/>
      <w:marLeft w:val="0"/>
      <w:marRight w:val="0"/>
      <w:marTop w:val="0"/>
      <w:marBottom w:val="0"/>
      <w:divBdr>
        <w:top w:val="none" w:sz="0" w:space="0" w:color="auto"/>
        <w:left w:val="none" w:sz="0" w:space="0" w:color="auto"/>
        <w:bottom w:val="none" w:sz="0" w:space="0" w:color="auto"/>
        <w:right w:val="none" w:sz="0" w:space="0" w:color="auto"/>
      </w:divBdr>
    </w:div>
    <w:div w:id="396823430">
      <w:bodyDiv w:val="1"/>
      <w:marLeft w:val="0"/>
      <w:marRight w:val="0"/>
      <w:marTop w:val="0"/>
      <w:marBottom w:val="0"/>
      <w:divBdr>
        <w:top w:val="none" w:sz="0" w:space="0" w:color="auto"/>
        <w:left w:val="none" w:sz="0" w:space="0" w:color="auto"/>
        <w:bottom w:val="none" w:sz="0" w:space="0" w:color="auto"/>
        <w:right w:val="none" w:sz="0" w:space="0" w:color="auto"/>
      </w:divBdr>
    </w:div>
    <w:div w:id="397242663">
      <w:bodyDiv w:val="1"/>
      <w:marLeft w:val="0"/>
      <w:marRight w:val="0"/>
      <w:marTop w:val="0"/>
      <w:marBottom w:val="0"/>
      <w:divBdr>
        <w:top w:val="none" w:sz="0" w:space="0" w:color="auto"/>
        <w:left w:val="none" w:sz="0" w:space="0" w:color="auto"/>
        <w:bottom w:val="none" w:sz="0" w:space="0" w:color="auto"/>
        <w:right w:val="none" w:sz="0" w:space="0" w:color="auto"/>
      </w:divBdr>
    </w:div>
    <w:div w:id="450632301">
      <w:bodyDiv w:val="1"/>
      <w:marLeft w:val="0"/>
      <w:marRight w:val="0"/>
      <w:marTop w:val="0"/>
      <w:marBottom w:val="0"/>
      <w:divBdr>
        <w:top w:val="none" w:sz="0" w:space="0" w:color="auto"/>
        <w:left w:val="none" w:sz="0" w:space="0" w:color="auto"/>
        <w:bottom w:val="none" w:sz="0" w:space="0" w:color="auto"/>
        <w:right w:val="none" w:sz="0" w:space="0" w:color="auto"/>
      </w:divBdr>
    </w:div>
    <w:div w:id="467557423">
      <w:bodyDiv w:val="1"/>
      <w:marLeft w:val="0"/>
      <w:marRight w:val="0"/>
      <w:marTop w:val="0"/>
      <w:marBottom w:val="0"/>
      <w:divBdr>
        <w:top w:val="none" w:sz="0" w:space="0" w:color="auto"/>
        <w:left w:val="none" w:sz="0" w:space="0" w:color="auto"/>
        <w:bottom w:val="none" w:sz="0" w:space="0" w:color="auto"/>
        <w:right w:val="none" w:sz="0" w:space="0" w:color="auto"/>
      </w:divBdr>
    </w:div>
    <w:div w:id="479267500">
      <w:bodyDiv w:val="1"/>
      <w:marLeft w:val="0"/>
      <w:marRight w:val="0"/>
      <w:marTop w:val="0"/>
      <w:marBottom w:val="0"/>
      <w:divBdr>
        <w:top w:val="none" w:sz="0" w:space="0" w:color="auto"/>
        <w:left w:val="none" w:sz="0" w:space="0" w:color="auto"/>
        <w:bottom w:val="none" w:sz="0" w:space="0" w:color="auto"/>
        <w:right w:val="none" w:sz="0" w:space="0" w:color="auto"/>
      </w:divBdr>
    </w:div>
    <w:div w:id="494107497">
      <w:bodyDiv w:val="1"/>
      <w:marLeft w:val="0"/>
      <w:marRight w:val="0"/>
      <w:marTop w:val="0"/>
      <w:marBottom w:val="0"/>
      <w:divBdr>
        <w:top w:val="none" w:sz="0" w:space="0" w:color="auto"/>
        <w:left w:val="none" w:sz="0" w:space="0" w:color="auto"/>
        <w:bottom w:val="none" w:sz="0" w:space="0" w:color="auto"/>
        <w:right w:val="none" w:sz="0" w:space="0" w:color="auto"/>
      </w:divBdr>
    </w:div>
    <w:div w:id="502277885">
      <w:bodyDiv w:val="1"/>
      <w:marLeft w:val="0"/>
      <w:marRight w:val="0"/>
      <w:marTop w:val="0"/>
      <w:marBottom w:val="0"/>
      <w:divBdr>
        <w:top w:val="none" w:sz="0" w:space="0" w:color="auto"/>
        <w:left w:val="none" w:sz="0" w:space="0" w:color="auto"/>
        <w:bottom w:val="none" w:sz="0" w:space="0" w:color="auto"/>
        <w:right w:val="none" w:sz="0" w:space="0" w:color="auto"/>
      </w:divBdr>
    </w:div>
    <w:div w:id="537475629">
      <w:bodyDiv w:val="1"/>
      <w:marLeft w:val="0"/>
      <w:marRight w:val="0"/>
      <w:marTop w:val="0"/>
      <w:marBottom w:val="0"/>
      <w:divBdr>
        <w:top w:val="none" w:sz="0" w:space="0" w:color="auto"/>
        <w:left w:val="none" w:sz="0" w:space="0" w:color="auto"/>
        <w:bottom w:val="none" w:sz="0" w:space="0" w:color="auto"/>
        <w:right w:val="none" w:sz="0" w:space="0" w:color="auto"/>
      </w:divBdr>
    </w:div>
    <w:div w:id="539899076">
      <w:bodyDiv w:val="1"/>
      <w:marLeft w:val="0"/>
      <w:marRight w:val="0"/>
      <w:marTop w:val="0"/>
      <w:marBottom w:val="0"/>
      <w:divBdr>
        <w:top w:val="none" w:sz="0" w:space="0" w:color="auto"/>
        <w:left w:val="none" w:sz="0" w:space="0" w:color="auto"/>
        <w:bottom w:val="none" w:sz="0" w:space="0" w:color="auto"/>
        <w:right w:val="none" w:sz="0" w:space="0" w:color="auto"/>
      </w:divBdr>
    </w:div>
    <w:div w:id="545605035">
      <w:bodyDiv w:val="1"/>
      <w:marLeft w:val="0"/>
      <w:marRight w:val="0"/>
      <w:marTop w:val="0"/>
      <w:marBottom w:val="0"/>
      <w:divBdr>
        <w:top w:val="none" w:sz="0" w:space="0" w:color="auto"/>
        <w:left w:val="none" w:sz="0" w:space="0" w:color="auto"/>
        <w:bottom w:val="none" w:sz="0" w:space="0" w:color="auto"/>
        <w:right w:val="none" w:sz="0" w:space="0" w:color="auto"/>
      </w:divBdr>
    </w:div>
    <w:div w:id="579944723">
      <w:bodyDiv w:val="1"/>
      <w:marLeft w:val="0"/>
      <w:marRight w:val="0"/>
      <w:marTop w:val="0"/>
      <w:marBottom w:val="0"/>
      <w:divBdr>
        <w:top w:val="none" w:sz="0" w:space="0" w:color="auto"/>
        <w:left w:val="none" w:sz="0" w:space="0" w:color="auto"/>
        <w:bottom w:val="none" w:sz="0" w:space="0" w:color="auto"/>
        <w:right w:val="none" w:sz="0" w:space="0" w:color="auto"/>
      </w:divBdr>
    </w:div>
    <w:div w:id="599409445">
      <w:bodyDiv w:val="1"/>
      <w:marLeft w:val="0"/>
      <w:marRight w:val="0"/>
      <w:marTop w:val="0"/>
      <w:marBottom w:val="0"/>
      <w:divBdr>
        <w:top w:val="none" w:sz="0" w:space="0" w:color="auto"/>
        <w:left w:val="none" w:sz="0" w:space="0" w:color="auto"/>
        <w:bottom w:val="none" w:sz="0" w:space="0" w:color="auto"/>
        <w:right w:val="none" w:sz="0" w:space="0" w:color="auto"/>
      </w:divBdr>
    </w:div>
    <w:div w:id="712196145">
      <w:bodyDiv w:val="1"/>
      <w:marLeft w:val="0"/>
      <w:marRight w:val="0"/>
      <w:marTop w:val="0"/>
      <w:marBottom w:val="0"/>
      <w:divBdr>
        <w:top w:val="none" w:sz="0" w:space="0" w:color="auto"/>
        <w:left w:val="none" w:sz="0" w:space="0" w:color="auto"/>
        <w:bottom w:val="none" w:sz="0" w:space="0" w:color="auto"/>
        <w:right w:val="none" w:sz="0" w:space="0" w:color="auto"/>
      </w:divBdr>
    </w:div>
    <w:div w:id="715158052">
      <w:bodyDiv w:val="1"/>
      <w:marLeft w:val="0"/>
      <w:marRight w:val="0"/>
      <w:marTop w:val="0"/>
      <w:marBottom w:val="0"/>
      <w:divBdr>
        <w:top w:val="none" w:sz="0" w:space="0" w:color="auto"/>
        <w:left w:val="none" w:sz="0" w:space="0" w:color="auto"/>
        <w:bottom w:val="none" w:sz="0" w:space="0" w:color="auto"/>
        <w:right w:val="none" w:sz="0" w:space="0" w:color="auto"/>
      </w:divBdr>
    </w:div>
    <w:div w:id="721945086">
      <w:bodyDiv w:val="1"/>
      <w:marLeft w:val="0"/>
      <w:marRight w:val="0"/>
      <w:marTop w:val="0"/>
      <w:marBottom w:val="0"/>
      <w:divBdr>
        <w:top w:val="none" w:sz="0" w:space="0" w:color="auto"/>
        <w:left w:val="none" w:sz="0" w:space="0" w:color="auto"/>
        <w:bottom w:val="none" w:sz="0" w:space="0" w:color="auto"/>
        <w:right w:val="none" w:sz="0" w:space="0" w:color="auto"/>
      </w:divBdr>
    </w:div>
    <w:div w:id="726145759">
      <w:bodyDiv w:val="1"/>
      <w:marLeft w:val="0"/>
      <w:marRight w:val="0"/>
      <w:marTop w:val="0"/>
      <w:marBottom w:val="0"/>
      <w:divBdr>
        <w:top w:val="none" w:sz="0" w:space="0" w:color="auto"/>
        <w:left w:val="none" w:sz="0" w:space="0" w:color="auto"/>
        <w:bottom w:val="none" w:sz="0" w:space="0" w:color="auto"/>
        <w:right w:val="none" w:sz="0" w:space="0" w:color="auto"/>
      </w:divBdr>
    </w:div>
    <w:div w:id="732198968">
      <w:bodyDiv w:val="1"/>
      <w:marLeft w:val="0"/>
      <w:marRight w:val="0"/>
      <w:marTop w:val="0"/>
      <w:marBottom w:val="0"/>
      <w:divBdr>
        <w:top w:val="none" w:sz="0" w:space="0" w:color="auto"/>
        <w:left w:val="none" w:sz="0" w:space="0" w:color="auto"/>
        <w:bottom w:val="none" w:sz="0" w:space="0" w:color="auto"/>
        <w:right w:val="none" w:sz="0" w:space="0" w:color="auto"/>
      </w:divBdr>
    </w:div>
    <w:div w:id="779682422">
      <w:bodyDiv w:val="1"/>
      <w:marLeft w:val="0"/>
      <w:marRight w:val="0"/>
      <w:marTop w:val="0"/>
      <w:marBottom w:val="0"/>
      <w:divBdr>
        <w:top w:val="none" w:sz="0" w:space="0" w:color="auto"/>
        <w:left w:val="none" w:sz="0" w:space="0" w:color="auto"/>
        <w:bottom w:val="none" w:sz="0" w:space="0" w:color="auto"/>
        <w:right w:val="none" w:sz="0" w:space="0" w:color="auto"/>
      </w:divBdr>
    </w:div>
    <w:div w:id="832065431">
      <w:bodyDiv w:val="1"/>
      <w:marLeft w:val="0"/>
      <w:marRight w:val="0"/>
      <w:marTop w:val="0"/>
      <w:marBottom w:val="0"/>
      <w:divBdr>
        <w:top w:val="none" w:sz="0" w:space="0" w:color="auto"/>
        <w:left w:val="none" w:sz="0" w:space="0" w:color="auto"/>
        <w:bottom w:val="none" w:sz="0" w:space="0" w:color="auto"/>
        <w:right w:val="none" w:sz="0" w:space="0" w:color="auto"/>
      </w:divBdr>
    </w:div>
    <w:div w:id="860437016">
      <w:bodyDiv w:val="1"/>
      <w:marLeft w:val="0"/>
      <w:marRight w:val="0"/>
      <w:marTop w:val="0"/>
      <w:marBottom w:val="0"/>
      <w:divBdr>
        <w:top w:val="none" w:sz="0" w:space="0" w:color="auto"/>
        <w:left w:val="none" w:sz="0" w:space="0" w:color="auto"/>
        <w:bottom w:val="none" w:sz="0" w:space="0" w:color="auto"/>
        <w:right w:val="none" w:sz="0" w:space="0" w:color="auto"/>
      </w:divBdr>
    </w:div>
    <w:div w:id="953826085">
      <w:bodyDiv w:val="1"/>
      <w:marLeft w:val="0"/>
      <w:marRight w:val="0"/>
      <w:marTop w:val="0"/>
      <w:marBottom w:val="0"/>
      <w:divBdr>
        <w:top w:val="none" w:sz="0" w:space="0" w:color="auto"/>
        <w:left w:val="none" w:sz="0" w:space="0" w:color="auto"/>
        <w:bottom w:val="none" w:sz="0" w:space="0" w:color="auto"/>
        <w:right w:val="none" w:sz="0" w:space="0" w:color="auto"/>
      </w:divBdr>
    </w:div>
    <w:div w:id="968436658">
      <w:bodyDiv w:val="1"/>
      <w:marLeft w:val="0"/>
      <w:marRight w:val="0"/>
      <w:marTop w:val="0"/>
      <w:marBottom w:val="0"/>
      <w:divBdr>
        <w:top w:val="none" w:sz="0" w:space="0" w:color="auto"/>
        <w:left w:val="none" w:sz="0" w:space="0" w:color="auto"/>
        <w:bottom w:val="none" w:sz="0" w:space="0" w:color="auto"/>
        <w:right w:val="none" w:sz="0" w:space="0" w:color="auto"/>
      </w:divBdr>
    </w:div>
    <w:div w:id="1005939970">
      <w:bodyDiv w:val="1"/>
      <w:marLeft w:val="0"/>
      <w:marRight w:val="0"/>
      <w:marTop w:val="0"/>
      <w:marBottom w:val="0"/>
      <w:divBdr>
        <w:top w:val="none" w:sz="0" w:space="0" w:color="auto"/>
        <w:left w:val="none" w:sz="0" w:space="0" w:color="auto"/>
        <w:bottom w:val="none" w:sz="0" w:space="0" w:color="auto"/>
        <w:right w:val="none" w:sz="0" w:space="0" w:color="auto"/>
      </w:divBdr>
    </w:div>
    <w:div w:id="1054231053">
      <w:bodyDiv w:val="1"/>
      <w:marLeft w:val="0"/>
      <w:marRight w:val="0"/>
      <w:marTop w:val="0"/>
      <w:marBottom w:val="0"/>
      <w:divBdr>
        <w:top w:val="none" w:sz="0" w:space="0" w:color="auto"/>
        <w:left w:val="none" w:sz="0" w:space="0" w:color="auto"/>
        <w:bottom w:val="none" w:sz="0" w:space="0" w:color="auto"/>
        <w:right w:val="none" w:sz="0" w:space="0" w:color="auto"/>
      </w:divBdr>
    </w:div>
    <w:div w:id="1059213174">
      <w:bodyDiv w:val="1"/>
      <w:marLeft w:val="0"/>
      <w:marRight w:val="0"/>
      <w:marTop w:val="0"/>
      <w:marBottom w:val="0"/>
      <w:divBdr>
        <w:top w:val="none" w:sz="0" w:space="0" w:color="auto"/>
        <w:left w:val="none" w:sz="0" w:space="0" w:color="auto"/>
        <w:bottom w:val="none" w:sz="0" w:space="0" w:color="auto"/>
        <w:right w:val="none" w:sz="0" w:space="0" w:color="auto"/>
      </w:divBdr>
    </w:div>
    <w:div w:id="1124689654">
      <w:bodyDiv w:val="1"/>
      <w:marLeft w:val="0"/>
      <w:marRight w:val="0"/>
      <w:marTop w:val="0"/>
      <w:marBottom w:val="0"/>
      <w:divBdr>
        <w:top w:val="none" w:sz="0" w:space="0" w:color="auto"/>
        <w:left w:val="none" w:sz="0" w:space="0" w:color="auto"/>
        <w:bottom w:val="none" w:sz="0" w:space="0" w:color="auto"/>
        <w:right w:val="none" w:sz="0" w:space="0" w:color="auto"/>
      </w:divBdr>
    </w:div>
    <w:div w:id="1125662818">
      <w:bodyDiv w:val="1"/>
      <w:marLeft w:val="0"/>
      <w:marRight w:val="0"/>
      <w:marTop w:val="0"/>
      <w:marBottom w:val="0"/>
      <w:divBdr>
        <w:top w:val="none" w:sz="0" w:space="0" w:color="auto"/>
        <w:left w:val="none" w:sz="0" w:space="0" w:color="auto"/>
        <w:bottom w:val="none" w:sz="0" w:space="0" w:color="auto"/>
        <w:right w:val="none" w:sz="0" w:space="0" w:color="auto"/>
      </w:divBdr>
    </w:div>
    <w:div w:id="1131828487">
      <w:bodyDiv w:val="1"/>
      <w:marLeft w:val="0"/>
      <w:marRight w:val="0"/>
      <w:marTop w:val="0"/>
      <w:marBottom w:val="0"/>
      <w:divBdr>
        <w:top w:val="none" w:sz="0" w:space="0" w:color="auto"/>
        <w:left w:val="none" w:sz="0" w:space="0" w:color="auto"/>
        <w:bottom w:val="none" w:sz="0" w:space="0" w:color="auto"/>
        <w:right w:val="none" w:sz="0" w:space="0" w:color="auto"/>
      </w:divBdr>
    </w:div>
    <w:div w:id="1169717214">
      <w:bodyDiv w:val="1"/>
      <w:marLeft w:val="0"/>
      <w:marRight w:val="0"/>
      <w:marTop w:val="0"/>
      <w:marBottom w:val="0"/>
      <w:divBdr>
        <w:top w:val="none" w:sz="0" w:space="0" w:color="auto"/>
        <w:left w:val="none" w:sz="0" w:space="0" w:color="auto"/>
        <w:bottom w:val="none" w:sz="0" w:space="0" w:color="auto"/>
        <w:right w:val="none" w:sz="0" w:space="0" w:color="auto"/>
      </w:divBdr>
    </w:div>
    <w:div w:id="1184125680">
      <w:bodyDiv w:val="1"/>
      <w:marLeft w:val="0"/>
      <w:marRight w:val="0"/>
      <w:marTop w:val="0"/>
      <w:marBottom w:val="0"/>
      <w:divBdr>
        <w:top w:val="none" w:sz="0" w:space="0" w:color="auto"/>
        <w:left w:val="none" w:sz="0" w:space="0" w:color="auto"/>
        <w:bottom w:val="none" w:sz="0" w:space="0" w:color="auto"/>
        <w:right w:val="none" w:sz="0" w:space="0" w:color="auto"/>
      </w:divBdr>
    </w:div>
    <w:div w:id="1201548702">
      <w:bodyDiv w:val="1"/>
      <w:marLeft w:val="0"/>
      <w:marRight w:val="0"/>
      <w:marTop w:val="0"/>
      <w:marBottom w:val="0"/>
      <w:divBdr>
        <w:top w:val="none" w:sz="0" w:space="0" w:color="auto"/>
        <w:left w:val="none" w:sz="0" w:space="0" w:color="auto"/>
        <w:bottom w:val="none" w:sz="0" w:space="0" w:color="auto"/>
        <w:right w:val="none" w:sz="0" w:space="0" w:color="auto"/>
      </w:divBdr>
    </w:div>
    <w:div w:id="1226379260">
      <w:bodyDiv w:val="1"/>
      <w:marLeft w:val="0"/>
      <w:marRight w:val="0"/>
      <w:marTop w:val="0"/>
      <w:marBottom w:val="0"/>
      <w:divBdr>
        <w:top w:val="none" w:sz="0" w:space="0" w:color="auto"/>
        <w:left w:val="none" w:sz="0" w:space="0" w:color="auto"/>
        <w:bottom w:val="none" w:sz="0" w:space="0" w:color="auto"/>
        <w:right w:val="none" w:sz="0" w:space="0" w:color="auto"/>
      </w:divBdr>
    </w:div>
    <w:div w:id="1324771732">
      <w:bodyDiv w:val="1"/>
      <w:marLeft w:val="0"/>
      <w:marRight w:val="0"/>
      <w:marTop w:val="0"/>
      <w:marBottom w:val="0"/>
      <w:divBdr>
        <w:top w:val="none" w:sz="0" w:space="0" w:color="auto"/>
        <w:left w:val="none" w:sz="0" w:space="0" w:color="auto"/>
        <w:bottom w:val="none" w:sz="0" w:space="0" w:color="auto"/>
        <w:right w:val="none" w:sz="0" w:space="0" w:color="auto"/>
      </w:divBdr>
    </w:div>
    <w:div w:id="1343631515">
      <w:bodyDiv w:val="1"/>
      <w:marLeft w:val="0"/>
      <w:marRight w:val="0"/>
      <w:marTop w:val="0"/>
      <w:marBottom w:val="0"/>
      <w:divBdr>
        <w:top w:val="none" w:sz="0" w:space="0" w:color="auto"/>
        <w:left w:val="none" w:sz="0" w:space="0" w:color="auto"/>
        <w:bottom w:val="none" w:sz="0" w:space="0" w:color="auto"/>
        <w:right w:val="none" w:sz="0" w:space="0" w:color="auto"/>
      </w:divBdr>
    </w:div>
    <w:div w:id="1374039273">
      <w:bodyDiv w:val="1"/>
      <w:marLeft w:val="0"/>
      <w:marRight w:val="0"/>
      <w:marTop w:val="0"/>
      <w:marBottom w:val="0"/>
      <w:divBdr>
        <w:top w:val="none" w:sz="0" w:space="0" w:color="auto"/>
        <w:left w:val="none" w:sz="0" w:space="0" w:color="auto"/>
        <w:bottom w:val="none" w:sz="0" w:space="0" w:color="auto"/>
        <w:right w:val="none" w:sz="0" w:space="0" w:color="auto"/>
      </w:divBdr>
    </w:div>
    <w:div w:id="1435831699">
      <w:bodyDiv w:val="1"/>
      <w:marLeft w:val="0"/>
      <w:marRight w:val="0"/>
      <w:marTop w:val="0"/>
      <w:marBottom w:val="0"/>
      <w:divBdr>
        <w:top w:val="none" w:sz="0" w:space="0" w:color="auto"/>
        <w:left w:val="none" w:sz="0" w:space="0" w:color="auto"/>
        <w:bottom w:val="none" w:sz="0" w:space="0" w:color="auto"/>
        <w:right w:val="none" w:sz="0" w:space="0" w:color="auto"/>
      </w:divBdr>
    </w:div>
    <w:div w:id="1448504009">
      <w:bodyDiv w:val="1"/>
      <w:marLeft w:val="0"/>
      <w:marRight w:val="0"/>
      <w:marTop w:val="0"/>
      <w:marBottom w:val="0"/>
      <w:divBdr>
        <w:top w:val="none" w:sz="0" w:space="0" w:color="auto"/>
        <w:left w:val="none" w:sz="0" w:space="0" w:color="auto"/>
        <w:bottom w:val="none" w:sz="0" w:space="0" w:color="auto"/>
        <w:right w:val="none" w:sz="0" w:space="0" w:color="auto"/>
      </w:divBdr>
    </w:div>
    <w:div w:id="1476873197">
      <w:bodyDiv w:val="1"/>
      <w:marLeft w:val="0"/>
      <w:marRight w:val="0"/>
      <w:marTop w:val="0"/>
      <w:marBottom w:val="0"/>
      <w:divBdr>
        <w:top w:val="none" w:sz="0" w:space="0" w:color="auto"/>
        <w:left w:val="none" w:sz="0" w:space="0" w:color="auto"/>
        <w:bottom w:val="none" w:sz="0" w:space="0" w:color="auto"/>
        <w:right w:val="none" w:sz="0" w:space="0" w:color="auto"/>
      </w:divBdr>
    </w:div>
    <w:div w:id="1478649510">
      <w:bodyDiv w:val="1"/>
      <w:marLeft w:val="0"/>
      <w:marRight w:val="0"/>
      <w:marTop w:val="0"/>
      <w:marBottom w:val="0"/>
      <w:divBdr>
        <w:top w:val="none" w:sz="0" w:space="0" w:color="auto"/>
        <w:left w:val="none" w:sz="0" w:space="0" w:color="auto"/>
        <w:bottom w:val="none" w:sz="0" w:space="0" w:color="auto"/>
        <w:right w:val="none" w:sz="0" w:space="0" w:color="auto"/>
      </w:divBdr>
    </w:div>
    <w:div w:id="1546605126">
      <w:bodyDiv w:val="1"/>
      <w:marLeft w:val="0"/>
      <w:marRight w:val="0"/>
      <w:marTop w:val="0"/>
      <w:marBottom w:val="0"/>
      <w:divBdr>
        <w:top w:val="none" w:sz="0" w:space="0" w:color="auto"/>
        <w:left w:val="none" w:sz="0" w:space="0" w:color="auto"/>
        <w:bottom w:val="none" w:sz="0" w:space="0" w:color="auto"/>
        <w:right w:val="none" w:sz="0" w:space="0" w:color="auto"/>
      </w:divBdr>
    </w:div>
    <w:div w:id="1565221071">
      <w:bodyDiv w:val="1"/>
      <w:marLeft w:val="0"/>
      <w:marRight w:val="0"/>
      <w:marTop w:val="0"/>
      <w:marBottom w:val="0"/>
      <w:divBdr>
        <w:top w:val="none" w:sz="0" w:space="0" w:color="auto"/>
        <w:left w:val="none" w:sz="0" w:space="0" w:color="auto"/>
        <w:bottom w:val="none" w:sz="0" w:space="0" w:color="auto"/>
        <w:right w:val="none" w:sz="0" w:space="0" w:color="auto"/>
      </w:divBdr>
    </w:div>
    <w:div w:id="1614895685">
      <w:bodyDiv w:val="1"/>
      <w:marLeft w:val="0"/>
      <w:marRight w:val="0"/>
      <w:marTop w:val="0"/>
      <w:marBottom w:val="0"/>
      <w:divBdr>
        <w:top w:val="none" w:sz="0" w:space="0" w:color="auto"/>
        <w:left w:val="none" w:sz="0" w:space="0" w:color="auto"/>
        <w:bottom w:val="none" w:sz="0" w:space="0" w:color="auto"/>
        <w:right w:val="none" w:sz="0" w:space="0" w:color="auto"/>
      </w:divBdr>
    </w:div>
    <w:div w:id="1649939794">
      <w:bodyDiv w:val="1"/>
      <w:marLeft w:val="0"/>
      <w:marRight w:val="0"/>
      <w:marTop w:val="0"/>
      <w:marBottom w:val="0"/>
      <w:divBdr>
        <w:top w:val="none" w:sz="0" w:space="0" w:color="auto"/>
        <w:left w:val="none" w:sz="0" w:space="0" w:color="auto"/>
        <w:bottom w:val="none" w:sz="0" w:space="0" w:color="auto"/>
        <w:right w:val="none" w:sz="0" w:space="0" w:color="auto"/>
      </w:divBdr>
    </w:div>
    <w:div w:id="1705250993">
      <w:bodyDiv w:val="1"/>
      <w:marLeft w:val="0"/>
      <w:marRight w:val="0"/>
      <w:marTop w:val="0"/>
      <w:marBottom w:val="0"/>
      <w:divBdr>
        <w:top w:val="none" w:sz="0" w:space="0" w:color="auto"/>
        <w:left w:val="none" w:sz="0" w:space="0" w:color="auto"/>
        <w:bottom w:val="none" w:sz="0" w:space="0" w:color="auto"/>
        <w:right w:val="none" w:sz="0" w:space="0" w:color="auto"/>
      </w:divBdr>
    </w:div>
    <w:div w:id="1708094531">
      <w:bodyDiv w:val="1"/>
      <w:marLeft w:val="0"/>
      <w:marRight w:val="0"/>
      <w:marTop w:val="0"/>
      <w:marBottom w:val="0"/>
      <w:divBdr>
        <w:top w:val="none" w:sz="0" w:space="0" w:color="auto"/>
        <w:left w:val="none" w:sz="0" w:space="0" w:color="auto"/>
        <w:bottom w:val="none" w:sz="0" w:space="0" w:color="auto"/>
        <w:right w:val="none" w:sz="0" w:space="0" w:color="auto"/>
      </w:divBdr>
    </w:div>
    <w:div w:id="1728602867">
      <w:bodyDiv w:val="1"/>
      <w:marLeft w:val="0"/>
      <w:marRight w:val="0"/>
      <w:marTop w:val="0"/>
      <w:marBottom w:val="0"/>
      <w:divBdr>
        <w:top w:val="none" w:sz="0" w:space="0" w:color="auto"/>
        <w:left w:val="none" w:sz="0" w:space="0" w:color="auto"/>
        <w:bottom w:val="none" w:sz="0" w:space="0" w:color="auto"/>
        <w:right w:val="none" w:sz="0" w:space="0" w:color="auto"/>
      </w:divBdr>
    </w:div>
    <w:div w:id="1730808157">
      <w:bodyDiv w:val="1"/>
      <w:marLeft w:val="0"/>
      <w:marRight w:val="0"/>
      <w:marTop w:val="0"/>
      <w:marBottom w:val="0"/>
      <w:divBdr>
        <w:top w:val="none" w:sz="0" w:space="0" w:color="auto"/>
        <w:left w:val="none" w:sz="0" w:space="0" w:color="auto"/>
        <w:bottom w:val="none" w:sz="0" w:space="0" w:color="auto"/>
        <w:right w:val="none" w:sz="0" w:space="0" w:color="auto"/>
      </w:divBdr>
    </w:div>
    <w:div w:id="1738015911">
      <w:bodyDiv w:val="1"/>
      <w:marLeft w:val="0"/>
      <w:marRight w:val="0"/>
      <w:marTop w:val="0"/>
      <w:marBottom w:val="0"/>
      <w:divBdr>
        <w:top w:val="none" w:sz="0" w:space="0" w:color="auto"/>
        <w:left w:val="none" w:sz="0" w:space="0" w:color="auto"/>
        <w:bottom w:val="none" w:sz="0" w:space="0" w:color="auto"/>
        <w:right w:val="none" w:sz="0" w:space="0" w:color="auto"/>
      </w:divBdr>
    </w:div>
    <w:div w:id="1757629857">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09278564">
      <w:bodyDiv w:val="1"/>
      <w:marLeft w:val="0"/>
      <w:marRight w:val="0"/>
      <w:marTop w:val="0"/>
      <w:marBottom w:val="0"/>
      <w:divBdr>
        <w:top w:val="none" w:sz="0" w:space="0" w:color="auto"/>
        <w:left w:val="none" w:sz="0" w:space="0" w:color="auto"/>
        <w:bottom w:val="none" w:sz="0" w:space="0" w:color="auto"/>
        <w:right w:val="none" w:sz="0" w:space="0" w:color="auto"/>
      </w:divBdr>
    </w:div>
    <w:div w:id="1831091463">
      <w:bodyDiv w:val="1"/>
      <w:marLeft w:val="0"/>
      <w:marRight w:val="0"/>
      <w:marTop w:val="0"/>
      <w:marBottom w:val="0"/>
      <w:divBdr>
        <w:top w:val="none" w:sz="0" w:space="0" w:color="auto"/>
        <w:left w:val="none" w:sz="0" w:space="0" w:color="auto"/>
        <w:bottom w:val="none" w:sz="0" w:space="0" w:color="auto"/>
        <w:right w:val="none" w:sz="0" w:space="0" w:color="auto"/>
      </w:divBdr>
    </w:div>
    <w:div w:id="1938323484">
      <w:bodyDiv w:val="1"/>
      <w:marLeft w:val="0"/>
      <w:marRight w:val="0"/>
      <w:marTop w:val="0"/>
      <w:marBottom w:val="0"/>
      <w:divBdr>
        <w:top w:val="none" w:sz="0" w:space="0" w:color="auto"/>
        <w:left w:val="none" w:sz="0" w:space="0" w:color="auto"/>
        <w:bottom w:val="none" w:sz="0" w:space="0" w:color="auto"/>
        <w:right w:val="none" w:sz="0" w:space="0" w:color="auto"/>
      </w:divBdr>
    </w:div>
    <w:div w:id="1949972107">
      <w:bodyDiv w:val="1"/>
      <w:marLeft w:val="0"/>
      <w:marRight w:val="0"/>
      <w:marTop w:val="0"/>
      <w:marBottom w:val="0"/>
      <w:divBdr>
        <w:top w:val="none" w:sz="0" w:space="0" w:color="auto"/>
        <w:left w:val="none" w:sz="0" w:space="0" w:color="auto"/>
        <w:bottom w:val="none" w:sz="0" w:space="0" w:color="auto"/>
        <w:right w:val="none" w:sz="0" w:space="0" w:color="auto"/>
      </w:divBdr>
    </w:div>
    <w:div w:id="1984265178">
      <w:bodyDiv w:val="1"/>
      <w:marLeft w:val="0"/>
      <w:marRight w:val="0"/>
      <w:marTop w:val="0"/>
      <w:marBottom w:val="0"/>
      <w:divBdr>
        <w:top w:val="none" w:sz="0" w:space="0" w:color="auto"/>
        <w:left w:val="none" w:sz="0" w:space="0" w:color="auto"/>
        <w:bottom w:val="none" w:sz="0" w:space="0" w:color="auto"/>
        <w:right w:val="none" w:sz="0" w:space="0" w:color="auto"/>
      </w:divBdr>
    </w:div>
    <w:div w:id="1992833625">
      <w:bodyDiv w:val="1"/>
      <w:marLeft w:val="0"/>
      <w:marRight w:val="0"/>
      <w:marTop w:val="0"/>
      <w:marBottom w:val="0"/>
      <w:divBdr>
        <w:top w:val="none" w:sz="0" w:space="0" w:color="auto"/>
        <w:left w:val="none" w:sz="0" w:space="0" w:color="auto"/>
        <w:bottom w:val="none" w:sz="0" w:space="0" w:color="auto"/>
        <w:right w:val="none" w:sz="0" w:space="0" w:color="auto"/>
      </w:divBdr>
    </w:div>
    <w:div w:id="2013221042">
      <w:bodyDiv w:val="1"/>
      <w:marLeft w:val="0"/>
      <w:marRight w:val="0"/>
      <w:marTop w:val="0"/>
      <w:marBottom w:val="0"/>
      <w:divBdr>
        <w:top w:val="none" w:sz="0" w:space="0" w:color="auto"/>
        <w:left w:val="none" w:sz="0" w:space="0" w:color="auto"/>
        <w:bottom w:val="none" w:sz="0" w:space="0" w:color="auto"/>
        <w:right w:val="none" w:sz="0" w:space="0" w:color="auto"/>
      </w:divBdr>
    </w:div>
    <w:div w:id="2065249314">
      <w:bodyDiv w:val="1"/>
      <w:marLeft w:val="0"/>
      <w:marRight w:val="0"/>
      <w:marTop w:val="0"/>
      <w:marBottom w:val="0"/>
      <w:divBdr>
        <w:top w:val="none" w:sz="0" w:space="0" w:color="auto"/>
        <w:left w:val="none" w:sz="0" w:space="0" w:color="auto"/>
        <w:bottom w:val="none" w:sz="0" w:space="0" w:color="auto"/>
        <w:right w:val="none" w:sz="0" w:space="0" w:color="auto"/>
      </w:divBdr>
    </w:div>
    <w:div w:id="2072578038">
      <w:bodyDiv w:val="1"/>
      <w:marLeft w:val="0"/>
      <w:marRight w:val="0"/>
      <w:marTop w:val="0"/>
      <w:marBottom w:val="0"/>
      <w:divBdr>
        <w:top w:val="none" w:sz="0" w:space="0" w:color="auto"/>
        <w:left w:val="none" w:sz="0" w:space="0" w:color="auto"/>
        <w:bottom w:val="none" w:sz="0" w:space="0" w:color="auto"/>
        <w:right w:val="none" w:sz="0" w:space="0" w:color="auto"/>
      </w:divBdr>
    </w:div>
    <w:div w:id="2098666789">
      <w:bodyDiv w:val="1"/>
      <w:marLeft w:val="0"/>
      <w:marRight w:val="0"/>
      <w:marTop w:val="0"/>
      <w:marBottom w:val="0"/>
      <w:divBdr>
        <w:top w:val="none" w:sz="0" w:space="0" w:color="auto"/>
        <w:left w:val="none" w:sz="0" w:space="0" w:color="auto"/>
        <w:bottom w:val="none" w:sz="0" w:space="0" w:color="auto"/>
        <w:right w:val="none" w:sz="0" w:space="0" w:color="auto"/>
      </w:divBdr>
    </w:div>
    <w:div w:id="2109811343">
      <w:bodyDiv w:val="1"/>
      <w:marLeft w:val="0"/>
      <w:marRight w:val="0"/>
      <w:marTop w:val="0"/>
      <w:marBottom w:val="0"/>
      <w:divBdr>
        <w:top w:val="none" w:sz="0" w:space="0" w:color="auto"/>
        <w:left w:val="none" w:sz="0" w:space="0" w:color="auto"/>
        <w:bottom w:val="none" w:sz="0" w:space="0" w:color="auto"/>
        <w:right w:val="none" w:sz="0" w:space="0" w:color="auto"/>
      </w:divBdr>
    </w:div>
    <w:div w:id="21451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BE11-79C7-4FF8-8956-7A14AEE9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2152</Words>
  <Characters>11840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Danesy</dc:creator>
  <cp:lastModifiedBy>Jennifer Estefany Millan Flores</cp:lastModifiedBy>
  <cp:revision>5</cp:revision>
  <cp:lastPrinted>2018-03-12T16:16:00Z</cp:lastPrinted>
  <dcterms:created xsi:type="dcterms:W3CDTF">2018-02-14T19:32:00Z</dcterms:created>
  <dcterms:modified xsi:type="dcterms:W3CDTF">2018-03-13T17:46:00Z</dcterms:modified>
</cp:coreProperties>
</file>