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D7" w:rsidRPr="00BC7BD7" w:rsidRDefault="00B6165C" w:rsidP="00BC7BD7">
      <w:pPr>
        <w:spacing w:line="240" w:lineRule="auto"/>
        <w:jc w:val="center"/>
        <w:rPr>
          <w:rFonts w:cstheme="minorHAnsi"/>
          <w:b/>
          <w:sz w:val="20"/>
          <w:szCs w:val="20"/>
        </w:rPr>
      </w:pPr>
      <w:bookmarkStart w:id="0" w:name="_GoBack"/>
      <w:bookmarkEnd w:id="0"/>
      <w:r>
        <w:rPr>
          <w:rFonts w:cstheme="minorHAnsi"/>
          <w:b/>
          <w:sz w:val="20"/>
          <w:szCs w:val="20"/>
        </w:rPr>
        <w:t>Cuenta Pública 2017</w:t>
      </w:r>
    </w:p>
    <w:p w:rsidR="00BC7BD7" w:rsidRPr="00BC7BD7" w:rsidRDefault="00BC7BD7" w:rsidP="00BC7BD7">
      <w:pPr>
        <w:spacing w:line="240" w:lineRule="auto"/>
        <w:jc w:val="center"/>
        <w:rPr>
          <w:rFonts w:cstheme="minorHAnsi"/>
          <w:b/>
          <w:sz w:val="20"/>
          <w:szCs w:val="20"/>
        </w:rPr>
      </w:pPr>
      <w:r w:rsidRPr="00BC7BD7">
        <w:rPr>
          <w:rFonts w:cstheme="minorHAnsi"/>
          <w:b/>
          <w:sz w:val="20"/>
          <w:szCs w:val="20"/>
        </w:rPr>
        <w:t>Notas a los Estados Financieros</w:t>
      </w:r>
    </w:p>
    <w:p w:rsidR="00BC7BD7" w:rsidRPr="00BC7BD7" w:rsidRDefault="00B6165C" w:rsidP="00BC7BD7">
      <w:pPr>
        <w:spacing w:line="240" w:lineRule="auto"/>
        <w:jc w:val="center"/>
        <w:rPr>
          <w:rFonts w:cstheme="minorHAnsi"/>
          <w:b/>
          <w:sz w:val="20"/>
          <w:szCs w:val="20"/>
        </w:rPr>
      </w:pPr>
      <w:r>
        <w:rPr>
          <w:rFonts w:cstheme="minorHAnsi"/>
          <w:b/>
          <w:sz w:val="20"/>
          <w:szCs w:val="20"/>
        </w:rPr>
        <w:t>Al 31 de Diciembre de 2017</w:t>
      </w:r>
    </w:p>
    <w:p w:rsidR="00BC7BD7" w:rsidRPr="00BC7BD7" w:rsidRDefault="00BC7BD7" w:rsidP="00BC7BD7">
      <w:pPr>
        <w:spacing w:line="240" w:lineRule="auto"/>
        <w:jc w:val="center"/>
        <w:rPr>
          <w:rFonts w:cstheme="minorHAnsi"/>
          <w:b/>
          <w:sz w:val="20"/>
          <w:szCs w:val="20"/>
        </w:rPr>
      </w:pPr>
      <w:r w:rsidRPr="00BC7BD7">
        <w:rPr>
          <w:rFonts w:cstheme="minorHAnsi"/>
          <w:b/>
          <w:sz w:val="20"/>
          <w:szCs w:val="20"/>
        </w:rPr>
        <w:t>(Pesos)</w:t>
      </w:r>
    </w:p>
    <w:p w:rsidR="00BC7BD7" w:rsidRPr="00BC7BD7" w:rsidRDefault="00BC7BD7" w:rsidP="00BC7BD7">
      <w:pPr>
        <w:spacing w:line="240" w:lineRule="auto"/>
        <w:rPr>
          <w:rFonts w:cstheme="minorHAnsi"/>
          <w:b/>
          <w:sz w:val="20"/>
          <w:szCs w:val="20"/>
        </w:rPr>
      </w:pPr>
    </w:p>
    <w:p w:rsidR="00BC7BD7" w:rsidRPr="00BC7BD7" w:rsidRDefault="00BC7BD7" w:rsidP="00BC7BD7">
      <w:pPr>
        <w:spacing w:line="240" w:lineRule="auto"/>
        <w:rPr>
          <w:rFonts w:cstheme="minorHAnsi"/>
          <w:b/>
          <w:sz w:val="20"/>
          <w:szCs w:val="20"/>
        </w:rPr>
      </w:pPr>
      <w:r w:rsidRPr="00BC7BD7">
        <w:rPr>
          <w:rFonts w:cstheme="minorHAnsi"/>
          <w:b/>
          <w:sz w:val="20"/>
          <w:szCs w:val="20"/>
        </w:rPr>
        <w:t>Ente Público</w:t>
      </w:r>
      <w:proofErr w:type="gramStart"/>
      <w:r w:rsidRPr="00BC7BD7">
        <w:rPr>
          <w:rFonts w:cstheme="minorHAnsi"/>
          <w:b/>
          <w:sz w:val="20"/>
          <w:szCs w:val="20"/>
        </w:rPr>
        <w:t xml:space="preserve">:  </w:t>
      </w:r>
      <w:r w:rsidR="008846A5">
        <w:rPr>
          <w:rFonts w:cs="Arial"/>
          <w:b/>
          <w:sz w:val="20"/>
          <w:szCs w:val="20"/>
        </w:rPr>
        <w:t>FIDEICOMISO</w:t>
      </w:r>
      <w:proofErr w:type="gramEnd"/>
      <w:r w:rsidR="008846A5">
        <w:rPr>
          <w:rFonts w:cs="Arial"/>
          <w:b/>
          <w:sz w:val="20"/>
          <w:szCs w:val="20"/>
        </w:rPr>
        <w:t xml:space="preserve"> PROYECTO PUESTA EN MARCHA Y CONSTRUCCIÓN DE LA FASE A DE LA PRIMERA ETAPA DEL CENTRO DE CARGAS AEROPUERTARIO DE VALLADOLID</w:t>
      </w:r>
      <w:r w:rsidRPr="00BC7BD7">
        <w:rPr>
          <w:rFonts w:cstheme="minorHAnsi"/>
          <w:b/>
          <w:sz w:val="20"/>
          <w:szCs w:val="20"/>
        </w:rPr>
        <w:t xml:space="preserve"> </w:t>
      </w:r>
    </w:p>
    <w:tbl>
      <w:tblPr>
        <w:tblpPr w:leftFromText="141" w:rightFromText="141" w:vertAnchor="page" w:horzAnchor="margin" w:tblpY="5791"/>
        <w:tblW w:w="12081" w:type="dxa"/>
        <w:tblCellMar>
          <w:left w:w="70" w:type="dxa"/>
          <w:right w:w="70" w:type="dxa"/>
        </w:tblCellMar>
        <w:tblLook w:val="04A0" w:firstRow="1" w:lastRow="0" w:firstColumn="1" w:lastColumn="0" w:noHBand="0" w:noVBand="1"/>
      </w:tblPr>
      <w:tblGrid>
        <w:gridCol w:w="146"/>
        <w:gridCol w:w="2154"/>
        <w:gridCol w:w="3038"/>
        <w:gridCol w:w="2571"/>
        <w:gridCol w:w="186"/>
        <w:gridCol w:w="186"/>
        <w:gridCol w:w="3508"/>
        <w:gridCol w:w="146"/>
        <w:gridCol w:w="146"/>
      </w:tblGrid>
      <w:tr w:rsidR="00B2766F" w:rsidRPr="00BC7BD7" w:rsidTr="00B2766F">
        <w:trPr>
          <w:trHeight w:val="439"/>
        </w:trPr>
        <w:tc>
          <w:tcPr>
            <w:tcW w:w="12081" w:type="dxa"/>
            <w:gridSpan w:val="9"/>
            <w:tcBorders>
              <w:top w:val="nil"/>
              <w:left w:val="nil"/>
              <w:bottom w:val="nil"/>
              <w:right w:val="nil"/>
            </w:tcBorders>
            <w:shd w:val="clear" w:color="auto" w:fill="auto"/>
            <w:hideMark/>
          </w:tcPr>
          <w:p w:rsidR="00B2766F" w:rsidRPr="00BC7BD7" w:rsidRDefault="00B2766F" w:rsidP="005D1EB4">
            <w:pPr>
              <w:spacing w:after="0" w:line="240" w:lineRule="auto"/>
              <w:jc w:val="both"/>
              <w:rPr>
                <w:rFonts w:eastAsia="Times New Roman" w:cs="Arial"/>
                <w:sz w:val="20"/>
                <w:szCs w:val="20"/>
                <w:lang w:eastAsia="es-MX"/>
              </w:rPr>
            </w:pPr>
            <w:r w:rsidRPr="00BC7BD7">
              <w:rPr>
                <w:rFonts w:eastAsia="Times New Roman" w:cs="Arial"/>
                <w:sz w:val="20"/>
                <w:szCs w:val="20"/>
                <w:lang w:eastAsia="es-MX"/>
              </w:rPr>
              <w:t>Este rubro está integrado por</w:t>
            </w:r>
            <w:r w:rsidR="005D1EB4">
              <w:rPr>
                <w:rFonts w:eastAsia="Times New Roman" w:cs="Arial"/>
                <w:sz w:val="20"/>
                <w:szCs w:val="20"/>
                <w:lang w:eastAsia="es-MX"/>
              </w:rPr>
              <w:t xml:space="preserve"> las cuentas bancarias del Fideicomiso Irrevocable de Administración y fuente de Pago 2003626</w:t>
            </w:r>
            <w:r w:rsidRPr="00BC7BD7">
              <w:rPr>
                <w:rFonts w:eastAsia="Times New Roman" w:cs="Arial"/>
                <w:sz w:val="20"/>
                <w:szCs w:val="20"/>
                <w:lang w:eastAsia="es-MX"/>
              </w:rPr>
              <w:t xml:space="preserve"> y se desglosa de la siguiente manera:</w:t>
            </w:r>
          </w:p>
        </w:tc>
      </w:tr>
      <w:tr w:rsidR="00B2766F" w:rsidRPr="00BC7BD7" w:rsidTr="00B2766F">
        <w:trPr>
          <w:trHeight w:val="214"/>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164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766F" w:rsidRPr="00BC7BD7" w:rsidRDefault="00B2766F" w:rsidP="00B2766F">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CUENTAS DE CHEQUES</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14"/>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single" w:sz="8" w:space="0" w:color="auto"/>
              <w:bottom w:val="single" w:sz="8" w:space="0" w:color="auto"/>
              <w:right w:val="single" w:sz="8" w:space="0" w:color="auto"/>
            </w:tcBorders>
            <w:shd w:val="clear" w:color="auto" w:fill="auto"/>
            <w:noWrap/>
            <w:vAlign w:val="bottom"/>
            <w:hideMark/>
          </w:tcPr>
          <w:p w:rsidR="00B2766F" w:rsidRPr="00BC7BD7" w:rsidRDefault="00B2766F" w:rsidP="00B2766F">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 Cuenta</w:t>
            </w:r>
          </w:p>
        </w:tc>
        <w:tc>
          <w:tcPr>
            <w:tcW w:w="3038" w:type="dxa"/>
            <w:tcBorders>
              <w:top w:val="nil"/>
              <w:left w:val="nil"/>
              <w:bottom w:val="single" w:sz="8" w:space="0" w:color="auto"/>
              <w:right w:val="single" w:sz="8" w:space="0" w:color="auto"/>
            </w:tcBorders>
            <w:shd w:val="clear" w:color="auto" w:fill="auto"/>
            <w:noWrap/>
            <w:vAlign w:val="bottom"/>
            <w:hideMark/>
          </w:tcPr>
          <w:p w:rsidR="00B2766F" w:rsidRPr="00BC7BD7" w:rsidRDefault="00B2766F" w:rsidP="00B2766F">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Banco</w:t>
            </w:r>
          </w:p>
        </w:tc>
        <w:tc>
          <w:tcPr>
            <w:tcW w:w="294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B2766F" w:rsidRPr="00BC7BD7" w:rsidRDefault="00B2766F" w:rsidP="00B2766F">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Programa</w:t>
            </w:r>
          </w:p>
        </w:tc>
        <w:tc>
          <w:tcPr>
            <w:tcW w:w="3508" w:type="dxa"/>
            <w:tcBorders>
              <w:top w:val="nil"/>
              <w:left w:val="nil"/>
              <w:bottom w:val="single" w:sz="8" w:space="0" w:color="auto"/>
              <w:right w:val="single" w:sz="8" w:space="0" w:color="auto"/>
            </w:tcBorders>
            <w:shd w:val="clear" w:color="auto" w:fill="auto"/>
            <w:noWrap/>
            <w:vAlign w:val="bottom"/>
            <w:hideMark/>
          </w:tcPr>
          <w:p w:rsidR="00B2766F" w:rsidRPr="00BC7BD7" w:rsidRDefault="00B2766F" w:rsidP="00B2766F">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Importe</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36"/>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single" w:sz="8" w:space="0" w:color="auto"/>
              <w:bottom w:val="single" w:sz="4" w:space="0" w:color="auto"/>
              <w:right w:val="single" w:sz="4" w:space="0" w:color="auto"/>
            </w:tcBorders>
            <w:shd w:val="clear" w:color="auto" w:fill="auto"/>
            <w:noWrap/>
            <w:vAlign w:val="bottom"/>
            <w:hideMark/>
          </w:tcPr>
          <w:p w:rsidR="00B2766F" w:rsidRPr="00BC7BD7" w:rsidRDefault="005D1EB4" w:rsidP="005D1EB4">
            <w:pPr>
              <w:spacing w:after="0" w:line="240" w:lineRule="auto"/>
              <w:jc w:val="right"/>
              <w:rPr>
                <w:rFonts w:eastAsia="Times New Roman" w:cs="Arial"/>
                <w:sz w:val="20"/>
                <w:szCs w:val="20"/>
                <w:lang w:eastAsia="es-MX"/>
              </w:rPr>
            </w:pPr>
            <w:r>
              <w:rPr>
                <w:rFonts w:eastAsia="Times New Roman" w:cs="Arial"/>
                <w:sz w:val="20"/>
                <w:szCs w:val="20"/>
                <w:lang w:eastAsia="es-MX"/>
              </w:rPr>
              <w:t>02003626-001</w:t>
            </w:r>
          </w:p>
        </w:tc>
        <w:tc>
          <w:tcPr>
            <w:tcW w:w="3038" w:type="dxa"/>
            <w:tcBorders>
              <w:top w:val="nil"/>
              <w:left w:val="nil"/>
              <w:bottom w:val="single" w:sz="4" w:space="0" w:color="auto"/>
              <w:right w:val="single" w:sz="4" w:space="0" w:color="auto"/>
            </w:tcBorders>
            <w:shd w:val="clear" w:color="auto" w:fill="auto"/>
            <w:noWrap/>
            <w:vAlign w:val="bottom"/>
            <w:hideMark/>
          </w:tcPr>
          <w:p w:rsidR="00B2766F" w:rsidRPr="00BC7BD7" w:rsidRDefault="005D1EB4" w:rsidP="00B2766F">
            <w:pPr>
              <w:spacing w:after="0" w:line="240" w:lineRule="auto"/>
              <w:rPr>
                <w:rFonts w:eastAsia="Times New Roman" w:cs="Arial"/>
                <w:sz w:val="20"/>
                <w:szCs w:val="20"/>
                <w:lang w:eastAsia="es-MX"/>
              </w:rPr>
            </w:pPr>
            <w:r>
              <w:rPr>
                <w:rFonts w:eastAsia="Times New Roman" w:cs="Arial"/>
                <w:sz w:val="20"/>
                <w:szCs w:val="20"/>
                <w:lang w:eastAsia="es-MX"/>
              </w:rPr>
              <w:t>Banco Santander, S.A.</w:t>
            </w:r>
          </w:p>
        </w:tc>
        <w:tc>
          <w:tcPr>
            <w:tcW w:w="2571" w:type="dxa"/>
            <w:tcBorders>
              <w:top w:val="nil"/>
              <w:left w:val="nil"/>
              <w:bottom w:val="single" w:sz="4" w:space="0" w:color="auto"/>
              <w:right w:val="nil"/>
            </w:tcBorders>
            <w:shd w:val="clear" w:color="auto" w:fill="auto"/>
            <w:noWrap/>
            <w:vAlign w:val="bottom"/>
            <w:hideMark/>
          </w:tcPr>
          <w:p w:rsidR="00B2766F" w:rsidRPr="00BC7BD7" w:rsidRDefault="005D1EB4" w:rsidP="00B2766F">
            <w:pPr>
              <w:spacing w:after="0" w:line="240" w:lineRule="auto"/>
              <w:rPr>
                <w:rFonts w:eastAsia="Times New Roman" w:cs="Arial"/>
                <w:sz w:val="20"/>
                <w:szCs w:val="20"/>
                <w:lang w:eastAsia="es-MX"/>
              </w:rPr>
            </w:pPr>
            <w:r>
              <w:rPr>
                <w:rFonts w:eastAsia="Times New Roman" w:cs="Arial"/>
                <w:sz w:val="20"/>
                <w:szCs w:val="20"/>
                <w:lang w:eastAsia="es-MX"/>
              </w:rPr>
              <w:t>FIDEICOMISO CCAV 2003626</w:t>
            </w:r>
          </w:p>
        </w:tc>
        <w:tc>
          <w:tcPr>
            <w:tcW w:w="186" w:type="dxa"/>
            <w:tcBorders>
              <w:top w:val="nil"/>
              <w:left w:val="nil"/>
              <w:bottom w:val="single" w:sz="4" w:space="0" w:color="auto"/>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186"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3508" w:type="dxa"/>
            <w:tcBorders>
              <w:top w:val="nil"/>
              <w:left w:val="nil"/>
              <w:bottom w:val="single" w:sz="4" w:space="0" w:color="auto"/>
              <w:right w:val="single" w:sz="8" w:space="0" w:color="auto"/>
            </w:tcBorders>
            <w:shd w:val="clear" w:color="auto" w:fill="auto"/>
            <w:noWrap/>
            <w:vAlign w:val="bottom"/>
            <w:hideMark/>
          </w:tcPr>
          <w:p w:rsidR="00B2766F" w:rsidRPr="00BC7BD7" w:rsidRDefault="00B2766F" w:rsidP="005D1EB4">
            <w:pPr>
              <w:spacing w:after="0" w:line="240" w:lineRule="auto"/>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w:t>
            </w:r>
            <w:r w:rsidR="005D1EB4">
              <w:rPr>
                <w:rFonts w:eastAsia="Times New Roman" w:cs="Times New Roman"/>
                <w:color w:val="000000"/>
                <w:sz w:val="20"/>
                <w:szCs w:val="20"/>
                <w:lang w:eastAsia="es-MX"/>
              </w:rPr>
              <w:t xml:space="preserve">      1,635.78</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36"/>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single" w:sz="8" w:space="0" w:color="auto"/>
              <w:bottom w:val="single" w:sz="4" w:space="0" w:color="auto"/>
              <w:right w:val="single" w:sz="4" w:space="0" w:color="auto"/>
            </w:tcBorders>
            <w:shd w:val="clear" w:color="auto" w:fill="auto"/>
            <w:noWrap/>
            <w:vAlign w:val="bottom"/>
            <w:hideMark/>
          </w:tcPr>
          <w:p w:rsidR="00B2766F" w:rsidRPr="00BC7BD7" w:rsidRDefault="005D1EB4" w:rsidP="00B2766F">
            <w:pPr>
              <w:spacing w:after="0" w:line="240" w:lineRule="auto"/>
              <w:jc w:val="right"/>
              <w:rPr>
                <w:rFonts w:eastAsia="Times New Roman" w:cs="Arial"/>
                <w:sz w:val="20"/>
                <w:szCs w:val="20"/>
                <w:lang w:eastAsia="es-MX"/>
              </w:rPr>
            </w:pPr>
            <w:r>
              <w:rPr>
                <w:rFonts w:eastAsia="Times New Roman" w:cs="Arial"/>
                <w:sz w:val="20"/>
                <w:szCs w:val="20"/>
                <w:lang w:eastAsia="es-MX"/>
              </w:rPr>
              <w:t>02003626-02</w:t>
            </w:r>
          </w:p>
        </w:tc>
        <w:tc>
          <w:tcPr>
            <w:tcW w:w="3038" w:type="dxa"/>
            <w:tcBorders>
              <w:top w:val="nil"/>
              <w:left w:val="nil"/>
              <w:bottom w:val="single" w:sz="4" w:space="0" w:color="auto"/>
              <w:right w:val="single" w:sz="4" w:space="0" w:color="auto"/>
            </w:tcBorders>
            <w:shd w:val="clear" w:color="auto" w:fill="auto"/>
            <w:noWrap/>
            <w:vAlign w:val="bottom"/>
            <w:hideMark/>
          </w:tcPr>
          <w:p w:rsidR="00B2766F" w:rsidRPr="00BC7BD7" w:rsidRDefault="005D1EB4" w:rsidP="00B2766F">
            <w:pPr>
              <w:spacing w:after="0" w:line="240" w:lineRule="auto"/>
              <w:rPr>
                <w:rFonts w:eastAsia="Times New Roman" w:cs="Arial"/>
                <w:sz w:val="20"/>
                <w:szCs w:val="20"/>
                <w:lang w:eastAsia="es-MX"/>
              </w:rPr>
            </w:pPr>
            <w:r>
              <w:rPr>
                <w:rFonts w:eastAsia="Times New Roman" w:cs="Arial"/>
                <w:sz w:val="20"/>
                <w:szCs w:val="20"/>
                <w:lang w:eastAsia="es-MX"/>
              </w:rPr>
              <w:t>Banco Santander, S.A.</w:t>
            </w:r>
          </w:p>
        </w:tc>
        <w:tc>
          <w:tcPr>
            <w:tcW w:w="2571" w:type="dxa"/>
            <w:tcBorders>
              <w:top w:val="nil"/>
              <w:left w:val="nil"/>
              <w:bottom w:val="single" w:sz="4" w:space="0" w:color="auto"/>
              <w:right w:val="nil"/>
            </w:tcBorders>
            <w:shd w:val="clear" w:color="auto" w:fill="auto"/>
            <w:noWrap/>
            <w:vAlign w:val="bottom"/>
            <w:hideMark/>
          </w:tcPr>
          <w:p w:rsidR="00B2766F" w:rsidRPr="00BC7BD7" w:rsidRDefault="005D1EB4" w:rsidP="00B2766F">
            <w:pPr>
              <w:spacing w:after="0" w:line="240" w:lineRule="auto"/>
              <w:rPr>
                <w:rFonts w:eastAsia="Times New Roman" w:cs="Arial"/>
                <w:sz w:val="20"/>
                <w:szCs w:val="20"/>
                <w:lang w:eastAsia="es-MX"/>
              </w:rPr>
            </w:pPr>
            <w:r>
              <w:rPr>
                <w:rFonts w:eastAsia="Times New Roman" w:cs="Arial"/>
                <w:sz w:val="20"/>
                <w:szCs w:val="20"/>
                <w:lang w:eastAsia="es-MX"/>
              </w:rPr>
              <w:t>FIDEICOMISO CCAV 2003626</w:t>
            </w:r>
          </w:p>
        </w:tc>
        <w:tc>
          <w:tcPr>
            <w:tcW w:w="186" w:type="dxa"/>
            <w:tcBorders>
              <w:top w:val="nil"/>
              <w:left w:val="nil"/>
              <w:bottom w:val="single" w:sz="4" w:space="0" w:color="auto"/>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186"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3508" w:type="dxa"/>
            <w:tcBorders>
              <w:top w:val="nil"/>
              <w:left w:val="nil"/>
              <w:bottom w:val="single" w:sz="4" w:space="0" w:color="auto"/>
              <w:right w:val="single" w:sz="8" w:space="0" w:color="auto"/>
            </w:tcBorders>
            <w:shd w:val="clear" w:color="auto" w:fill="auto"/>
            <w:noWrap/>
            <w:vAlign w:val="bottom"/>
            <w:hideMark/>
          </w:tcPr>
          <w:p w:rsidR="00B2766F" w:rsidRPr="00BC7BD7" w:rsidRDefault="00F56DDD" w:rsidP="005D1EB4">
            <w:pPr>
              <w:spacing w:after="0" w:line="240" w:lineRule="auto"/>
              <w:rPr>
                <w:rFonts w:eastAsia="Times New Roman" w:cs="Times New Roman"/>
                <w:color w:val="000000"/>
                <w:sz w:val="20"/>
                <w:szCs w:val="20"/>
                <w:lang w:eastAsia="es-MX"/>
              </w:rPr>
            </w:pPr>
            <w:r>
              <w:rPr>
                <w:rFonts w:eastAsia="Times New Roman" w:cs="Times New Roman"/>
                <w:color w:val="000000"/>
                <w:sz w:val="20"/>
                <w:szCs w:val="20"/>
                <w:lang w:eastAsia="es-MX"/>
              </w:rPr>
              <w:t xml:space="preserve">           </w:t>
            </w:r>
            <w:r w:rsidR="005D1EB4">
              <w:rPr>
                <w:rFonts w:eastAsia="Times New Roman" w:cs="Times New Roman"/>
                <w:color w:val="000000"/>
                <w:sz w:val="20"/>
                <w:szCs w:val="20"/>
                <w:lang w:eastAsia="es-MX"/>
              </w:rPr>
              <w:t xml:space="preserve">  950,938.11</w:t>
            </w:r>
            <w:r w:rsidR="00B2766F" w:rsidRPr="00BC7BD7">
              <w:rPr>
                <w:rFonts w:eastAsia="Times New Roman" w:cs="Times New Roman"/>
                <w:color w:val="000000"/>
                <w:sz w:val="20"/>
                <w:szCs w:val="20"/>
                <w:lang w:eastAsia="es-MX"/>
              </w:rPr>
              <w:t xml:space="preserve"> </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36"/>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single" w:sz="8" w:space="0" w:color="auto"/>
              <w:bottom w:val="single" w:sz="4" w:space="0" w:color="auto"/>
              <w:right w:val="single" w:sz="4" w:space="0" w:color="auto"/>
            </w:tcBorders>
            <w:shd w:val="clear" w:color="auto" w:fill="auto"/>
            <w:noWrap/>
            <w:vAlign w:val="bottom"/>
            <w:hideMark/>
          </w:tcPr>
          <w:p w:rsidR="00B2766F" w:rsidRPr="00BC7BD7" w:rsidRDefault="005D1EB4" w:rsidP="00B2766F">
            <w:pPr>
              <w:spacing w:after="0" w:line="240" w:lineRule="auto"/>
              <w:jc w:val="right"/>
              <w:rPr>
                <w:rFonts w:eastAsia="Times New Roman" w:cs="Arial"/>
                <w:sz w:val="20"/>
                <w:szCs w:val="20"/>
                <w:lang w:eastAsia="es-MX"/>
              </w:rPr>
            </w:pPr>
            <w:r>
              <w:rPr>
                <w:rFonts w:eastAsia="Times New Roman" w:cs="Arial"/>
                <w:sz w:val="20"/>
                <w:szCs w:val="20"/>
                <w:lang w:eastAsia="es-MX"/>
              </w:rPr>
              <w:t>02003626-03</w:t>
            </w:r>
          </w:p>
        </w:tc>
        <w:tc>
          <w:tcPr>
            <w:tcW w:w="3038" w:type="dxa"/>
            <w:tcBorders>
              <w:top w:val="nil"/>
              <w:left w:val="nil"/>
              <w:bottom w:val="single" w:sz="4" w:space="0" w:color="auto"/>
              <w:right w:val="single" w:sz="4" w:space="0" w:color="auto"/>
            </w:tcBorders>
            <w:shd w:val="clear" w:color="auto" w:fill="auto"/>
            <w:noWrap/>
            <w:vAlign w:val="bottom"/>
            <w:hideMark/>
          </w:tcPr>
          <w:p w:rsidR="00B2766F" w:rsidRPr="00BC7BD7" w:rsidRDefault="005D1EB4" w:rsidP="00B2766F">
            <w:pPr>
              <w:spacing w:after="0" w:line="240" w:lineRule="auto"/>
              <w:rPr>
                <w:rFonts w:eastAsia="Times New Roman" w:cs="Arial"/>
                <w:sz w:val="20"/>
                <w:szCs w:val="20"/>
                <w:lang w:eastAsia="es-MX"/>
              </w:rPr>
            </w:pPr>
            <w:r>
              <w:rPr>
                <w:rFonts w:eastAsia="Times New Roman" w:cs="Arial"/>
                <w:sz w:val="20"/>
                <w:szCs w:val="20"/>
                <w:lang w:eastAsia="es-MX"/>
              </w:rPr>
              <w:t>Banco Santander, S.A.</w:t>
            </w:r>
          </w:p>
        </w:tc>
        <w:tc>
          <w:tcPr>
            <w:tcW w:w="2757" w:type="dxa"/>
            <w:gridSpan w:val="2"/>
            <w:tcBorders>
              <w:top w:val="single" w:sz="4" w:space="0" w:color="auto"/>
              <w:left w:val="single" w:sz="4" w:space="0" w:color="auto"/>
              <w:bottom w:val="single" w:sz="4" w:space="0" w:color="auto"/>
              <w:right w:val="nil"/>
            </w:tcBorders>
            <w:shd w:val="clear" w:color="auto" w:fill="auto"/>
            <w:noWrap/>
            <w:vAlign w:val="bottom"/>
            <w:hideMark/>
          </w:tcPr>
          <w:p w:rsidR="00B2766F" w:rsidRPr="00BC7BD7" w:rsidRDefault="005D1EB4" w:rsidP="00B2766F">
            <w:pPr>
              <w:spacing w:after="0" w:line="240" w:lineRule="auto"/>
              <w:rPr>
                <w:rFonts w:eastAsia="Times New Roman" w:cs="Arial"/>
                <w:sz w:val="20"/>
                <w:szCs w:val="20"/>
                <w:lang w:eastAsia="es-MX"/>
              </w:rPr>
            </w:pPr>
            <w:r>
              <w:rPr>
                <w:rFonts w:eastAsia="Times New Roman" w:cs="Arial"/>
                <w:sz w:val="20"/>
                <w:szCs w:val="20"/>
                <w:lang w:eastAsia="es-MX"/>
              </w:rPr>
              <w:t>FIDEICOMISO CCAV 2003626</w:t>
            </w:r>
          </w:p>
        </w:tc>
        <w:tc>
          <w:tcPr>
            <w:tcW w:w="186"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3508" w:type="dxa"/>
            <w:tcBorders>
              <w:top w:val="nil"/>
              <w:left w:val="nil"/>
              <w:bottom w:val="single" w:sz="4" w:space="0" w:color="auto"/>
              <w:right w:val="single" w:sz="8" w:space="0" w:color="auto"/>
            </w:tcBorders>
            <w:shd w:val="clear" w:color="auto" w:fill="auto"/>
            <w:noWrap/>
            <w:vAlign w:val="bottom"/>
            <w:hideMark/>
          </w:tcPr>
          <w:p w:rsidR="00B2766F" w:rsidRPr="00BC7BD7" w:rsidRDefault="00B2766F" w:rsidP="005D1EB4">
            <w:pPr>
              <w:spacing w:after="0" w:line="240" w:lineRule="auto"/>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w:t>
            </w:r>
            <w:r w:rsidR="005D1EB4">
              <w:rPr>
                <w:rFonts w:eastAsia="Times New Roman" w:cs="Times New Roman"/>
                <w:color w:val="000000"/>
                <w:sz w:val="20"/>
                <w:szCs w:val="20"/>
                <w:lang w:eastAsia="es-MX"/>
              </w:rPr>
              <w:t>994,782.93</w:t>
            </w:r>
            <w:r w:rsidRPr="00BC7BD7">
              <w:rPr>
                <w:rFonts w:eastAsia="Times New Roman" w:cs="Times New Roman"/>
                <w:color w:val="000000"/>
                <w:sz w:val="20"/>
                <w:szCs w:val="20"/>
                <w:lang w:eastAsia="es-MX"/>
              </w:rPr>
              <w:t xml:space="preserve"> </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36"/>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single" w:sz="8" w:space="0" w:color="auto"/>
              <w:bottom w:val="single" w:sz="4" w:space="0" w:color="auto"/>
              <w:right w:val="single" w:sz="4" w:space="0" w:color="auto"/>
            </w:tcBorders>
            <w:shd w:val="clear" w:color="auto" w:fill="auto"/>
            <w:noWrap/>
            <w:vAlign w:val="bottom"/>
            <w:hideMark/>
          </w:tcPr>
          <w:p w:rsidR="00B2766F" w:rsidRPr="00BC7BD7" w:rsidRDefault="005D1EB4" w:rsidP="00B2766F">
            <w:pPr>
              <w:spacing w:after="0" w:line="240" w:lineRule="auto"/>
              <w:jc w:val="right"/>
              <w:rPr>
                <w:rFonts w:eastAsia="Times New Roman" w:cs="Arial"/>
                <w:sz w:val="20"/>
                <w:szCs w:val="20"/>
                <w:lang w:eastAsia="es-MX"/>
              </w:rPr>
            </w:pPr>
            <w:r>
              <w:rPr>
                <w:rFonts w:eastAsia="Times New Roman" w:cs="Arial"/>
                <w:sz w:val="20"/>
                <w:szCs w:val="20"/>
                <w:lang w:eastAsia="es-MX"/>
              </w:rPr>
              <w:t>02003626-05</w:t>
            </w:r>
          </w:p>
        </w:tc>
        <w:tc>
          <w:tcPr>
            <w:tcW w:w="3038"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5D1EB4">
            <w:pPr>
              <w:spacing w:after="0" w:line="240" w:lineRule="auto"/>
              <w:rPr>
                <w:rFonts w:eastAsia="Times New Roman" w:cs="Arial"/>
                <w:sz w:val="20"/>
                <w:szCs w:val="20"/>
                <w:lang w:eastAsia="es-MX"/>
              </w:rPr>
            </w:pPr>
            <w:r w:rsidRPr="00BC7BD7">
              <w:rPr>
                <w:rFonts w:eastAsia="Times New Roman" w:cs="Arial"/>
                <w:sz w:val="20"/>
                <w:szCs w:val="20"/>
                <w:lang w:eastAsia="es-MX"/>
              </w:rPr>
              <w:t>B</w:t>
            </w:r>
            <w:r w:rsidR="005D1EB4">
              <w:rPr>
                <w:rFonts w:eastAsia="Times New Roman" w:cs="Arial"/>
                <w:sz w:val="20"/>
                <w:szCs w:val="20"/>
                <w:lang w:eastAsia="es-MX"/>
              </w:rPr>
              <w:t>anco Santander, S.A.</w:t>
            </w:r>
          </w:p>
        </w:tc>
        <w:tc>
          <w:tcPr>
            <w:tcW w:w="2757" w:type="dxa"/>
            <w:gridSpan w:val="2"/>
            <w:tcBorders>
              <w:top w:val="single" w:sz="4" w:space="0" w:color="auto"/>
              <w:left w:val="single" w:sz="4" w:space="0" w:color="auto"/>
              <w:bottom w:val="single" w:sz="4" w:space="0" w:color="auto"/>
              <w:right w:val="nil"/>
            </w:tcBorders>
            <w:shd w:val="clear" w:color="auto" w:fill="auto"/>
            <w:noWrap/>
            <w:vAlign w:val="bottom"/>
            <w:hideMark/>
          </w:tcPr>
          <w:p w:rsidR="00B2766F" w:rsidRPr="00BC7BD7" w:rsidRDefault="005D1EB4" w:rsidP="00B2766F">
            <w:pPr>
              <w:spacing w:after="0" w:line="240" w:lineRule="auto"/>
              <w:rPr>
                <w:rFonts w:eastAsia="Times New Roman" w:cs="Arial"/>
                <w:sz w:val="20"/>
                <w:szCs w:val="20"/>
                <w:lang w:eastAsia="es-MX"/>
              </w:rPr>
            </w:pPr>
            <w:r>
              <w:rPr>
                <w:rFonts w:eastAsia="Times New Roman" w:cs="Arial"/>
                <w:sz w:val="20"/>
                <w:szCs w:val="20"/>
                <w:lang w:eastAsia="es-MX"/>
              </w:rPr>
              <w:t>FIDEICOMISO CCAV 2003626</w:t>
            </w:r>
          </w:p>
        </w:tc>
        <w:tc>
          <w:tcPr>
            <w:tcW w:w="186"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3508" w:type="dxa"/>
            <w:tcBorders>
              <w:top w:val="nil"/>
              <w:left w:val="nil"/>
              <w:bottom w:val="single" w:sz="4" w:space="0" w:color="auto"/>
              <w:right w:val="single" w:sz="8" w:space="0" w:color="auto"/>
            </w:tcBorders>
            <w:shd w:val="clear" w:color="auto" w:fill="auto"/>
            <w:noWrap/>
            <w:vAlign w:val="bottom"/>
            <w:hideMark/>
          </w:tcPr>
          <w:p w:rsidR="00B2766F" w:rsidRPr="00BC7BD7" w:rsidRDefault="00F56DDD" w:rsidP="005D1EB4">
            <w:pPr>
              <w:spacing w:after="0" w:line="240" w:lineRule="auto"/>
              <w:rPr>
                <w:rFonts w:eastAsia="Times New Roman" w:cs="Times New Roman"/>
                <w:color w:val="000000"/>
                <w:sz w:val="20"/>
                <w:szCs w:val="20"/>
                <w:lang w:eastAsia="es-MX"/>
              </w:rPr>
            </w:pPr>
            <w:r>
              <w:rPr>
                <w:rFonts w:eastAsia="Times New Roman" w:cs="Times New Roman"/>
                <w:color w:val="000000"/>
                <w:sz w:val="20"/>
                <w:szCs w:val="20"/>
                <w:lang w:eastAsia="es-MX"/>
              </w:rPr>
              <w:t xml:space="preserve">           </w:t>
            </w:r>
            <w:r w:rsidR="005D1EB4">
              <w:rPr>
                <w:rFonts w:eastAsia="Times New Roman" w:cs="Times New Roman"/>
                <w:color w:val="000000"/>
                <w:sz w:val="20"/>
                <w:szCs w:val="20"/>
                <w:lang w:eastAsia="es-MX"/>
              </w:rPr>
              <w:t xml:space="preserve">   205,350.91</w:t>
            </w:r>
            <w:r w:rsidR="00B2766F" w:rsidRPr="00BC7BD7">
              <w:rPr>
                <w:rFonts w:eastAsia="Times New Roman" w:cs="Times New Roman"/>
                <w:color w:val="000000"/>
                <w:sz w:val="20"/>
                <w:szCs w:val="20"/>
                <w:lang w:eastAsia="es-MX"/>
              </w:rPr>
              <w:t xml:space="preserve"> </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01"/>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3038"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571"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8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8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3508" w:type="dxa"/>
            <w:tcBorders>
              <w:top w:val="nil"/>
              <w:left w:val="nil"/>
              <w:bottom w:val="nil"/>
              <w:right w:val="nil"/>
            </w:tcBorders>
            <w:shd w:val="clear" w:color="auto" w:fill="auto"/>
            <w:noWrap/>
            <w:vAlign w:val="bottom"/>
            <w:hideMark/>
          </w:tcPr>
          <w:p w:rsidR="00B2766F" w:rsidRDefault="00B2766F" w:rsidP="00B2766F">
            <w:pPr>
              <w:spacing w:after="0" w:line="240" w:lineRule="auto"/>
              <w:rPr>
                <w:rFonts w:eastAsia="Times New Roman" w:cs="Arial"/>
                <w:b/>
                <w:bCs/>
                <w:sz w:val="20"/>
                <w:szCs w:val="20"/>
                <w:lang w:eastAsia="es-MX"/>
              </w:rPr>
            </w:pPr>
            <w:r w:rsidRPr="00BC7BD7">
              <w:rPr>
                <w:rFonts w:eastAsia="Times New Roman" w:cs="Arial"/>
                <w:b/>
                <w:bCs/>
                <w:sz w:val="20"/>
                <w:szCs w:val="20"/>
                <w:lang w:eastAsia="es-MX"/>
              </w:rPr>
              <w:t xml:space="preserve">    </w:t>
            </w:r>
            <w:r w:rsidR="00F56DDD">
              <w:rPr>
                <w:rFonts w:eastAsia="Times New Roman" w:cs="Arial"/>
                <w:b/>
                <w:bCs/>
                <w:sz w:val="20"/>
                <w:szCs w:val="20"/>
                <w:lang w:eastAsia="es-MX"/>
              </w:rPr>
              <w:t xml:space="preserve">           </w:t>
            </w:r>
            <w:r w:rsidR="005D1EB4">
              <w:rPr>
                <w:rFonts w:eastAsia="Times New Roman" w:cs="Arial"/>
                <w:b/>
                <w:bCs/>
                <w:sz w:val="20"/>
                <w:szCs w:val="20"/>
                <w:lang w:eastAsia="es-MX"/>
              </w:rPr>
              <w:t>2,152,707.73</w:t>
            </w:r>
          </w:p>
          <w:p w:rsidR="00B2766F" w:rsidRDefault="00B2766F" w:rsidP="00B2766F">
            <w:pPr>
              <w:spacing w:after="0" w:line="240" w:lineRule="auto"/>
              <w:rPr>
                <w:rFonts w:eastAsia="Times New Roman" w:cs="Arial"/>
                <w:b/>
                <w:bCs/>
                <w:sz w:val="20"/>
                <w:szCs w:val="20"/>
                <w:lang w:eastAsia="es-MX"/>
              </w:rPr>
            </w:pPr>
          </w:p>
          <w:p w:rsidR="00B2766F" w:rsidRPr="00BC7BD7" w:rsidRDefault="00B2766F" w:rsidP="00B2766F">
            <w:pPr>
              <w:spacing w:after="0" w:line="240" w:lineRule="auto"/>
              <w:rPr>
                <w:rFonts w:eastAsia="Times New Roman" w:cs="Arial"/>
                <w:b/>
                <w:bCs/>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bl>
    <w:p w:rsidR="00BC7BD7" w:rsidRPr="00BC7BD7" w:rsidRDefault="00BC7BD7" w:rsidP="00712A1E">
      <w:pPr>
        <w:rPr>
          <w:sz w:val="20"/>
          <w:szCs w:val="20"/>
        </w:rPr>
      </w:pPr>
    </w:p>
    <w:p w:rsidR="00BC7BD7" w:rsidRPr="00BC7BD7" w:rsidRDefault="00BC7BD7">
      <w:pPr>
        <w:rPr>
          <w:sz w:val="20"/>
          <w:szCs w:val="20"/>
        </w:rPr>
      </w:pPr>
    </w:p>
    <w:p w:rsidR="00712A1E" w:rsidRDefault="00712A1E">
      <w:pPr>
        <w:rPr>
          <w:sz w:val="20"/>
          <w:szCs w:val="20"/>
        </w:rPr>
      </w:pPr>
    </w:p>
    <w:p w:rsidR="00712A1E" w:rsidRPr="00712A1E" w:rsidRDefault="00712A1E" w:rsidP="00712A1E">
      <w:pPr>
        <w:rPr>
          <w:sz w:val="20"/>
          <w:szCs w:val="20"/>
        </w:rPr>
      </w:pPr>
    </w:p>
    <w:p w:rsidR="00712A1E" w:rsidRPr="00712A1E" w:rsidRDefault="00712A1E" w:rsidP="00712A1E">
      <w:pPr>
        <w:rPr>
          <w:sz w:val="20"/>
          <w:szCs w:val="20"/>
        </w:rPr>
      </w:pPr>
    </w:p>
    <w:p w:rsidR="001352BE" w:rsidRPr="00712A1E" w:rsidRDefault="001352BE" w:rsidP="00712A1E">
      <w:pPr>
        <w:rPr>
          <w:sz w:val="20"/>
          <w:szCs w:val="20"/>
        </w:rPr>
      </w:pPr>
    </w:p>
    <w:tbl>
      <w:tblPr>
        <w:tblW w:w="14562" w:type="dxa"/>
        <w:tblInd w:w="-994" w:type="dxa"/>
        <w:tblCellMar>
          <w:left w:w="70" w:type="dxa"/>
          <w:right w:w="70" w:type="dxa"/>
        </w:tblCellMar>
        <w:tblLook w:val="04A0" w:firstRow="1" w:lastRow="0" w:firstColumn="1" w:lastColumn="0" w:noHBand="0" w:noVBand="1"/>
      </w:tblPr>
      <w:tblGrid>
        <w:gridCol w:w="1600"/>
        <w:gridCol w:w="2067"/>
        <w:gridCol w:w="1763"/>
        <w:gridCol w:w="2779"/>
        <w:gridCol w:w="387"/>
        <w:gridCol w:w="387"/>
        <w:gridCol w:w="2971"/>
        <w:gridCol w:w="2608"/>
      </w:tblGrid>
      <w:tr w:rsidR="001352BE" w:rsidRPr="00BC7BD7" w:rsidTr="001352BE">
        <w:trPr>
          <w:trHeight w:val="270"/>
        </w:trPr>
        <w:tc>
          <w:tcPr>
            <w:tcW w:w="160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296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CUENTAS DE INVERSION</w:t>
            </w:r>
          </w:p>
        </w:tc>
      </w:tr>
      <w:tr w:rsidR="001352BE" w:rsidRPr="00BC7BD7" w:rsidTr="001352BE">
        <w:trPr>
          <w:trHeight w:val="270"/>
        </w:trPr>
        <w:tc>
          <w:tcPr>
            <w:tcW w:w="160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067" w:type="dxa"/>
            <w:tcBorders>
              <w:top w:val="nil"/>
              <w:left w:val="single" w:sz="8" w:space="0" w:color="auto"/>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 Cuenta</w:t>
            </w:r>
          </w:p>
        </w:tc>
        <w:tc>
          <w:tcPr>
            <w:tcW w:w="1763" w:type="dxa"/>
            <w:tcBorders>
              <w:top w:val="nil"/>
              <w:left w:val="nil"/>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Banco</w:t>
            </w:r>
          </w:p>
        </w:tc>
        <w:tc>
          <w:tcPr>
            <w:tcW w:w="355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Programa</w:t>
            </w:r>
          </w:p>
        </w:tc>
        <w:tc>
          <w:tcPr>
            <w:tcW w:w="2971" w:type="dxa"/>
            <w:tcBorders>
              <w:top w:val="nil"/>
              <w:left w:val="nil"/>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Importe</w:t>
            </w:r>
          </w:p>
        </w:tc>
        <w:tc>
          <w:tcPr>
            <w:tcW w:w="2608" w:type="dxa"/>
            <w:tcBorders>
              <w:top w:val="nil"/>
              <w:left w:val="nil"/>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rPr>
                <w:rFonts w:eastAsia="Times New Roman" w:cs="Arial"/>
                <w:b/>
                <w:bCs/>
                <w:sz w:val="20"/>
                <w:szCs w:val="20"/>
                <w:lang w:eastAsia="es-MX"/>
              </w:rPr>
            </w:pPr>
            <w:r w:rsidRPr="00BC7BD7">
              <w:rPr>
                <w:rFonts w:eastAsia="Times New Roman" w:cs="Arial"/>
                <w:b/>
                <w:bCs/>
                <w:sz w:val="20"/>
                <w:szCs w:val="20"/>
                <w:lang w:eastAsia="es-MX"/>
              </w:rPr>
              <w:t>Tipo</w:t>
            </w:r>
          </w:p>
        </w:tc>
      </w:tr>
      <w:tr w:rsidR="001352BE" w:rsidRPr="00BC7BD7" w:rsidTr="001352BE">
        <w:trPr>
          <w:trHeight w:val="255"/>
        </w:trPr>
        <w:tc>
          <w:tcPr>
            <w:tcW w:w="160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067" w:type="dxa"/>
            <w:tcBorders>
              <w:top w:val="nil"/>
              <w:left w:val="single" w:sz="8" w:space="0" w:color="auto"/>
              <w:bottom w:val="single" w:sz="4" w:space="0" w:color="auto"/>
              <w:right w:val="single" w:sz="4" w:space="0" w:color="auto"/>
            </w:tcBorders>
            <w:shd w:val="clear" w:color="auto" w:fill="auto"/>
            <w:noWrap/>
            <w:vAlign w:val="bottom"/>
            <w:hideMark/>
          </w:tcPr>
          <w:p w:rsidR="001352BE" w:rsidRPr="00BC7BD7" w:rsidRDefault="005D1EB4" w:rsidP="001352BE">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2003626</w:t>
            </w:r>
          </w:p>
        </w:tc>
        <w:tc>
          <w:tcPr>
            <w:tcW w:w="1763" w:type="dxa"/>
            <w:tcBorders>
              <w:top w:val="nil"/>
              <w:left w:val="nil"/>
              <w:bottom w:val="single" w:sz="4" w:space="0" w:color="auto"/>
              <w:right w:val="single" w:sz="4" w:space="0" w:color="auto"/>
            </w:tcBorders>
            <w:shd w:val="clear" w:color="auto" w:fill="auto"/>
            <w:noWrap/>
            <w:vAlign w:val="bottom"/>
            <w:hideMark/>
          </w:tcPr>
          <w:p w:rsidR="001352BE" w:rsidRPr="00BC7BD7" w:rsidRDefault="00D52405" w:rsidP="001352BE">
            <w:pPr>
              <w:spacing w:after="0" w:line="240" w:lineRule="auto"/>
              <w:rPr>
                <w:rFonts w:eastAsia="Times New Roman" w:cs="Arial"/>
                <w:sz w:val="20"/>
                <w:szCs w:val="20"/>
                <w:lang w:eastAsia="es-MX"/>
              </w:rPr>
            </w:pPr>
            <w:r>
              <w:rPr>
                <w:rFonts w:eastAsia="Times New Roman" w:cs="Arial"/>
                <w:sz w:val="20"/>
                <w:szCs w:val="20"/>
                <w:lang w:eastAsia="es-MX"/>
              </w:rPr>
              <w:t>Casa de Bolsa Santander S.A.</w:t>
            </w:r>
          </w:p>
        </w:tc>
        <w:tc>
          <w:tcPr>
            <w:tcW w:w="2779" w:type="dxa"/>
            <w:tcBorders>
              <w:top w:val="nil"/>
              <w:left w:val="nil"/>
              <w:bottom w:val="single" w:sz="4" w:space="0" w:color="auto"/>
              <w:right w:val="nil"/>
            </w:tcBorders>
            <w:shd w:val="clear" w:color="auto" w:fill="auto"/>
            <w:noWrap/>
            <w:vAlign w:val="bottom"/>
            <w:hideMark/>
          </w:tcPr>
          <w:p w:rsidR="001352BE" w:rsidRPr="00BC7BD7" w:rsidRDefault="00D52405" w:rsidP="001352BE">
            <w:pPr>
              <w:spacing w:after="0" w:line="240" w:lineRule="auto"/>
              <w:rPr>
                <w:rFonts w:eastAsia="Times New Roman" w:cs="Arial"/>
                <w:color w:val="000000"/>
                <w:sz w:val="20"/>
                <w:szCs w:val="20"/>
                <w:lang w:eastAsia="es-MX"/>
              </w:rPr>
            </w:pPr>
            <w:r>
              <w:rPr>
                <w:rFonts w:eastAsia="Times New Roman" w:cs="Arial"/>
                <w:color w:val="000000"/>
                <w:sz w:val="20"/>
                <w:szCs w:val="20"/>
                <w:lang w:eastAsia="es-MX"/>
              </w:rPr>
              <w:t>FIDEICOMISO CCAV 2003626</w:t>
            </w:r>
          </w:p>
        </w:tc>
        <w:tc>
          <w:tcPr>
            <w:tcW w:w="387" w:type="dxa"/>
            <w:tcBorders>
              <w:top w:val="nil"/>
              <w:left w:val="nil"/>
              <w:bottom w:val="single" w:sz="4" w:space="0" w:color="auto"/>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387" w:type="dxa"/>
            <w:tcBorders>
              <w:top w:val="nil"/>
              <w:left w:val="nil"/>
              <w:bottom w:val="single" w:sz="4"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2971" w:type="dxa"/>
            <w:tcBorders>
              <w:top w:val="nil"/>
              <w:left w:val="nil"/>
              <w:bottom w:val="single" w:sz="4" w:space="0" w:color="auto"/>
              <w:right w:val="single" w:sz="4" w:space="0" w:color="auto"/>
            </w:tcBorders>
            <w:shd w:val="clear" w:color="auto" w:fill="auto"/>
            <w:noWrap/>
            <w:vAlign w:val="bottom"/>
            <w:hideMark/>
          </w:tcPr>
          <w:p w:rsidR="001352BE" w:rsidRPr="00BC7BD7" w:rsidRDefault="00D52405" w:rsidP="00F56DDD">
            <w:pPr>
              <w:spacing w:after="0" w:line="240" w:lineRule="auto"/>
              <w:rPr>
                <w:rFonts w:eastAsia="Times New Roman" w:cs="Arial"/>
                <w:color w:val="000000"/>
                <w:sz w:val="20"/>
                <w:szCs w:val="20"/>
                <w:lang w:eastAsia="es-MX"/>
              </w:rPr>
            </w:pPr>
            <w:r>
              <w:rPr>
                <w:rFonts w:eastAsia="Times New Roman" w:cs="Arial"/>
                <w:color w:val="000000"/>
                <w:sz w:val="20"/>
                <w:szCs w:val="20"/>
                <w:lang w:eastAsia="es-MX"/>
              </w:rPr>
              <w:t xml:space="preserve">                   355.04</w:t>
            </w:r>
            <w:r w:rsidR="001352BE" w:rsidRPr="00BC7BD7">
              <w:rPr>
                <w:rFonts w:eastAsia="Times New Roman" w:cs="Arial"/>
                <w:color w:val="000000"/>
                <w:sz w:val="20"/>
                <w:szCs w:val="20"/>
                <w:lang w:eastAsia="es-MX"/>
              </w:rPr>
              <w:t xml:space="preserve"> </w:t>
            </w:r>
          </w:p>
        </w:tc>
        <w:tc>
          <w:tcPr>
            <w:tcW w:w="2608" w:type="dxa"/>
            <w:tcBorders>
              <w:top w:val="nil"/>
              <w:left w:val="nil"/>
              <w:bottom w:val="single" w:sz="4" w:space="0" w:color="auto"/>
              <w:right w:val="single" w:sz="8" w:space="0" w:color="auto"/>
            </w:tcBorders>
            <w:shd w:val="clear" w:color="auto" w:fill="auto"/>
            <w:noWrap/>
            <w:vAlign w:val="bottom"/>
            <w:hideMark/>
          </w:tcPr>
          <w:p w:rsidR="001352BE" w:rsidRPr="00BC7BD7" w:rsidRDefault="00D52405" w:rsidP="001352BE">
            <w:pPr>
              <w:spacing w:after="0" w:line="240" w:lineRule="auto"/>
              <w:rPr>
                <w:rFonts w:eastAsia="Times New Roman" w:cs="Arial"/>
                <w:sz w:val="20"/>
                <w:szCs w:val="20"/>
                <w:lang w:eastAsia="es-MX"/>
              </w:rPr>
            </w:pPr>
            <w:r>
              <w:rPr>
                <w:rFonts w:eastAsia="Times New Roman" w:cs="Arial"/>
                <w:sz w:val="20"/>
                <w:szCs w:val="20"/>
                <w:lang w:eastAsia="es-MX"/>
              </w:rPr>
              <w:t>Soc. de Inversión</w:t>
            </w:r>
          </w:p>
        </w:tc>
      </w:tr>
      <w:tr w:rsidR="001352BE" w:rsidRPr="00BC7BD7" w:rsidTr="001352BE">
        <w:trPr>
          <w:trHeight w:val="255"/>
        </w:trPr>
        <w:tc>
          <w:tcPr>
            <w:tcW w:w="160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067"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763"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779"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387"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387"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971" w:type="dxa"/>
            <w:tcBorders>
              <w:top w:val="nil"/>
              <w:left w:val="nil"/>
              <w:bottom w:val="nil"/>
              <w:right w:val="nil"/>
            </w:tcBorders>
            <w:shd w:val="clear" w:color="auto" w:fill="auto"/>
            <w:noWrap/>
            <w:vAlign w:val="bottom"/>
            <w:hideMark/>
          </w:tcPr>
          <w:p w:rsidR="001352BE" w:rsidRPr="00BC7BD7" w:rsidRDefault="001352BE" w:rsidP="00D52405">
            <w:pPr>
              <w:spacing w:after="0" w:line="240" w:lineRule="auto"/>
              <w:rPr>
                <w:rFonts w:eastAsia="Times New Roman" w:cs="Arial"/>
                <w:b/>
                <w:bCs/>
                <w:sz w:val="20"/>
                <w:szCs w:val="20"/>
                <w:lang w:eastAsia="es-MX"/>
              </w:rPr>
            </w:pPr>
            <w:r w:rsidRPr="00BC7BD7">
              <w:rPr>
                <w:rFonts w:eastAsia="Times New Roman" w:cs="Arial"/>
                <w:b/>
                <w:bCs/>
                <w:sz w:val="20"/>
                <w:szCs w:val="20"/>
                <w:lang w:eastAsia="es-MX"/>
              </w:rPr>
              <w:t xml:space="preserve">      </w:t>
            </w:r>
            <w:r w:rsidR="00D52405">
              <w:rPr>
                <w:rFonts w:eastAsia="Times New Roman" w:cs="Arial"/>
                <w:b/>
                <w:bCs/>
                <w:sz w:val="20"/>
                <w:szCs w:val="20"/>
                <w:lang w:eastAsia="es-MX"/>
              </w:rPr>
              <w:t xml:space="preserve">              355.04</w:t>
            </w:r>
            <w:r w:rsidRPr="00BC7BD7">
              <w:rPr>
                <w:rFonts w:eastAsia="Times New Roman" w:cs="Arial"/>
                <w:b/>
                <w:bCs/>
                <w:sz w:val="20"/>
                <w:szCs w:val="20"/>
                <w:lang w:eastAsia="es-MX"/>
              </w:rPr>
              <w:t xml:space="preserve"> </w:t>
            </w:r>
          </w:p>
        </w:tc>
        <w:tc>
          <w:tcPr>
            <w:tcW w:w="2608"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r>
      <w:tr w:rsidR="001352BE" w:rsidRPr="00BC7BD7" w:rsidTr="001352BE">
        <w:trPr>
          <w:trHeight w:val="255"/>
        </w:trPr>
        <w:tc>
          <w:tcPr>
            <w:tcW w:w="160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067"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763"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3553" w:type="dxa"/>
            <w:gridSpan w:val="3"/>
            <w:tcBorders>
              <w:top w:val="nil"/>
              <w:left w:val="nil"/>
              <w:bottom w:val="nil"/>
              <w:right w:val="nil"/>
            </w:tcBorders>
            <w:shd w:val="clear" w:color="auto" w:fill="auto"/>
            <w:noWrap/>
            <w:vAlign w:val="bottom"/>
            <w:hideMark/>
          </w:tcPr>
          <w:p w:rsidR="001352BE" w:rsidRPr="00BC7BD7" w:rsidRDefault="00F56DDD" w:rsidP="001352BE">
            <w:pPr>
              <w:spacing w:after="0" w:line="240" w:lineRule="auto"/>
              <w:rPr>
                <w:rFonts w:eastAsia="Times New Roman" w:cs="Arial"/>
                <w:b/>
                <w:bCs/>
                <w:sz w:val="20"/>
                <w:szCs w:val="20"/>
                <w:lang w:eastAsia="es-MX"/>
              </w:rPr>
            </w:pPr>
            <w:r>
              <w:rPr>
                <w:rFonts w:eastAsia="Times New Roman" w:cs="Arial"/>
                <w:b/>
                <w:bCs/>
                <w:sz w:val="20"/>
                <w:szCs w:val="20"/>
                <w:lang w:eastAsia="es-MX"/>
              </w:rPr>
              <w:t xml:space="preserve">   TOTAL EFECTIVO Y </w:t>
            </w:r>
            <w:r w:rsidR="001352BE" w:rsidRPr="00BC7BD7">
              <w:rPr>
                <w:rFonts w:eastAsia="Times New Roman" w:cs="Arial"/>
                <w:b/>
                <w:bCs/>
                <w:sz w:val="20"/>
                <w:szCs w:val="20"/>
                <w:lang w:eastAsia="es-MX"/>
              </w:rPr>
              <w:t>EQUIVALENTES</w:t>
            </w:r>
          </w:p>
        </w:tc>
        <w:tc>
          <w:tcPr>
            <w:tcW w:w="2971" w:type="dxa"/>
            <w:tcBorders>
              <w:top w:val="nil"/>
              <w:left w:val="nil"/>
              <w:bottom w:val="nil"/>
              <w:right w:val="nil"/>
            </w:tcBorders>
            <w:shd w:val="clear" w:color="auto" w:fill="auto"/>
            <w:noWrap/>
            <w:vAlign w:val="bottom"/>
            <w:hideMark/>
          </w:tcPr>
          <w:p w:rsidR="001352BE" w:rsidRPr="00BC7BD7" w:rsidRDefault="001352BE" w:rsidP="00F56DDD">
            <w:pPr>
              <w:spacing w:after="0" w:line="240" w:lineRule="auto"/>
              <w:rPr>
                <w:rFonts w:eastAsia="Times New Roman" w:cs="Arial"/>
                <w:b/>
                <w:bCs/>
                <w:sz w:val="20"/>
                <w:szCs w:val="20"/>
                <w:lang w:eastAsia="es-MX"/>
              </w:rPr>
            </w:pPr>
            <w:r w:rsidRPr="00BC7BD7">
              <w:rPr>
                <w:rFonts w:eastAsia="Times New Roman" w:cs="Arial"/>
                <w:b/>
                <w:bCs/>
                <w:sz w:val="20"/>
                <w:szCs w:val="20"/>
                <w:lang w:eastAsia="es-MX"/>
              </w:rPr>
              <w:t xml:space="preserve"> </w:t>
            </w:r>
            <w:r w:rsidR="00D52405">
              <w:rPr>
                <w:rFonts w:eastAsia="Times New Roman" w:cs="Arial"/>
                <w:b/>
                <w:bCs/>
                <w:sz w:val="20"/>
                <w:szCs w:val="20"/>
                <w:lang w:eastAsia="es-MX"/>
              </w:rPr>
              <w:t xml:space="preserve">     </w:t>
            </w:r>
            <w:r w:rsidRPr="00BC7BD7">
              <w:rPr>
                <w:rFonts w:eastAsia="Times New Roman" w:cs="Arial"/>
                <w:b/>
                <w:bCs/>
                <w:sz w:val="20"/>
                <w:szCs w:val="20"/>
                <w:lang w:eastAsia="es-MX"/>
              </w:rPr>
              <w:t xml:space="preserve">$   </w:t>
            </w:r>
            <w:r w:rsidR="00D52405">
              <w:rPr>
                <w:rFonts w:eastAsia="Times New Roman" w:cs="Arial"/>
                <w:b/>
                <w:bCs/>
                <w:sz w:val="20"/>
                <w:szCs w:val="20"/>
                <w:lang w:eastAsia="es-MX"/>
              </w:rPr>
              <w:t>2,153,062.77</w:t>
            </w:r>
            <w:r w:rsidRPr="00BC7BD7">
              <w:rPr>
                <w:rFonts w:eastAsia="Times New Roman" w:cs="Arial"/>
                <w:b/>
                <w:bCs/>
                <w:sz w:val="20"/>
                <w:szCs w:val="20"/>
                <w:lang w:eastAsia="es-MX"/>
              </w:rPr>
              <w:t xml:space="preserve"> </w:t>
            </w:r>
          </w:p>
        </w:tc>
        <w:tc>
          <w:tcPr>
            <w:tcW w:w="2608"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r>
    </w:tbl>
    <w:p w:rsidR="001352BE" w:rsidRPr="00BC7BD7" w:rsidRDefault="001352BE">
      <w:pPr>
        <w:rPr>
          <w:sz w:val="20"/>
          <w:szCs w:val="20"/>
        </w:rPr>
      </w:pPr>
    </w:p>
    <w:p w:rsidR="001352BE" w:rsidRPr="00BC7BD7" w:rsidRDefault="001352BE">
      <w:pPr>
        <w:rPr>
          <w:sz w:val="20"/>
          <w:szCs w:val="20"/>
        </w:rPr>
      </w:pPr>
    </w:p>
    <w:tbl>
      <w:tblPr>
        <w:tblW w:w="13720" w:type="dxa"/>
        <w:tblInd w:w="55" w:type="dxa"/>
        <w:tblCellMar>
          <w:left w:w="70" w:type="dxa"/>
          <w:right w:w="70" w:type="dxa"/>
        </w:tblCellMar>
        <w:tblLook w:val="04A0" w:firstRow="1" w:lastRow="0" w:firstColumn="1" w:lastColumn="0" w:noHBand="0" w:noVBand="1"/>
      </w:tblPr>
      <w:tblGrid>
        <w:gridCol w:w="13720"/>
      </w:tblGrid>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NOTA 2</w:t>
            </w:r>
          </w:p>
        </w:tc>
      </w:tr>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BC44A7" w:rsidP="001352BE">
            <w:pPr>
              <w:spacing w:after="0" w:line="240" w:lineRule="auto"/>
              <w:jc w:val="center"/>
              <w:rPr>
                <w:rFonts w:eastAsia="Times New Roman" w:cs="Arial"/>
                <w:b/>
                <w:bCs/>
                <w:sz w:val="20"/>
                <w:szCs w:val="20"/>
                <w:lang w:eastAsia="es-MX"/>
              </w:rPr>
            </w:pPr>
            <w:r>
              <w:rPr>
                <w:rFonts w:eastAsia="Times New Roman" w:cs="Arial"/>
                <w:b/>
                <w:bCs/>
                <w:sz w:val="20"/>
                <w:szCs w:val="20"/>
                <w:lang w:eastAsia="es-MX"/>
              </w:rPr>
              <w:t>BIENES MUEBLES, INMUEBLES E INTANGIBLES</w:t>
            </w:r>
          </w:p>
        </w:tc>
      </w:tr>
    </w:tbl>
    <w:p w:rsidR="001352BE" w:rsidRPr="00BC7BD7" w:rsidRDefault="001352BE">
      <w:pPr>
        <w:rPr>
          <w:sz w:val="20"/>
          <w:szCs w:val="20"/>
        </w:rPr>
      </w:pPr>
    </w:p>
    <w:tbl>
      <w:tblPr>
        <w:tblW w:w="14219" w:type="dxa"/>
        <w:tblInd w:w="-444" w:type="dxa"/>
        <w:tblCellMar>
          <w:left w:w="70" w:type="dxa"/>
          <w:right w:w="70" w:type="dxa"/>
        </w:tblCellMar>
        <w:tblLook w:val="04A0" w:firstRow="1" w:lastRow="0" w:firstColumn="1" w:lastColumn="0" w:noHBand="0" w:noVBand="1"/>
      </w:tblPr>
      <w:tblGrid>
        <w:gridCol w:w="14219"/>
      </w:tblGrid>
      <w:tr w:rsidR="007F1062" w:rsidRPr="00BC7BD7" w:rsidTr="007F1062">
        <w:trPr>
          <w:trHeight w:val="555"/>
        </w:trPr>
        <w:tc>
          <w:tcPr>
            <w:tcW w:w="14219" w:type="dxa"/>
            <w:tcBorders>
              <w:top w:val="nil"/>
              <w:left w:val="nil"/>
              <w:bottom w:val="nil"/>
              <w:right w:val="nil"/>
            </w:tcBorders>
            <w:shd w:val="clear" w:color="auto" w:fill="auto"/>
            <w:hideMark/>
          </w:tcPr>
          <w:p w:rsidR="007F1062" w:rsidRPr="00C71D9C" w:rsidRDefault="007F1062">
            <w:pPr>
              <w:jc w:val="both"/>
              <w:rPr>
                <w:rFonts w:ascii="Calibri" w:hAnsi="Calibri" w:cs="Arial"/>
                <w:sz w:val="20"/>
                <w:szCs w:val="20"/>
              </w:rPr>
            </w:pPr>
            <w:r w:rsidRPr="00C71D9C">
              <w:rPr>
                <w:rFonts w:ascii="Calibri" w:hAnsi="Calibri" w:cs="Arial"/>
                <w:sz w:val="20"/>
                <w:szCs w:val="20"/>
              </w:rPr>
              <w:t xml:space="preserve">El Fideicomiso Irrevocable de Administración y Fuente de Pago 2003626 </w:t>
            </w:r>
            <w:proofErr w:type="spellStart"/>
            <w:r w:rsidRPr="00C71D9C">
              <w:rPr>
                <w:rFonts w:ascii="Calibri" w:hAnsi="Calibri" w:cs="Arial"/>
                <w:sz w:val="20"/>
                <w:szCs w:val="20"/>
              </w:rPr>
              <w:t>esta</w:t>
            </w:r>
            <w:proofErr w:type="spellEnd"/>
            <w:r w:rsidRPr="00C71D9C">
              <w:rPr>
                <w:rFonts w:ascii="Calibri" w:hAnsi="Calibri" w:cs="Arial"/>
                <w:sz w:val="20"/>
                <w:szCs w:val="20"/>
              </w:rPr>
              <w:t xml:space="preserve"> en Proceso de Construcción y hasta el mes de Septiembre se le </w:t>
            </w:r>
            <w:r w:rsidR="00C71D9C" w:rsidRPr="00C71D9C">
              <w:rPr>
                <w:rFonts w:ascii="Calibri" w:hAnsi="Calibri" w:cs="Arial"/>
                <w:sz w:val="20"/>
                <w:szCs w:val="20"/>
              </w:rPr>
              <w:t>había</w:t>
            </w:r>
            <w:r w:rsidRPr="00C71D9C">
              <w:rPr>
                <w:rFonts w:ascii="Calibri" w:hAnsi="Calibri" w:cs="Arial"/>
                <w:sz w:val="20"/>
                <w:szCs w:val="20"/>
              </w:rPr>
              <w:t xml:space="preserve"> otorgado el anticipo a la </w:t>
            </w:r>
            <w:r w:rsidR="00C71D9C" w:rsidRPr="00C71D9C">
              <w:rPr>
                <w:rFonts w:ascii="Calibri" w:hAnsi="Calibri" w:cs="Arial"/>
                <w:sz w:val="20"/>
                <w:szCs w:val="20"/>
              </w:rPr>
              <w:t>constructora</w:t>
            </w:r>
            <w:r w:rsidRPr="00C71D9C">
              <w:rPr>
                <w:rFonts w:ascii="Calibri" w:hAnsi="Calibri" w:cs="Arial"/>
                <w:sz w:val="20"/>
                <w:szCs w:val="20"/>
              </w:rPr>
              <w:t xml:space="preserve"> para el inicio de labores en la obra y se le ha pagado hasta 6a estimación; quedando como se muestra en el siguiente cuadro. Esta obra se capitalizará hasta el final de su construcción.</w:t>
            </w:r>
          </w:p>
        </w:tc>
      </w:tr>
      <w:tr w:rsidR="007F1062" w:rsidRPr="00BC7BD7" w:rsidTr="007F1062">
        <w:trPr>
          <w:trHeight w:val="540"/>
        </w:trPr>
        <w:tc>
          <w:tcPr>
            <w:tcW w:w="14219" w:type="dxa"/>
            <w:tcBorders>
              <w:top w:val="nil"/>
              <w:left w:val="nil"/>
              <w:bottom w:val="nil"/>
              <w:right w:val="nil"/>
            </w:tcBorders>
            <w:shd w:val="clear" w:color="auto" w:fill="auto"/>
            <w:hideMark/>
          </w:tcPr>
          <w:p w:rsidR="007F1062" w:rsidRPr="00C71D9C" w:rsidRDefault="007F1062">
            <w:pPr>
              <w:jc w:val="both"/>
              <w:rPr>
                <w:rFonts w:ascii="Calibri" w:hAnsi="Calibri" w:cs="Arial"/>
                <w:sz w:val="20"/>
                <w:szCs w:val="20"/>
              </w:rPr>
            </w:pPr>
            <w:r w:rsidRPr="00C71D9C">
              <w:rPr>
                <w:rFonts w:ascii="Calibri" w:hAnsi="Calibri" w:cs="Arial"/>
                <w:sz w:val="20"/>
                <w:szCs w:val="20"/>
              </w:rPr>
              <w:t xml:space="preserve">El Fideicomiso Irrevocable de </w:t>
            </w:r>
            <w:r w:rsidR="00C71D9C" w:rsidRPr="00C71D9C">
              <w:rPr>
                <w:rFonts w:ascii="Calibri" w:hAnsi="Calibri" w:cs="Arial"/>
                <w:sz w:val="20"/>
                <w:szCs w:val="20"/>
              </w:rPr>
              <w:t>Administración</w:t>
            </w:r>
            <w:r w:rsidRPr="00C71D9C">
              <w:rPr>
                <w:rFonts w:ascii="Calibri" w:hAnsi="Calibri" w:cs="Arial"/>
                <w:sz w:val="20"/>
                <w:szCs w:val="20"/>
              </w:rPr>
              <w:t xml:space="preserve"> y Fuente de Pago 2003626 </w:t>
            </w:r>
            <w:proofErr w:type="spellStart"/>
            <w:r w:rsidRPr="00C71D9C">
              <w:rPr>
                <w:rFonts w:ascii="Calibri" w:hAnsi="Calibri" w:cs="Arial"/>
                <w:sz w:val="20"/>
                <w:szCs w:val="20"/>
              </w:rPr>
              <w:t>esta</w:t>
            </w:r>
            <w:proofErr w:type="spellEnd"/>
            <w:r w:rsidRPr="00C71D9C">
              <w:rPr>
                <w:rFonts w:ascii="Calibri" w:hAnsi="Calibri" w:cs="Arial"/>
                <w:sz w:val="20"/>
                <w:szCs w:val="20"/>
              </w:rPr>
              <w:t xml:space="preserve"> en Proceso de Construcción y hasta el mes de Septiembre se le </w:t>
            </w:r>
            <w:proofErr w:type="gramStart"/>
            <w:r w:rsidRPr="00C71D9C">
              <w:rPr>
                <w:rFonts w:ascii="Calibri" w:hAnsi="Calibri" w:cs="Arial"/>
                <w:sz w:val="20"/>
                <w:szCs w:val="20"/>
              </w:rPr>
              <w:t>habían</w:t>
            </w:r>
            <w:proofErr w:type="gramEnd"/>
            <w:r w:rsidRPr="00C71D9C">
              <w:rPr>
                <w:rFonts w:ascii="Calibri" w:hAnsi="Calibri" w:cs="Arial"/>
                <w:sz w:val="20"/>
                <w:szCs w:val="20"/>
              </w:rPr>
              <w:t xml:space="preserve"> otorgado el anticipo a la </w:t>
            </w:r>
            <w:r w:rsidR="00C71D9C" w:rsidRPr="00C71D9C">
              <w:rPr>
                <w:rFonts w:ascii="Calibri" w:hAnsi="Calibri" w:cs="Arial"/>
                <w:sz w:val="20"/>
                <w:szCs w:val="20"/>
              </w:rPr>
              <w:t>constructora</w:t>
            </w:r>
            <w:r w:rsidRPr="00C71D9C">
              <w:rPr>
                <w:rFonts w:ascii="Calibri" w:hAnsi="Calibri" w:cs="Arial"/>
                <w:sz w:val="20"/>
                <w:szCs w:val="20"/>
              </w:rPr>
              <w:t xml:space="preserve"> para el inicio de labores en la obra y se le ha pagado hasta 6a estimación; quedando como se muestra en el siguiente cuadro. Esta obra se capitalizará hasta el final de su construcción.</w:t>
            </w:r>
          </w:p>
        </w:tc>
      </w:tr>
    </w:tbl>
    <w:p w:rsidR="001352BE" w:rsidRPr="00BC7BD7" w:rsidRDefault="001352BE">
      <w:pPr>
        <w:rPr>
          <w:sz w:val="20"/>
          <w:szCs w:val="20"/>
        </w:rPr>
      </w:pPr>
    </w:p>
    <w:tbl>
      <w:tblPr>
        <w:tblStyle w:val="Tablaconcuadrcula"/>
        <w:tblW w:w="0" w:type="auto"/>
        <w:tblInd w:w="2841" w:type="dxa"/>
        <w:tblLook w:val="04A0" w:firstRow="1" w:lastRow="0" w:firstColumn="1" w:lastColumn="0" w:noHBand="0" w:noVBand="1"/>
      </w:tblPr>
      <w:tblGrid>
        <w:gridCol w:w="5211"/>
        <w:gridCol w:w="2694"/>
      </w:tblGrid>
      <w:tr w:rsidR="00C71D9C" w:rsidTr="00C71D9C">
        <w:tc>
          <w:tcPr>
            <w:tcW w:w="5211" w:type="dxa"/>
          </w:tcPr>
          <w:p w:rsidR="00C71D9C" w:rsidRDefault="00C71D9C">
            <w:pPr>
              <w:rPr>
                <w:sz w:val="20"/>
                <w:szCs w:val="20"/>
              </w:rPr>
            </w:pPr>
            <w:r>
              <w:rPr>
                <w:sz w:val="20"/>
                <w:szCs w:val="20"/>
              </w:rPr>
              <w:t>Anticipos de Obra</w:t>
            </w:r>
          </w:p>
        </w:tc>
        <w:tc>
          <w:tcPr>
            <w:tcW w:w="2694" w:type="dxa"/>
          </w:tcPr>
          <w:p w:rsidR="00C71D9C" w:rsidRDefault="00C71D9C">
            <w:pPr>
              <w:rPr>
                <w:sz w:val="20"/>
                <w:szCs w:val="20"/>
              </w:rPr>
            </w:pPr>
            <w:r>
              <w:rPr>
                <w:sz w:val="20"/>
                <w:szCs w:val="20"/>
              </w:rPr>
              <w:t>39,828,256.07</w:t>
            </w:r>
          </w:p>
        </w:tc>
      </w:tr>
      <w:tr w:rsidR="00C71D9C" w:rsidTr="00C71D9C">
        <w:tc>
          <w:tcPr>
            <w:tcW w:w="5211" w:type="dxa"/>
          </w:tcPr>
          <w:p w:rsidR="00C71D9C" w:rsidRDefault="00C71D9C">
            <w:pPr>
              <w:rPr>
                <w:sz w:val="20"/>
                <w:szCs w:val="20"/>
              </w:rPr>
            </w:pPr>
            <w:r>
              <w:rPr>
                <w:sz w:val="20"/>
                <w:szCs w:val="20"/>
              </w:rPr>
              <w:t>Estimaciones Recibidas para pago</w:t>
            </w:r>
          </w:p>
        </w:tc>
        <w:tc>
          <w:tcPr>
            <w:tcW w:w="2694" w:type="dxa"/>
          </w:tcPr>
          <w:p w:rsidR="00C71D9C" w:rsidRDefault="00C71D9C">
            <w:pPr>
              <w:rPr>
                <w:sz w:val="20"/>
                <w:szCs w:val="20"/>
              </w:rPr>
            </w:pPr>
            <w:r>
              <w:rPr>
                <w:sz w:val="20"/>
                <w:szCs w:val="20"/>
              </w:rPr>
              <w:t xml:space="preserve">   6,923,882.93</w:t>
            </w:r>
          </w:p>
        </w:tc>
      </w:tr>
    </w:tbl>
    <w:p w:rsidR="001352BE" w:rsidRPr="00BC44A7" w:rsidRDefault="00BC44A7">
      <w:pPr>
        <w:rPr>
          <w:b/>
          <w:sz w:val="20"/>
          <w:szCs w:val="20"/>
        </w:rPr>
      </w:pPr>
      <w:r>
        <w:rPr>
          <w:sz w:val="20"/>
          <w:szCs w:val="20"/>
        </w:rPr>
        <w:t xml:space="preserve">                                                                 </w:t>
      </w:r>
      <w:r>
        <w:rPr>
          <w:b/>
          <w:sz w:val="20"/>
          <w:szCs w:val="20"/>
        </w:rPr>
        <w:t xml:space="preserve">TOTAL OBRA EN PROCESO                                                                  </w:t>
      </w:r>
      <w:r>
        <w:rPr>
          <w:b/>
          <w:sz w:val="20"/>
          <w:szCs w:val="20"/>
        </w:rPr>
        <w:tab/>
        <w:t>46</w:t>
      </w:r>
      <w:proofErr w:type="gramStart"/>
      <w:r>
        <w:rPr>
          <w:b/>
          <w:sz w:val="20"/>
          <w:szCs w:val="20"/>
        </w:rPr>
        <w:t>,752,139.00</w:t>
      </w:r>
      <w:proofErr w:type="gramEnd"/>
    </w:p>
    <w:p w:rsidR="001352BE" w:rsidRPr="00BC7BD7" w:rsidRDefault="001352BE">
      <w:pPr>
        <w:rPr>
          <w:sz w:val="20"/>
          <w:szCs w:val="20"/>
        </w:rPr>
      </w:pPr>
    </w:p>
    <w:p w:rsidR="00712A1E" w:rsidRDefault="00712A1E" w:rsidP="001352BE">
      <w:pPr>
        <w:spacing w:after="0" w:line="240" w:lineRule="auto"/>
        <w:rPr>
          <w:rFonts w:eastAsia="Times New Roman" w:cs="Arial"/>
          <w:sz w:val="20"/>
          <w:szCs w:val="20"/>
          <w:lang w:eastAsia="es-MX"/>
        </w:rPr>
      </w:pPr>
    </w:p>
    <w:p w:rsidR="00712A1E" w:rsidRDefault="00712A1E" w:rsidP="001352BE">
      <w:pPr>
        <w:spacing w:after="0" w:line="240" w:lineRule="auto"/>
        <w:rPr>
          <w:rFonts w:eastAsia="Times New Roman" w:cs="Arial"/>
          <w:sz w:val="20"/>
          <w:szCs w:val="20"/>
          <w:lang w:eastAsia="es-MX"/>
        </w:rPr>
      </w:pPr>
    </w:p>
    <w:p w:rsidR="00712A1E" w:rsidRDefault="00712A1E" w:rsidP="001352BE">
      <w:pPr>
        <w:spacing w:after="0" w:line="240" w:lineRule="auto"/>
        <w:rPr>
          <w:rFonts w:eastAsia="Times New Roman" w:cs="Arial"/>
          <w:sz w:val="20"/>
          <w:szCs w:val="20"/>
          <w:lang w:eastAsia="es-MX"/>
        </w:rPr>
      </w:pPr>
    </w:p>
    <w:p w:rsidR="007F193C" w:rsidRDefault="007F193C" w:rsidP="00BC44A7">
      <w:pPr>
        <w:spacing w:after="0" w:line="240" w:lineRule="auto"/>
        <w:rPr>
          <w:b/>
          <w:sz w:val="20"/>
          <w:szCs w:val="20"/>
        </w:rPr>
      </w:pPr>
    </w:p>
    <w:p w:rsidR="007F193C" w:rsidRDefault="007F193C">
      <w:pPr>
        <w:rPr>
          <w:b/>
          <w:sz w:val="20"/>
          <w:szCs w:val="20"/>
        </w:rPr>
      </w:pPr>
    </w:p>
    <w:p w:rsidR="007F193C" w:rsidRDefault="007F193C">
      <w:pPr>
        <w:rPr>
          <w:b/>
          <w:sz w:val="20"/>
          <w:szCs w:val="20"/>
        </w:rPr>
      </w:pPr>
    </w:p>
    <w:p w:rsidR="00956C23" w:rsidRPr="00BC7BD7" w:rsidRDefault="00956C23">
      <w:pPr>
        <w:rPr>
          <w:b/>
          <w:sz w:val="20"/>
          <w:szCs w:val="20"/>
        </w:rPr>
      </w:pPr>
    </w:p>
    <w:tbl>
      <w:tblPr>
        <w:tblW w:w="13720" w:type="dxa"/>
        <w:tblInd w:w="55" w:type="dxa"/>
        <w:tblCellMar>
          <w:left w:w="70" w:type="dxa"/>
          <w:right w:w="70" w:type="dxa"/>
        </w:tblCellMar>
        <w:tblLook w:val="04A0" w:firstRow="1" w:lastRow="0" w:firstColumn="1" w:lastColumn="0" w:noHBand="0" w:noVBand="1"/>
      </w:tblPr>
      <w:tblGrid>
        <w:gridCol w:w="13720"/>
      </w:tblGrid>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NOTA 3</w:t>
            </w:r>
          </w:p>
        </w:tc>
      </w:tr>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BC44A7" w:rsidP="001352BE">
            <w:pPr>
              <w:spacing w:after="0" w:line="240" w:lineRule="auto"/>
              <w:jc w:val="center"/>
              <w:rPr>
                <w:rFonts w:eastAsia="Times New Roman" w:cs="Arial"/>
                <w:b/>
                <w:bCs/>
                <w:sz w:val="20"/>
                <w:szCs w:val="20"/>
                <w:lang w:eastAsia="es-MX"/>
              </w:rPr>
            </w:pPr>
            <w:r>
              <w:rPr>
                <w:rFonts w:eastAsia="Times New Roman" w:cs="Arial"/>
                <w:b/>
                <w:bCs/>
                <w:sz w:val="20"/>
                <w:szCs w:val="20"/>
                <w:lang w:eastAsia="es-MX"/>
              </w:rPr>
              <w:t>ESTIMACIONES POR PÉRDIDA O DETERIORO DE ACTIVOS CIRCULANTES</w:t>
            </w:r>
          </w:p>
        </w:tc>
      </w:tr>
    </w:tbl>
    <w:p w:rsidR="001352BE" w:rsidRPr="00BC7BD7" w:rsidRDefault="001352BE">
      <w:pPr>
        <w:rPr>
          <w:b/>
          <w:sz w:val="20"/>
          <w:szCs w:val="20"/>
        </w:rPr>
      </w:pPr>
    </w:p>
    <w:p w:rsidR="00BC44A7" w:rsidRPr="00BC44A7" w:rsidRDefault="00BC44A7" w:rsidP="00BC44A7">
      <w:pPr>
        <w:spacing w:after="0" w:line="240" w:lineRule="auto"/>
        <w:rPr>
          <w:rFonts w:ascii="Calibri" w:eastAsia="Times New Roman" w:hAnsi="Calibri" w:cs="Arial"/>
          <w:sz w:val="20"/>
          <w:szCs w:val="20"/>
          <w:lang w:eastAsia="es-MX"/>
        </w:rPr>
      </w:pPr>
      <w:r w:rsidRPr="00BC44A7">
        <w:rPr>
          <w:rFonts w:ascii="Calibri" w:eastAsia="Times New Roman" w:hAnsi="Calibri" w:cs="Arial"/>
          <w:sz w:val="20"/>
          <w:szCs w:val="20"/>
          <w:lang w:eastAsia="es-MX"/>
        </w:rPr>
        <w:t xml:space="preserve">El Fideicomiso Irrevocable de Administración y Fuente de Pago 2003626 no cuenta con algún registro en este rubro, puesto que aun </w:t>
      </w:r>
      <w:proofErr w:type="spellStart"/>
      <w:r w:rsidRPr="00BC44A7">
        <w:rPr>
          <w:rFonts w:ascii="Calibri" w:eastAsia="Times New Roman" w:hAnsi="Calibri" w:cs="Arial"/>
          <w:sz w:val="20"/>
          <w:szCs w:val="20"/>
          <w:lang w:eastAsia="es-MX"/>
        </w:rPr>
        <w:t>esta</w:t>
      </w:r>
      <w:proofErr w:type="spellEnd"/>
      <w:r w:rsidRPr="00BC44A7">
        <w:rPr>
          <w:rFonts w:ascii="Calibri" w:eastAsia="Times New Roman" w:hAnsi="Calibri" w:cs="Arial"/>
          <w:sz w:val="20"/>
          <w:szCs w:val="20"/>
          <w:lang w:eastAsia="es-MX"/>
        </w:rPr>
        <w:t xml:space="preserve"> en Obra en Proceso, hasta que se capitalice se le aplicará la depreciación correspondiente.</w:t>
      </w:r>
    </w:p>
    <w:p w:rsidR="001352BE" w:rsidRPr="00BC7BD7" w:rsidRDefault="001352BE">
      <w:pPr>
        <w:rPr>
          <w:b/>
          <w:sz w:val="20"/>
          <w:szCs w:val="20"/>
        </w:rPr>
      </w:pPr>
    </w:p>
    <w:p w:rsidR="001352BE" w:rsidRDefault="001352BE" w:rsidP="001352BE">
      <w:pPr>
        <w:spacing w:after="0" w:line="240" w:lineRule="auto"/>
        <w:rPr>
          <w:rFonts w:eastAsia="Times New Roman" w:cs="Arial"/>
          <w:sz w:val="20"/>
          <w:szCs w:val="20"/>
          <w:lang w:eastAsia="es-MX"/>
        </w:rPr>
      </w:pPr>
    </w:p>
    <w:p w:rsidR="00BC44A7" w:rsidRPr="00BC7BD7" w:rsidRDefault="00BC44A7" w:rsidP="001352BE">
      <w:pPr>
        <w:spacing w:after="0" w:line="240" w:lineRule="auto"/>
        <w:rPr>
          <w:rFonts w:eastAsia="Times New Roman" w:cs="Arial"/>
          <w:sz w:val="20"/>
          <w:szCs w:val="20"/>
          <w:lang w:eastAsia="es-MX"/>
        </w:rPr>
      </w:pPr>
    </w:p>
    <w:tbl>
      <w:tblPr>
        <w:tblW w:w="13720" w:type="dxa"/>
        <w:tblInd w:w="55" w:type="dxa"/>
        <w:tblCellMar>
          <w:left w:w="70" w:type="dxa"/>
          <w:right w:w="70" w:type="dxa"/>
        </w:tblCellMar>
        <w:tblLook w:val="04A0" w:firstRow="1" w:lastRow="0" w:firstColumn="1" w:lastColumn="0" w:noHBand="0" w:noVBand="1"/>
      </w:tblPr>
      <w:tblGrid>
        <w:gridCol w:w="13720"/>
      </w:tblGrid>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NOTA 4</w:t>
            </w:r>
          </w:p>
        </w:tc>
      </w:tr>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BC44A7"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CUENTAS POR PAGAR A CORTO PLAZO</w:t>
            </w:r>
          </w:p>
        </w:tc>
      </w:tr>
    </w:tbl>
    <w:p w:rsidR="00712A1E" w:rsidRDefault="00712A1E" w:rsidP="001352BE">
      <w:pPr>
        <w:spacing w:after="0" w:line="240" w:lineRule="auto"/>
        <w:rPr>
          <w:rFonts w:eastAsia="Times New Roman" w:cs="Arial"/>
          <w:sz w:val="20"/>
          <w:szCs w:val="20"/>
          <w:lang w:eastAsia="es-MX"/>
        </w:rPr>
      </w:pPr>
    </w:p>
    <w:p w:rsidR="006505A3" w:rsidRDefault="006505A3" w:rsidP="006505A3">
      <w:pPr>
        <w:spacing w:after="0" w:line="240" w:lineRule="auto"/>
        <w:rPr>
          <w:rFonts w:ascii="Arial" w:eastAsia="Times New Roman" w:hAnsi="Arial" w:cs="Arial"/>
          <w:sz w:val="20"/>
          <w:szCs w:val="20"/>
          <w:lang w:eastAsia="es-MX"/>
        </w:rPr>
      </w:pPr>
      <w:r w:rsidRPr="006505A3">
        <w:rPr>
          <w:rFonts w:ascii="Arial" w:eastAsia="Times New Roman" w:hAnsi="Arial" w:cs="Arial"/>
          <w:sz w:val="20"/>
          <w:szCs w:val="20"/>
          <w:lang w:eastAsia="es-MX"/>
        </w:rPr>
        <w:t xml:space="preserve">El saldo de 156,600.00 de la cuenta otras cuentas por pagar a corto plazo, </w:t>
      </w:r>
      <w:proofErr w:type="spellStart"/>
      <w:r w:rsidRPr="006505A3">
        <w:rPr>
          <w:rFonts w:ascii="Arial" w:eastAsia="Times New Roman" w:hAnsi="Arial" w:cs="Arial"/>
          <w:sz w:val="20"/>
          <w:szCs w:val="20"/>
          <w:lang w:eastAsia="es-MX"/>
        </w:rPr>
        <w:t>estan</w:t>
      </w:r>
      <w:proofErr w:type="spellEnd"/>
      <w:r w:rsidRPr="006505A3">
        <w:rPr>
          <w:rFonts w:ascii="Arial" w:eastAsia="Times New Roman" w:hAnsi="Arial" w:cs="Arial"/>
          <w:sz w:val="20"/>
          <w:szCs w:val="20"/>
          <w:lang w:eastAsia="es-MX"/>
        </w:rPr>
        <w:t xml:space="preserve"> integrada de la siguiente manera:</w:t>
      </w:r>
    </w:p>
    <w:p w:rsidR="006505A3" w:rsidRPr="006505A3" w:rsidRDefault="006505A3" w:rsidP="006505A3">
      <w:pPr>
        <w:spacing w:after="0" w:line="240" w:lineRule="auto"/>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4570"/>
        <w:gridCol w:w="4571"/>
        <w:gridCol w:w="4571"/>
      </w:tblGrid>
      <w:tr w:rsidR="006505A3" w:rsidTr="008E7AF0">
        <w:tc>
          <w:tcPr>
            <w:tcW w:w="13712" w:type="dxa"/>
            <w:gridSpan w:val="3"/>
          </w:tcPr>
          <w:p w:rsidR="006505A3" w:rsidRPr="006505A3" w:rsidRDefault="006505A3" w:rsidP="006505A3">
            <w:pPr>
              <w:jc w:val="center"/>
              <w:rPr>
                <w:rFonts w:eastAsia="Times New Roman" w:cs="Arial"/>
                <w:b/>
                <w:sz w:val="20"/>
                <w:szCs w:val="20"/>
                <w:lang w:eastAsia="es-MX"/>
              </w:rPr>
            </w:pPr>
            <w:r>
              <w:rPr>
                <w:rFonts w:eastAsia="Times New Roman" w:cs="Arial"/>
                <w:b/>
                <w:sz w:val="20"/>
                <w:szCs w:val="20"/>
                <w:lang w:eastAsia="es-MX"/>
              </w:rPr>
              <w:t>PROVEEDORES</w:t>
            </w:r>
          </w:p>
        </w:tc>
      </w:tr>
      <w:tr w:rsidR="006505A3" w:rsidTr="006505A3">
        <w:tc>
          <w:tcPr>
            <w:tcW w:w="4570" w:type="dxa"/>
          </w:tcPr>
          <w:p w:rsidR="006505A3" w:rsidRPr="006505A3" w:rsidRDefault="006505A3" w:rsidP="006505A3">
            <w:pPr>
              <w:jc w:val="center"/>
              <w:rPr>
                <w:rFonts w:eastAsia="Times New Roman" w:cs="Arial"/>
                <w:b/>
                <w:sz w:val="20"/>
                <w:szCs w:val="20"/>
                <w:lang w:eastAsia="es-MX"/>
              </w:rPr>
            </w:pPr>
            <w:r>
              <w:rPr>
                <w:rFonts w:eastAsia="Times New Roman" w:cs="Arial"/>
                <w:b/>
                <w:sz w:val="20"/>
                <w:szCs w:val="20"/>
                <w:lang w:eastAsia="es-MX"/>
              </w:rPr>
              <w:t>Cuenta</w:t>
            </w:r>
          </w:p>
        </w:tc>
        <w:tc>
          <w:tcPr>
            <w:tcW w:w="4571" w:type="dxa"/>
          </w:tcPr>
          <w:p w:rsidR="006505A3" w:rsidRPr="006505A3" w:rsidRDefault="006505A3" w:rsidP="001352BE">
            <w:pPr>
              <w:rPr>
                <w:rFonts w:eastAsia="Times New Roman" w:cs="Arial"/>
                <w:b/>
                <w:sz w:val="20"/>
                <w:szCs w:val="20"/>
                <w:lang w:eastAsia="es-MX"/>
              </w:rPr>
            </w:pPr>
            <w:r>
              <w:rPr>
                <w:rFonts w:eastAsia="Times New Roman" w:cs="Arial"/>
                <w:sz w:val="20"/>
                <w:szCs w:val="20"/>
                <w:lang w:eastAsia="es-MX"/>
              </w:rPr>
              <w:t xml:space="preserve">                              </w:t>
            </w:r>
            <w:r>
              <w:rPr>
                <w:rFonts w:eastAsia="Times New Roman" w:cs="Arial"/>
                <w:b/>
                <w:sz w:val="20"/>
                <w:szCs w:val="20"/>
                <w:lang w:eastAsia="es-MX"/>
              </w:rPr>
              <w:t>Nombre</w:t>
            </w:r>
          </w:p>
        </w:tc>
        <w:tc>
          <w:tcPr>
            <w:tcW w:w="4571" w:type="dxa"/>
          </w:tcPr>
          <w:p w:rsidR="006505A3" w:rsidRPr="006505A3" w:rsidRDefault="006505A3" w:rsidP="006505A3">
            <w:pPr>
              <w:jc w:val="center"/>
              <w:rPr>
                <w:rFonts w:eastAsia="Times New Roman" w:cs="Arial"/>
                <w:b/>
                <w:sz w:val="20"/>
                <w:szCs w:val="20"/>
                <w:lang w:eastAsia="es-MX"/>
              </w:rPr>
            </w:pPr>
            <w:r>
              <w:rPr>
                <w:rFonts w:eastAsia="Times New Roman" w:cs="Arial"/>
                <w:b/>
                <w:sz w:val="20"/>
                <w:szCs w:val="20"/>
                <w:lang w:eastAsia="es-MX"/>
              </w:rPr>
              <w:t>Importe</w:t>
            </w:r>
          </w:p>
        </w:tc>
      </w:tr>
      <w:tr w:rsidR="006505A3" w:rsidTr="006505A3">
        <w:tc>
          <w:tcPr>
            <w:tcW w:w="4570" w:type="dxa"/>
          </w:tcPr>
          <w:p w:rsidR="006505A3" w:rsidRDefault="006505A3" w:rsidP="006505A3">
            <w:pPr>
              <w:jc w:val="center"/>
              <w:rPr>
                <w:rFonts w:eastAsia="Times New Roman" w:cs="Arial"/>
                <w:sz w:val="20"/>
                <w:szCs w:val="20"/>
                <w:lang w:eastAsia="es-MX"/>
              </w:rPr>
            </w:pPr>
            <w:r>
              <w:rPr>
                <w:rFonts w:eastAsia="Times New Roman" w:cs="Arial"/>
                <w:sz w:val="20"/>
                <w:szCs w:val="20"/>
                <w:lang w:eastAsia="es-MX"/>
              </w:rPr>
              <w:t>2-1-1-2-0-001-000</w:t>
            </w:r>
          </w:p>
        </w:tc>
        <w:tc>
          <w:tcPr>
            <w:tcW w:w="4571" w:type="dxa"/>
          </w:tcPr>
          <w:p w:rsidR="006505A3" w:rsidRDefault="006505A3" w:rsidP="001352BE">
            <w:pPr>
              <w:rPr>
                <w:rFonts w:eastAsia="Times New Roman" w:cs="Arial"/>
                <w:sz w:val="20"/>
                <w:szCs w:val="20"/>
                <w:lang w:eastAsia="es-MX"/>
              </w:rPr>
            </w:pPr>
            <w:r>
              <w:rPr>
                <w:rFonts w:eastAsia="Times New Roman" w:cs="Arial"/>
                <w:sz w:val="20"/>
                <w:szCs w:val="20"/>
                <w:lang w:eastAsia="es-MX"/>
              </w:rPr>
              <w:t>Secretaría de Administración y Finanzas</w:t>
            </w:r>
          </w:p>
        </w:tc>
        <w:tc>
          <w:tcPr>
            <w:tcW w:w="4571" w:type="dxa"/>
          </w:tcPr>
          <w:p w:rsidR="006505A3" w:rsidRDefault="006505A3" w:rsidP="006505A3">
            <w:pPr>
              <w:jc w:val="center"/>
              <w:rPr>
                <w:rFonts w:eastAsia="Times New Roman" w:cs="Arial"/>
                <w:sz w:val="20"/>
                <w:szCs w:val="20"/>
                <w:lang w:eastAsia="es-MX"/>
              </w:rPr>
            </w:pPr>
            <w:r>
              <w:rPr>
                <w:rFonts w:eastAsia="Times New Roman" w:cs="Arial"/>
                <w:sz w:val="20"/>
                <w:szCs w:val="20"/>
                <w:lang w:eastAsia="es-MX"/>
              </w:rPr>
              <w:t>156,600.00</w:t>
            </w:r>
          </w:p>
        </w:tc>
      </w:tr>
      <w:tr w:rsidR="006505A3" w:rsidTr="006505A3">
        <w:tc>
          <w:tcPr>
            <w:tcW w:w="4570" w:type="dxa"/>
          </w:tcPr>
          <w:p w:rsidR="006505A3" w:rsidRDefault="006505A3" w:rsidP="006505A3">
            <w:pPr>
              <w:jc w:val="center"/>
              <w:rPr>
                <w:rFonts w:eastAsia="Times New Roman" w:cs="Arial"/>
                <w:sz w:val="20"/>
                <w:szCs w:val="20"/>
                <w:lang w:eastAsia="es-MX"/>
              </w:rPr>
            </w:pPr>
            <w:r>
              <w:rPr>
                <w:rFonts w:eastAsia="Times New Roman" w:cs="Arial"/>
                <w:sz w:val="20"/>
                <w:szCs w:val="20"/>
                <w:lang w:eastAsia="es-MX"/>
              </w:rPr>
              <w:t>2-1-1-2-0-002-000</w:t>
            </w:r>
          </w:p>
        </w:tc>
        <w:tc>
          <w:tcPr>
            <w:tcW w:w="4571" w:type="dxa"/>
          </w:tcPr>
          <w:p w:rsidR="006505A3" w:rsidRDefault="006505A3" w:rsidP="001352BE">
            <w:pPr>
              <w:rPr>
                <w:rFonts w:eastAsia="Times New Roman" w:cs="Arial"/>
                <w:sz w:val="20"/>
                <w:szCs w:val="20"/>
                <w:lang w:eastAsia="es-MX"/>
              </w:rPr>
            </w:pPr>
            <w:r>
              <w:rPr>
                <w:rFonts w:eastAsia="Times New Roman" w:cs="Arial"/>
                <w:sz w:val="20"/>
                <w:szCs w:val="20"/>
                <w:lang w:eastAsia="es-MX"/>
              </w:rPr>
              <w:t>Constructora Uribe Capetillo S.A. de C.V.</w:t>
            </w:r>
          </w:p>
        </w:tc>
        <w:tc>
          <w:tcPr>
            <w:tcW w:w="4571" w:type="dxa"/>
          </w:tcPr>
          <w:p w:rsidR="006505A3" w:rsidRDefault="006505A3" w:rsidP="006505A3">
            <w:pPr>
              <w:jc w:val="center"/>
              <w:rPr>
                <w:rFonts w:eastAsia="Times New Roman" w:cs="Arial"/>
                <w:sz w:val="20"/>
                <w:szCs w:val="20"/>
                <w:lang w:eastAsia="es-MX"/>
              </w:rPr>
            </w:pPr>
            <w:r>
              <w:rPr>
                <w:rFonts w:eastAsia="Times New Roman" w:cs="Arial"/>
                <w:sz w:val="20"/>
                <w:szCs w:val="20"/>
                <w:lang w:eastAsia="es-MX"/>
              </w:rPr>
              <w:t>-</w:t>
            </w:r>
          </w:p>
        </w:tc>
      </w:tr>
    </w:tbl>
    <w:p w:rsidR="001352BE" w:rsidRDefault="006505A3" w:rsidP="006505A3">
      <w:pPr>
        <w:rPr>
          <w:sz w:val="20"/>
          <w:szCs w:val="20"/>
        </w:rPr>
      </w:pPr>
      <w:r>
        <w:rPr>
          <w:b/>
          <w:sz w:val="20"/>
          <w:szCs w:val="20"/>
        </w:rPr>
        <w:t xml:space="preserve">                                                                                                                                                                                                                                                  </w:t>
      </w:r>
      <w:r>
        <w:rPr>
          <w:sz w:val="20"/>
          <w:szCs w:val="20"/>
        </w:rPr>
        <w:t>156,600.00</w:t>
      </w:r>
    </w:p>
    <w:p w:rsidR="006505A3" w:rsidRDefault="006505A3" w:rsidP="006505A3">
      <w:pPr>
        <w:rPr>
          <w:sz w:val="20"/>
          <w:szCs w:val="20"/>
        </w:rPr>
      </w:pPr>
      <w:r>
        <w:rPr>
          <w:sz w:val="20"/>
          <w:szCs w:val="20"/>
        </w:rPr>
        <w:t>*Representan 9 meses de Honorarios a la Fiduciaria, pendientes de pagarles</w:t>
      </w:r>
    </w:p>
    <w:tbl>
      <w:tblPr>
        <w:tblStyle w:val="Tablaconcuadrcula"/>
        <w:tblW w:w="0" w:type="auto"/>
        <w:tblLook w:val="04A0" w:firstRow="1" w:lastRow="0" w:firstColumn="1" w:lastColumn="0" w:noHBand="0" w:noVBand="1"/>
      </w:tblPr>
      <w:tblGrid>
        <w:gridCol w:w="4570"/>
        <w:gridCol w:w="4571"/>
        <w:gridCol w:w="4571"/>
      </w:tblGrid>
      <w:tr w:rsidR="006505A3" w:rsidTr="00891C44">
        <w:tc>
          <w:tcPr>
            <w:tcW w:w="13712" w:type="dxa"/>
            <w:gridSpan w:val="3"/>
          </w:tcPr>
          <w:p w:rsidR="006505A3" w:rsidRPr="006505A3" w:rsidRDefault="006505A3" w:rsidP="006505A3">
            <w:pPr>
              <w:jc w:val="center"/>
              <w:rPr>
                <w:b/>
                <w:sz w:val="20"/>
                <w:szCs w:val="20"/>
              </w:rPr>
            </w:pPr>
            <w:r>
              <w:rPr>
                <w:b/>
                <w:sz w:val="20"/>
                <w:szCs w:val="20"/>
              </w:rPr>
              <w:t>ACREEDORES DIVERSOS</w:t>
            </w:r>
          </w:p>
        </w:tc>
      </w:tr>
      <w:tr w:rsidR="006505A3" w:rsidTr="006505A3">
        <w:tc>
          <w:tcPr>
            <w:tcW w:w="4570" w:type="dxa"/>
          </w:tcPr>
          <w:p w:rsidR="006505A3" w:rsidRPr="006505A3" w:rsidRDefault="006505A3" w:rsidP="006505A3">
            <w:pPr>
              <w:jc w:val="center"/>
              <w:rPr>
                <w:b/>
                <w:sz w:val="20"/>
                <w:szCs w:val="20"/>
              </w:rPr>
            </w:pPr>
            <w:r>
              <w:rPr>
                <w:b/>
                <w:sz w:val="20"/>
                <w:szCs w:val="20"/>
              </w:rPr>
              <w:t>Cuenta</w:t>
            </w:r>
          </w:p>
        </w:tc>
        <w:tc>
          <w:tcPr>
            <w:tcW w:w="4571" w:type="dxa"/>
          </w:tcPr>
          <w:p w:rsidR="006505A3" w:rsidRPr="006505A3" w:rsidRDefault="006505A3" w:rsidP="006505A3">
            <w:pPr>
              <w:jc w:val="center"/>
              <w:rPr>
                <w:b/>
                <w:sz w:val="20"/>
                <w:szCs w:val="20"/>
              </w:rPr>
            </w:pPr>
            <w:r>
              <w:rPr>
                <w:b/>
                <w:sz w:val="20"/>
                <w:szCs w:val="20"/>
              </w:rPr>
              <w:t>Nombre</w:t>
            </w:r>
          </w:p>
        </w:tc>
        <w:tc>
          <w:tcPr>
            <w:tcW w:w="4571" w:type="dxa"/>
          </w:tcPr>
          <w:p w:rsidR="006505A3" w:rsidRPr="006505A3" w:rsidRDefault="006505A3" w:rsidP="006505A3">
            <w:pPr>
              <w:jc w:val="center"/>
              <w:rPr>
                <w:b/>
                <w:sz w:val="20"/>
                <w:szCs w:val="20"/>
              </w:rPr>
            </w:pPr>
            <w:r>
              <w:rPr>
                <w:b/>
                <w:sz w:val="20"/>
                <w:szCs w:val="20"/>
              </w:rPr>
              <w:t>Importe</w:t>
            </w:r>
          </w:p>
        </w:tc>
      </w:tr>
      <w:tr w:rsidR="006505A3" w:rsidTr="006505A3">
        <w:tc>
          <w:tcPr>
            <w:tcW w:w="4570" w:type="dxa"/>
          </w:tcPr>
          <w:p w:rsidR="006505A3" w:rsidRDefault="00D628A6" w:rsidP="00D628A6">
            <w:pPr>
              <w:jc w:val="center"/>
              <w:rPr>
                <w:sz w:val="20"/>
                <w:szCs w:val="20"/>
              </w:rPr>
            </w:pPr>
            <w:r>
              <w:rPr>
                <w:sz w:val="20"/>
                <w:szCs w:val="20"/>
              </w:rPr>
              <w:t>2-1-1-9-0-001-000</w:t>
            </w:r>
          </w:p>
        </w:tc>
        <w:tc>
          <w:tcPr>
            <w:tcW w:w="4571" w:type="dxa"/>
          </w:tcPr>
          <w:p w:rsidR="006505A3" w:rsidRDefault="00D628A6" w:rsidP="006505A3">
            <w:pPr>
              <w:rPr>
                <w:sz w:val="20"/>
                <w:szCs w:val="20"/>
              </w:rPr>
            </w:pPr>
            <w:r>
              <w:rPr>
                <w:sz w:val="20"/>
                <w:szCs w:val="20"/>
              </w:rPr>
              <w:t>Secretaría de Administración y Finanzas</w:t>
            </w:r>
          </w:p>
        </w:tc>
        <w:tc>
          <w:tcPr>
            <w:tcW w:w="4571" w:type="dxa"/>
          </w:tcPr>
          <w:p w:rsidR="006505A3" w:rsidRDefault="00D628A6" w:rsidP="00D628A6">
            <w:pPr>
              <w:jc w:val="center"/>
              <w:rPr>
                <w:sz w:val="20"/>
                <w:szCs w:val="20"/>
              </w:rPr>
            </w:pPr>
            <w:r>
              <w:rPr>
                <w:sz w:val="20"/>
                <w:szCs w:val="20"/>
              </w:rPr>
              <w:t>-</w:t>
            </w:r>
          </w:p>
        </w:tc>
      </w:tr>
      <w:tr w:rsidR="006505A3" w:rsidTr="006505A3">
        <w:tc>
          <w:tcPr>
            <w:tcW w:w="4570" w:type="dxa"/>
          </w:tcPr>
          <w:p w:rsidR="006505A3" w:rsidRDefault="00D628A6" w:rsidP="00D628A6">
            <w:pPr>
              <w:jc w:val="center"/>
              <w:rPr>
                <w:sz w:val="20"/>
                <w:szCs w:val="20"/>
              </w:rPr>
            </w:pPr>
            <w:r>
              <w:rPr>
                <w:sz w:val="20"/>
                <w:szCs w:val="20"/>
              </w:rPr>
              <w:t>2-1-1-9-0-002-000</w:t>
            </w:r>
          </w:p>
        </w:tc>
        <w:tc>
          <w:tcPr>
            <w:tcW w:w="4571" w:type="dxa"/>
          </w:tcPr>
          <w:p w:rsidR="006505A3" w:rsidRDefault="00D628A6" w:rsidP="006505A3">
            <w:pPr>
              <w:rPr>
                <w:sz w:val="20"/>
                <w:szCs w:val="20"/>
              </w:rPr>
            </w:pPr>
            <w:r>
              <w:rPr>
                <w:sz w:val="20"/>
                <w:szCs w:val="20"/>
              </w:rPr>
              <w:t>Cámara Mexicana de la Industria de la Construcción</w:t>
            </w:r>
          </w:p>
        </w:tc>
        <w:tc>
          <w:tcPr>
            <w:tcW w:w="4571" w:type="dxa"/>
          </w:tcPr>
          <w:p w:rsidR="006505A3" w:rsidRDefault="00D628A6" w:rsidP="00D628A6">
            <w:pPr>
              <w:jc w:val="center"/>
              <w:rPr>
                <w:sz w:val="20"/>
                <w:szCs w:val="20"/>
              </w:rPr>
            </w:pPr>
            <w:r>
              <w:rPr>
                <w:sz w:val="20"/>
                <w:szCs w:val="20"/>
              </w:rPr>
              <w:t>-</w:t>
            </w:r>
          </w:p>
        </w:tc>
      </w:tr>
    </w:tbl>
    <w:p w:rsidR="00956C23" w:rsidRDefault="00D628A6">
      <w:pPr>
        <w:rPr>
          <w:sz w:val="20"/>
          <w:szCs w:val="20"/>
        </w:rPr>
      </w:pPr>
      <w:r>
        <w:rPr>
          <w:sz w:val="20"/>
          <w:szCs w:val="20"/>
        </w:rPr>
        <w:t xml:space="preserve">                                                                                                     </w:t>
      </w:r>
      <w:r>
        <w:rPr>
          <w:b/>
          <w:sz w:val="20"/>
          <w:szCs w:val="20"/>
        </w:rPr>
        <w:t xml:space="preserve">TOTAL CUENTAS POR PAGAR A CORTO PLAZO                                         </w:t>
      </w:r>
      <w:r w:rsidRPr="00D628A6">
        <w:rPr>
          <w:b/>
          <w:sz w:val="20"/>
          <w:szCs w:val="20"/>
        </w:rPr>
        <w:t>156,600.00</w:t>
      </w:r>
    </w:p>
    <w:tbl>
      <w:tblPr>
        <w:tblpPr w:leftFromText="141" w:rightFromText="141" w:tblpY="-420"/>
        <w:tblW w:w="14047" w:type="dxa"/>
        <w:tblCellMar>
          <w:left w:w="70" w:type="dxa"/>
          <w:right w:w="70" w:type="dxa"/>
        </w:tblCellMar>
        <w:tblLook w:val="04A0" w:firstRow="1" w:lastRow="0" w:firstColumn="1" w:lastColumn="0" w:noHBand="0" w:noVBand="1"/>
      </w:tblPr>
      <w:tblGrid>
        <w:gridCol w:w="1654"/>
        <w:gridCol w:w="1613"/>
        <w:gridCol w:w="1817"/>
        <w:gridCol w:w="1225"/>
        <w:gridCol w:w="1511"/>
        <w:gridCol w:w="1490"/>
        <w:gridCol w:w="1776"/>
        <w:gridCol w:w="1654"/>
        <w:gridCol w:w="1307"/>
      </w:tblGrid>
      <w:tr w:rsidR="00D628A6" w:rsidRPr="00D628A6" w:rsidTr="008846A5">
        <w:trPr>
          <w:trHeight w:val="315"/>
        </w:trPr>
        <w:tc>
          <w:tcPr>
            <w:tcW w:w="14047" w:type="dxa"/>
            <w:gridSpan w:val="9"/>
            <w:tcBorders>
              <w:top w:val="nil"/>
              <w:left w:val="nil"/>
              <w:bottom w:val="nil"/>
              <w:right w:val="nil"/>
            </w:tcBorders>
            <w:shd w:val="clear" w:color="auto" w:fill="auto"/>
            <w:noWrap/>
            <w:vAlign w:val="bottom"/>
            <w:hideMark/>
          </w:tcPr>
          <w:p w:rsidR="00D628A6" w:rsidRPr="00D628A6" w:rsidRDefault="00D628A6" w:rsidP="008846A5">
            <w:pPr>
              <w:spacing w:after="0" w:line="240" w:lineRule="auto"/>
              <w:jc w:val="center"/>
              <w:rPr>
                <w:rFonts w:ascii="Calibri" w:eastAsia="Times New Roman" w:hAnsi="Calibri" w:cs="Times New Roman"/>
                <w:b/>
                <w:bCs/>
                <w:sz w:val="24"/>
                <w:szCs w:val="24"/>
                <w:lang w:eastAsia="es-MX"/>
              </w:rPr>
            </w:pPr>
            <w:r w:rsidRPr="00D628A6">
              <w:rPr>
                <w:rFonts w:ascii="Calibri" w:eastAsia="Times New Roman" w:hAnsi="Calibri" w:cs="Times New Roman"/>
                <w:b/>
                <w:bCs/>
                <w:sz w:val="24"/>
                <w:szCs w:val="24"/>
                <w:lang w:eastAsia="es-MX"/>
              </w:rPr>
              <w:t>NOTAS AL ESTADO DE VARIACIONES EN LA HACIENDA PUBLICA/PATRIMONIO</w:t>
            </w:r>
          </w:p>
        </w:tc>
      </w:tr>
      <w:tr w:rsidR="00D628A6" w:rsidRPr="00D628A6" w:rsidTr="008846A5">
        <w:trPr>
          <w:trHeight w:val="270"/>
        </w:trPr>
        <w:tc>
          <w:tcPr>
            <w:tcW w:w="1654"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613"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817"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225"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511"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490"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776"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654"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307"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r>
      <w:tr w:rsidR="00D628A6" w:rsidRPr="00D628A6" w:rsidTr="008846A5">
        <w:trPr>
          <w:trHeight w:val="270"/>
        </w:trPr>
        <w:tc>
          <w:tcPr>
            <w:tcW w:w="1404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28A6" w:rsidRPr="00D628A6" w:rsidRDefault="00D628A6" w:rsidP="008846A5">
            <w:pPr>
              <w:spacing w:after="0" w:line="240" w:lineRule="auto"/>
              <w:jc w:val="center"/>
              <w:rPr>
                <w:rFonts w:ascii="Calibri" w:eastAsia="Times New Roman" w:hAnsi="Calibri" w:cs="Arial"/>
                <w:b/>
                <w:bCs/>
                <w:sz w:val="20"/>
                <w:szCs w:val="20"/>
                <w:lang w:eastAsia="es-MX"/>
              </w:rPr>
            </w:pPr>
            <w:r w:rsidRPr="00D628A6">
              <w:rPr>
                <w:rFonts w:ascii="Calibri" w:eastAsia="Times New Roman" w:hAnsi="Calibri" w:cs="Arial"/>
                <w:b/>
                <w:bCs/>
                <w:sz w:val="20"/>
                <w:szCs w:val="20"/>
                <w:lang w:eastAsia="es-MX"/>
              </w:rPr>
              <w:t>NOTA 1</w:t>
            </w:r>
          </w:p>
        </w:tc>
      </w:tr>
      <w:tr w:rsidR="00D628A6" w:rsidRPr="00D628A6" w:rsidTr="008846A5">
        <w:trPr>
          <w:trHeight w:val="270"/>
        </w:trPr>
        <w:tc>
          <w:tcPr>
            <w:tcW w:w="1404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28A6" w:rsidRPr="00D628A6" w:rsidRDefault="00D628A6" w:rsidP="008846A5">
            <w:pPr>
              <w:spacing w:after="0" w:line="240" w:lineRule="auto"/>
              <w:jc w:val="center"/>
              <w:rPr>
                <w:rFonts w:ascii="Calibri" w:eastAsia="Times New Roman" w:hAnsi="Calibri" w:cs="Arial"/>
                <w:b/>
                <w:bCs/>
                <w:sz w:val="20"/>
                <w:szCs w:val="20"/>
                <w:lang w:eastAsia="es-MX"/>
              </w:rPr>
            </w:pPr>
            <w:r w:rsidRPr="00D628A6">
              <w:rPr>
                <w:rFonts w:ascii="Calibri" w:eastAsia="Times New Roman" w:hAnsi="Calibri" w:cs="Arial"/>
                <w:b/>
                <w:bCs/>
                <w:sz w:val="20"/>
                <w:szCs w:val="20"/>
                <w:lang w:eastAsia="es-MX"/>
              </w:rPr>
              <w:t>PROCEDENCIA DE LOS RECURSOS QUE MODIFICAN AL PATRIMONIO GENERADO</w:t>
            </w:r>
          </w:p>
        </w:tc>
      </w:tr>
      <w:tr w:rsidR="00D628A6" w:rsidRPr="00D628A6" w:rsidTr="008846A5">
        <w:trPr>
          <w:trHeight w:val="255"/>
        </w:trPr>
        <w:tc>
          <w:tcPr>
            <w:tcW w:w="1654"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613"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817"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225"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511"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490"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776"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654"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307"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r>
      <w:tr w:rsidR="00D628A6" w:rsidRPr="00D628A6" w:rsidTr="008846A5">
        <w:trPr>
          <w:trHeight w:val="885"/>
        </w:trPr>
        <w:tc>
          <w:tcPr>
            <w:tcW w:w="14047" w:type="dxa"/>
            <w:gridSpan w:val="9"/>
            <w:tcBorders>
              <w:top w:val="nil"/>
              <w:left w:val="nil"/>
              <w:bottom w:val="nil"/>
              <w:right w:val="nil"/>
            </w:tcBorders>
            <w:shd w:val="clear" w:color="auto" w:fill="auto"/>
            <w:hideMark/>
          </w:tcPr>
          <w:p w:rsidR="00D628A6" w:rsidRPr="00D628A6" w:rsidRDefault="00D628A6" w:rsidP="008846A5">
            <w:pPr>
              <w:spacing w:after="0" w:line="240" w:lineRule="auto"/>
              <w:jc w:val="both"/>
              <w:rPr>
                <w:rFonts w:ascii="Calibri" w:eastAsia="Times New Roman" w:hAnsi="Calibri" w:cs="Arial"/>
                <w:sz w:val="20"/>
                <w:szCs w:val="20"/>
                <w:lang w:eastAsia="es-MX"/>
              </w:rPr>
            </w:pPr>
            <w:r w:rsidRPr="00D628A6">
              <w:rPr>
                <w:rFonts w:ascii="Calibri" w:eastAsia="Times New Roman" w:hAnsi="Calibri" w:cs="Arial"/>
                <w:sz w:val="20"/>
                <w:szCs w:val="20"/>
                <w:lang w:eastAsia="es-MX"/>
              </w:rPr>
              <w:t xml:space="preserve">En este período el Patrimonio se modifica debido a los ingresos por las ganancias que se genera la inversión, estos registros hacen un importe de $ 523291.82 lo cual genera un ahorro que se refleja tanto en el Estado de Situación Financiera así como en el Estado de Variaciones de la Hacienda Pública/Patrimonio por el mismo importe. </w:t>
            </w:r>
          </w:p>
        </w:tc>
      </w:tr>
      <w:tr w:rsidR="00D628A6" w:rsidRPr="00D628A6" w:rsidTr="008846A5">
        <w:trPr>
          <w:trHeight w:val="255"/>
        </w:trPr>
        <w:tc>
          <w:tcPr>
            <w:tcW w:w="1654" w:type="dxa"/>
            <w:tcBorders>
              <w:top w:val="nil"/>
              <w:left w:val="nil"/>
              <w:bottom w:val="nil"/>
              <w:right w:val="nil"/>
            </w:tcBorders>
            <w:shd w:val="clear" w:color="auto" w:fill="auto"/>
            <w:hideMark/>
          </w:tcPr>
          <w:p w:rsidR="00D628A6" w:rsidRPr="00D628A6" w:rsidRDefault="00D628A6" w:rsidP="008846A5">
            <w:pPr>
              <w:spacing w:after="0" w:line="240" w:lineRule="auto"/>
              <w:jc w:val="both"/>
              <w:rPr>
                <w:rFonts w:ascii="Calibri" w:eastAsia="Times New Roman" w:hAnsi="Calibri" w:cs="Arial"/>
                <w:sz w:val="20"/>
                <w:szCs w:val="20"/>
                <w:lang w:eastAsia="es-MX"/>
              </w:rPr>
            </w:pPr>
          </w:p>
        </w:tc>
        <w:tc>
          <w:tcPr>
            <w:tcW w:w="1613" w:type="dxa"/>
            <w:tcBorders>
              <w:top w:val="nil"/>
              <w:left w:val="nil"/>
              <w:bottom w:val="nil"/>
              <w:right w:val="nil"/>
            </w:tcBorders>
            <w:shd w:val="clear" w:color="auto" w:fill="auto"/>
            <w:hideMark/>
          </w:tcPr>
          <w:p w:rsidR="00D628A6" w:rsidRPr="00D628A6" w:rsidRDefault="00D628A6" w:rsidP="008846A5">
            <w:pPr>
              <w:spacing w:after="0" w:line="240" w:lineRule="auto"/>
              <w:jc w:val="both"/>
              <w:rPr>
                <w:rFonts w:ascii="Calibri" w:eastAsia="Times New Roman" w:hAnsi="Calibri" w:cs="Arial"/>
                <w:sz w:val="20"/>
                <w:szCs w:val="20"/>
                <w:lang w:eastAsia="es-MX"/>
              </w:rPr>
            </w:pPr>
          </w:p>
        </w:tc>
        <w:tc>
          <w:tcPr>
            <w:tcW w:w="1817" w:type="dxa"/>
            <w:tcBorders>
              <w:top w:val="nil"/>
              <w:left w:val="nil"/>
              <w:bottom w:val="nil"/>
              <w:right w:val="nil"/>
            </w:tcBorders>
            <w:shd w:val="clear" w:color="auto" w:fill="auto"/>
            <w:hideMark/>
          </w:tcPr>
          <w:p w:rsidR="00D628A6" w:rsidRPr="00D628A6" w:rsidRDefault="00D628A6" w:rsidP="008846A5">
            <w:pPr>
              <w:spacing w:after="0" w:line="240" w:lineRule="auto"/>
              <w:jc w:val="both"/>
              <w:rPr>
                <w:rFonts w:ascii="Calibri" w:eastAsia="Times New Roman" w:hAnsi="Calibri" w:cs="Arial"/>
                <w:sz w:val="20"/>
                <w:szCs w:val="20"/>
                <w:lang w:eastAsia="es-MX"/>
              </w:rPr>
            </w:pPr>
          </w:p>
        </w:tc>
        <w:tc>
          <w:tcPr>
            <w:tcW w:w="1225" w:type="dxa"/>
            <w:tcBorders>
              <w:top w:val="nil"/>
              <w:left w:val="nil"/>
              <w:bottom w:val="nil"/>
              <w:right w:val="nil"/>
            </w:tcBorders>
            <w:shd w:val="clear" w:color="auto" w:fill="auto"/>
            <w:hideMark/>
          </w:tcPr>
          <w:p w:rsidR="00D628A6" w:rsidRPr="00D628A6" w:rsidRDefault="00D628A6" w:rsidP="008846A5">
            <w:pPr>
              <w:spacing w:after="0" w:line="240" w:lineRule="auto"/>
              <w:jc w:val="both"/>
              <w:rPr>
                <w:rFonts w:ascii="Calibri" w:eastAsia="Times New Roman" w:hAnsi="Calibri" w:cs="Arial"/>
                <w:sz w:val="20"/>
                <w:szCs w:val="20"/>
                <w:lang w:eastAsia="es-MX"/>
              </w:rPr>
            </w:pPr>
          </w:p>
        </w:tc>
        <w:tc>
          <w:tcPr>
            <w:tcW w:w="1511" w:type="dxa"/>
            <w:tcBorders>
              <w:top w:val="nil"/>
              <w:left w:val="nil"/>
              <w:bottom w:val="nil"/>
              <w:right w:val="nil"/>
            </w:tcBorders>
            <w:shd w:val="clear" w:color="auto" w:fill="auto"/>
            <w:hideMark/>
          </w:tcPr>
          <w:p w:rsidR="00D628A6" w:rsidRPr="00D628A6" w:rsidRDefault="00D628A6" w:rsidP="008846A5">
            <w:pPr>
              <w:spacing w:after="0" w:line="240" w:lineRule="auto"/>
              <w:jc w:val="both"/>
              <w:rPr>
                <w:rFonts w:ascii="Calibri" w:eastAsia="Times New Roman" w:hAnsi="Calibri" w:cs="Arial"/>
                <w:sz w:val="20"/>
                <w:szCs w:val="20"/>
                <w:lang w:eastAsia="es-MX"/>
              </w:rPr>
            </w:pPr>
          </w:p>
        </w:tc>
        <w:tc>
          <w:tcPr>
            <w:tcW w:w="1490" w:type="dxa"/>
            <w:tcBorders>
              <w:top w:val="nil"/>
              <w:left w:val="nil"/>
              <w:bottom w:val="nil"/>
              <w:right w:val="nil"/>
            </w:tcBorders>
            <w:shd w:val="clear" w:color="auto" w:fill="auto"/>
            <w:hideMark/>
          </w:tcPr>
          <w:p w:rsidR="00D628A6" w:rsidRPr="00D628A6" w:rsidRDefault="00D628A6" w:rsidP="008846A5">
            <w:pPr>
              <w:spacing w:after="0" w:line="240" w:lineRule="auto"/>
              <w:jc w:val="both"/>
              <w:rPr>
                <w:rFonts w:ascii="Calibri" w:eastAsia="Times New Roman" w:hAnsi="Calibri" w:cs="Arial"/>
                <w:sz w:val="20"/>
                <w:szCs w:val="20"/>
                <w:lang w:eastAsia="es-MX"/>
              </w:rPr>
            </w:pPr>
          </w:p>
        </w:tc>
        <w:tc>
          <w:tcPr>
            <w:tcW w:w="1776" w:type="dxa"/>
            <w:tcBorders>
              <w:top w:val="nil"/>
              <w:left w:val="nil"/>
              <w:bottom w:val="nil"/>
              <w:right w:val="nil"/>
            </w:tcBorders>
            <w:shd w:val="clear" w:color="auto" w:fill="auto"/>
            <w:hideMark/>
          </w:tcPr>
          <w:p w:rsidR="00D628A6" w:rsidRPr="00D628A6" w:rsidRDefault="00D628A6" w:rsidP="008846A5">
            <w:pPr>
              <w:spacing w:after="0" w:line="240" w:lineRule="auto"/>
              <w:jc w:val="both"/>
              <w:rPr>
                <w:rFonts w:ascii="Calibri" w:eastAsia="Times New Roman" w:hAnsi="Calibri" w:cs="Arial"/>
                <w:sz w:val="20"/>
                <w:szCs w:val="20"/>
                <w:lang w:eastAsia="es-MX"/>
              </w:rPr>
            </w:pPr>
          </w:p>
        </w:tc>
        <w:tc>
          <w:tcPr>
            <w:tcW w:w="1654" w:type="dxa"/>
            <w:tcBorders>
              <w:top w:val="nil"/>
              <w:left w:val="nil"/>
              <w:bottom w:val="nil"/>
              <w:right w:val="nil"/>
            </w:tcBorders>
            <w:shd w:val="clear" w:color="auto" w:fill="auto"/>
            <w:hideMark/>
          </w:tcPr>
          <w:p w:rsidR="00D628A6" w:rsidRPr="00D628A6" w:rsidRDefault="00D628A6" w:rsidP="008846A5">
            <w:pPr>
              <w:spacing w:after="0" w:line="240" w:lineRule="auto"/>
              <w:jc w:val="both"/>
              <w:rPr>
                <w:rFonts w:ascii="Calibri" w:eastAsia="Times New Roman" w:hAnsi="Calibri" w:cs="Arial"/>
                <w:sz w:val="20"/>
                <w:szCs w:val="20"/>
                <w:lang w:eastAsia="es-MX"/>
              </w:rPr>
            </w:pPr>
          </w:p>
        </w:tc>
        <w:tc>
          <w:tcPr>
            <w:tcW w:w="1307" w:type="dxa"/>
            <w:tcBorders>
              <w:top w:val="nil"/>
              <w:left w:val="nil"/>
              <w:bottom w:val="nil"/>
              <w:right w:val="nil"/>
            </w:tcBorders>
            <w:shd w:val="clear" w:color="auto" w:fill="auto"/>
            <w:hideMark/>
          </w:tcPr>
          <w:p w:rsidR="00D628A6" w:rsidRPr="00D628A6" w:rsidRDefault="00D628A6" w:rsidP="008846A5">
            <w:pPr>
              <w:spacing w:after="0" w:line="240" w:lineRule="auto"/>
              <w:jc w:val="both"/>
              <w:rPr>
                <w:rFonts w:ascii="Calibri" w:eastAsia="Times New Roman" w:hAnsi="Calibri" w:cs="Arial"/>
                <w:sz w:val="20"/>
                <w:szCs w:val="20"/>
                <w:lang w:eastAsia="es-MX"/>
              </w:rPr>
            </w:pPr>
          </w:p>
        </w:tc>
      </w:tr>
      <w:tr w:rsidR="00D628A6" w:rsidRPr="00D628A6" w:rsidTr="008846A5">
        <w:trPr>
          <w:trHeight w:val="315"/>
        </w:trPr>
        <w:tc>
          <w:tcPr>
            <w:tcW w:w="14047" w:type="dxa"/>
            <w:gridSpan w:val="9"/>
            <w:tcBorders>
              <w:top w:val="nil"/>
              <w:left w:val="nil"/>
              <w:bottom w:val="nil"/>
              <w:right w:val="nil"/>
            </w:tcBorders>
            <w:shd w:val="clear" w:color="auto" w:fill="auto"/>
            <w:noWrap/>
            <w:vAlign w:val="bottom"/>
            <w:hideMark/>
          </w:tcPr>
          <w:p w:rsidR="00D628A6" w:rsidRPr="00D628A6" w:rsidRDefault="00D628A6" w:rsidP="008846A5">
            <w:pPr>
              <w:spacing w:after="0" w:line="240" w:lineRule="auto"/>
              <w:jc w:val="center"/>
              <w:rPr>
                <w:rFonts w:ascii="Calibri" w:eastAsia="Times New Roman" w:hAnsi="Calibri" w:cs="Times New Roman"/>
                <w:b/>
                <w:bCs/>
                <w:sz w:val="24"/>
                <w:szCs w:val="24"/>
                <w:lang w:eastAsia="es-MX"/>
              </w:rPr>
            </w:pPr>
            <w:r w:rsidRPr="00D628A6">
              <w:rPr>
                <w:rFonts w:ascii="Calibri" w:eastAsia="Times New Roman" w:hAnsi="Calibri" w:cs="Times New Roman"/>
                <w:b/>
                <w:bCs/>
                <w:sz w:val="24"/>
                <w:szCs w:val="24"/>
                <w:lang w:eastAsia="es-MX"/>
              </w:rPr>
              <w:t>NOTAS AL ESTADO DE ACTIVIDADES</w:t>
            </w:r>
          </w:p>
        </w:tc>
      </w:tr>
      <w:tr w:rsidR="00D628A6" w:rsidRPr="00D628A6" w:rsidTr="008846A5">
        <w:trPr>
          <w:trHeight w:val="270"/>
        </w:trPr>
        <w:tc>
          <w:tcPr>
            <w:tcW w:w="1654"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613"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817"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225"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511"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490"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776"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654"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307"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r>
      <w:tr w:rsidR="00D628A6" w:rsidRPr="00D628A6" w:rsidTr="008846A5">
        <w:trPr>
          <w:trHeight w:val="270"/>
        </w:trPr>
        <w:tc>
          <w:tcPr>
            <w:tcW w:w="1404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28A6" w:rsidRPr="00D628A6" w:rsidRDefault="00D628A6" w:rsidP="008846A5">
            <w:pPr>
              <w:spacing w:after="0" w:line="240" w:lineRule="auto"/>
              <w:jc w:val="center"/>
              <w:rPr>
                <w:rFonts w:ascii="Calibri" w:eastAsia="Times New Roman" w:hAnsi="Calibri" w:cs="Arial"/>
                <w:b/>
                <w:bCs/>
                <w:sz w:val="20"/>
                <w:szCs w:val="20"/>
                <w:lang w:eastAsia="es-MX"/>
              </w:rPr>
            </w:pPr>
            <w:r w:rsidRPr="00D628A6">
              <w:rPr>
                <w:rFonts w:ascii="Calibri" w:eastAsia="Times New Roman" w:hAnsi="Calibri" w:cs="Arial"/>
                <w:b/>
                <w:bCs/>
                <w:sz w:val="20"/>
                <w:szCs w:val="20"/>
                <w:lang w:eastAsia="es-MX"/>
              </w:rPr>
              <w:t>NOTA 1</w:t>
            </w:r>
          </w:p>
        </w:tc>
      </w:tr>
      <w:tr w:rsidR="00D628A6" w:rsidRPr="00D628A6" w:rsidTr="008846A5">
        <w:trPr>
          <w:trHeight w:val="270"/>
        </w:trPr>
        <w:tc>
          <w:tcPr>
            <w:tcW w:w="1404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28A6" w:rsidRPr="00D628A6" w:rsidRDefault="00D628A6" w:rsidP="008846A5">
            <w:pPr>
              <w:spacing w:after="0" w:line="240" w:lineRule="auto"/>
              <w:jc w:val="center"/>
              <w:rPr>
                <w:rFonts w:ascii="Calibri" w:eastAsia="Times New Roman" w:hAnsi="Calibri" w:cs="Arial"/>
                <w:b/>
                <w:bCs/>
                <w:sz w:val="20"/>
                <w:szCs w:val="20"/>
                <w:lang w:eastAsia="es-MX"/>
              </w:rPr>
            </w:pPr>
            <w:r w:rsidRPr="00D628A6">
              <w:rPr>
                <w:rFonts w:ascii="Calibri" w:eastAsia="Times New Roman" w:hAnsi="Calibri" w:cs="Arial"/>
                <w:b/>
                <w:bCs/>
                <w:sz w:val="20"/>
                <w:szCs w:val="20"/>
                <w:lang w:eastAsia="es-MX"/>
              </w:rPr>
              <w:t>OTROS INGRESOS Y BENEFICIOS</w:t>
            </w:r>
          </w:p>
        </w:tc>
      </w:tr>
      <w:tr w:rsidR="00D628A6" w:rsidRPr="00D628A6" w:rsidTr="008846A5">
        <w:trPr>
          <w:trHeight w:val="255"/>
        </w:trPr>
        <w:tc>
          <w:tcPr>
            <w:tcW w:w="1654"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613"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817"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225"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511"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490"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776"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654"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c>
          <w:tcPr>
            <w:tcW w:w="1307" w:type="dxa"/>
            <w:tcBorders>
              <w:top w:val="nil"/>
              <w:left w:val="nil"/>
              <w:bottom w:val="nil"/>
              <w:right w:val="nil"/>
            </w:tcBorders>
            <w:shd w:val="clear" w:color="auto" w:fill="auto"/>
            <w:noWrap/>
            <w:vAlign w:val="bottom"/>
            <w:hideMark/>
          </w:tcPr>
          <w:p w:rsidR="00D628A6" w:rsidRPr="00D628A6" w:rsidRDefault="00D628A6" w:rsidP="008846A5">
            <w:pPr>
              <w:spacing w:after="0" w:line="240" w:lineRule="auto"/>
              <w:rPr>
                <w:rFonts w:ascii="Calibri" w:eastAsia="Times New Roman" w:hAnsi="Calibri" w:cs="Arial"/>
                <w:sz w:val="20"/>
                <w:szCs w:val="20"/>
                <w:lang w:eastAsia="es-MX"/>
              </w:rPr>
            </w:pPr>
          </w:p>
        </w:tc>
      </w:tr>
      <w:tr w:rsidR="00D628A6" w:rsidRPr="00D628A6" w:rsidTr="008846A5">
        <w:trPr>
          <w:trHeight w:val="855"/>
        </w:trPr>
        <w:tc>
          <w:tcPr>
            <w:tcW w:w="14047" w:type="dxa"/>
            <w:gridSpan w:val="9"/>
            <w:tcBorders>
              <w:top w:val="nil"/>
              <w:left w:val="nil"/>
              <w:bottom w:val="nil"/>
              <w:right w:val="nil"/>
            </w:tcBorders>
            <w:shd w:val="clear" w:color="auto" w:fill="auto"/>
            <w:hideMark/>
          </w:tcPr>
          <w:p w:rsidR="00D628A6" w:rsidRPr="007A5E4F" w:rsidRDefault="00D628A6" w:rsidP="008846A5">
            <w:pPr>
              <w:spacing w:after="0" w:line="240" w:lineRule="auto"/>
              <w:jc w:val="both"/>
              <w:rPr>
                <w:rFonts w:ascii="Calibri" w:eastAsia="Times New Roman" w:hAnsi="Calibri" w:cs="Arial"/>
                <w:sz w:val="20"/>
                <w:szCs w:val="20"/>
                <w:lang w:eastAsia="es-MX"/>
              </w:rPr>
            </w:pPr>
            <w:r w:rsidRPr="00D628A6">
              <w:rPr>
                <w:rFonts w:ascii="Calibri" w:eastAsia="Times New Roman" w:hAnsi="Calibri" w:cs="Arial"/>
                <w:sz w:val="20"/>
                <w:szCs w:val="20"/>
                <w:lang w:eastAsia="es-MX"/>
              </w:rPr>
              <w:t xml:space="preserve">El Fideicomiso Irrevocable de </w:t>
            </w:r>
            <w:r w:rsidRPr="007A5E4F">
              <w:rPr>
                <w:rFonts w:ascii="Calibri" w:eastAsia="Times New Roman" w:hAnsi="Calibri" w:cs="Arial"/>
                <w:sz w:val="20"/>
                <w:szCs w:val="20"/>
                <w:lang w:eastAsia="es-MX"/>
              </w:rPr>
              <w:t>Administración</w:t>
            </w:r>
            <w:r w:rsidRPr="00D628A6">
              <w:rPr>
                <w:rFonts w:ascii="Calibri" w:eastAsia="Times New Roman" w:hAnsi="Calibri" w:cs="Arial"/>
                <w:sz w:val="20"/>
                <w:szCs w:val="20"/>
                <w:lang w:eastAsia="es-MX"/>
              </w:rPr>
              <w:t xml:space="preserve"> y Fuente de Pago 2003626 tiene ingresos por la generación de intereses que se generan por los </w:t>
            </w:r>
            <w:proofErr w:type="spellStart"/>
            <w:r w:rsidRPr="00D628A6">
              <w:rPr>
                <w:rFonts w:ascii="Calibri" w:eastAsia="Times New Roman" w:hAnsi="Calibri" w:cs="Arial"/>
                <w:sz w:val="20"/>
                <w:szCs w:val="20"/>
                <w:lang w:eastAsia="es-MX"/>
              </w:rPr>
              <w:t>creditos</w:t>
            </w:r>
            <w:proofErr w:type="spellEnd"/>
            <w:r w:rsidRPr="00D628A6">
              <w:rPr>
                <w:rFonts w:ascii="Calibri" w:eastAsia="Times New Roman" w:hAnsi="Calibri" w:cs="Arial"/>
                <w:sz w:val="20"/>
                <w:szCs w:val="20"/>
                <w:lang w:eastAsia="es-MX"/>
              </w:rPr>
              <w:t xml:space="preserve"> otorgados y las diferencias en </w:t>
            </w:r>
            <w:r w:rsidRPr="007A5E4F">
              <w:rPr>
                <w:rFonts w:ascii="Calibri" w:eastAsia="Times New Roman" w:hAnsi="Calibri" w:cs="Arial"/>
                <w:sz w:val="20"/>
                <w:szCs w:val="20"/>
                <w:lang w:eastAsia="es-MX"/>
              </w:rPr>
              <w:t>depósitos</w:t>
            </w:r>
            <w:r w:rsidRPr="00D628A6">
              <w:rPr>
                <w:rFonts w:ascii="Calibri" w:eastAsia="Times New Roman" w:hAnsi="Calibri" w:cs="Arial"/>
                <w:sz w:val="20"/>
                <w:szCs w:val="20"/>
                <w:lang w:eastAsia="es-MX"/>
              </w:rPr>
              <w:t xml:space="preserve"> bancarios.</w:t>
            </w:r>
          </w:p>
          <w:p w:rsidR="00D628A6" w:rsidRPr="007A5E4F" w:rsidRDefault="00D628A6" w:rsidP="008846A5">
            <w:pPr>
              <w:spacing w:after="0" w:line="240" w:lineRule="auto"/>
              <w:jc w:val="both"/>
              <w:rPr>
                <w:rFonts w:ascii="Calibri" w:eastAsia="Times New Roman" w:hAnsi="Calibri" w:cs="Arial"/>
                <w:sz w:val="20"/>
                <w:szCs w:val="20"/>
                <w:lang w:eastAsia="es-MX"/>
              </w:rPr>
            </w:pPr>
          </w:p>
          <w:tbl>
            <w:tblPr>
              <w:tblStyle w:val="Tablaconcuadrcula"/>
              <w:tblW w:w="0" w:type="auto"/>
              <w:tblLook w:val="04A0" w:firstRow="1" w:lastRow="0" w:firstColumn="1" w:lastColumn="0" w:noHBand="0" w:noVBand="1"/>
            </w:tblPr>
            <w:tblGrid>
              <w:gridCol w:w="5734"/>
              <w:gridCol w:w="1436"/>
            </w:tblGrid>
            <w:tr w:rsidR="00D628A6" w:rsidRPr="007A5E4F" w:rsidTr="00D628A6">
              <w:tc>
                <w:tcPr>
                  <w:tcW w:w="5734" w:type="dxa"/>
                </w:tcPr>
                <w:p w:rsidR="00D628A6" w:rsidRPr="007A5E4F" w:rsidRDefault="00D628A6" w:rsidP="0036579C">
                  <w:pPr>
                    <w:framePr w:hSpace="141" w:wrap="around" w:hAnchor="text" w:y="-420"/>
                    <w:jc w:val="center"/>
                    <w:rPr>
                      <w:rFonts w:ascii="Calibri" w:eastAsia="Times New Roman" w:hAnsi="Calibri" w:cs="Arial"/>
                      <w:b/>
                      <w:sz w:val="20"/>
                      <w:szCs w:val="20"/>
                      <w:lang w:eastAsia="es-MX"/>
                    </w:rPr>
                  </w:pPr>
                  <w:r w:rsidRPr="007A5E4F">
                    <w:rPr>
                      <w:rFonts w:ascii="Calibri" w:eastAsia="Times New Roman" w:hAnsi="Calibri" w:cs="Arial"/>
                      <w:b/>
                      <w:sz w:val="20"/>
                      <w:szCs w:val="20"/>
                      <w:lang w:eastAsia="es-MX"/>
                    </w:rPr>
                    <w:t>Concepto</w:t>
                  </w:r>
                </w:p>
              </w:tc>
              <w:tc>
                <w:tcPr>
                  <w:tcW w:w="1436" w:type="dxa"/>
                </w:tcPr>
                <w:p w:rsidR="00D628A6" w:rsidRPr="007A5E4F" w:rsidRDefault="00D628A6" w:rsidP="0036579C">
                  <w:pPr>
                    <w:framePr w:hSpace="141" w:wrap="around" w:hAnchor="text" w:y="-420"/>
                    <w:jc w:val="center"/>
                    <w:rPr>
                      <w:rFonts w:ascii="Calibri" w:eastAsia="Times New Roman" w:hAnsi="Calibri" w:cs="Arial"/>
                      <w:b/>
                      <w:sz w:val="20"/>
                      <w:szCs w:val="20"/>
                      <w:lang w:eastAsia="es-MX"/>
                    </w:rPr>
                  </w:pPr>
                  <w:r w:rsidRPr="007A5E4F">
                    <w:rPr>
                      <w:rFonts w:ascii="Calibri" w:eastAsia="Times New Roman" w:hAnsi="Calibri" w:cs="Arial"/>
                      <w:b/>
                      <w:sz w:val="20"/>
                      <w:szCs w:val="20"/>
                      <w:lang w:eastAsia="es-MX"/>
                    </w:rPr>
                    <w:t>Ganancia</w:t>
                  </w:r>
                </w:p>
              </w:tc>
            </w:tr>
            <w:tr w:rsidR="00D628A6" w:rsidRPr="007A5E4F" w:rsidTr="00D628A6">
              <w:tc>
                <w:tcPr>
                  <w:tcW w:w="5734" w:type="dxa"/>
                </w:tcPr>
                <w:p w:rsidR="00D628A6" w:rsidRPr="007A5E4F" w:rsidRDefault="00D628A6" w:rsidP="0036579C">
                  <w:pPr>
                    <w:framePr w:hSpace="141" w:wrap="around" w:hAnchor="text" w:y="-420"/>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Ganancia en Inversiones Temporales (hasta 3 meses)</w:t>
                  </w:r>
                </w:p>
              </w:tc>
              <w:tc>
                <w:tcPr>
                  <w:tcW w:w="1436" w:type="dxa"/>
                </w:tcPr>
                <w:p w:rsidR="00D628A6" w:rsidRPr="007A5E4F" w:rsidRDefault="007A5E4F" w:rsidP="0036579C">
                  <w:pPr>
                    <w:framePr w:hSpace="141" w:wrap="around" w:hAnchor="text" w:y="-420"/>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1,076,229.09</w:t>
                  </w:r>
                </w:p>
              </w:tc>
            </w:tr>
          </w:tbl>
          <w:p w:rsidR="00D628A6" w:rsidRPr="007A5E4F" w:rsidRDefault="007A5E4F" w:rsidP="008846A5">
            <w:pPr>
              <w:spacing w:after="0" w:line="240" w:lineRule="auto"/>
              <w:jc w:val="both"/>
              <w:rPr>
                <w:rFonts w:ascii="Calibri" w:eastAsia="Times New Roman" w:hAnsi="Calibri" w:cs="Arial"/>
                <w:b/>
                <w:sz w:val="20"/>
                <w:szCs w:val="20"/>
                <w:lang w:eastAsia="es-MX"/>
              </w:rPr>
            </w:pPr>
            <w:r w:rsidRPr="007A5E4F">
              <w:rPr>
                <w:rFonts w:ascii="Calibri" w:eastAsia="Times New Roman" w:hAnsi="Calibri" w:cs="Arial"/>
                <w:sz w:val="20"/>
                <w:szCs w:val="20"/>
                <w:lang w:eastAsia="es-MX"/>
              </w:rPr>
              <w:t xml:space="preserve">                                     </w:t>
            </w:r>
            <w:r w:rsidRPr="007A5E4F">
              <w:rPr>
                <w:rFonts w:ascii="Calibri" w:eastAsia="Times New Roman" w:hAnsi="Calibri" w:cs="Arial"/>
                <w:b/>
                <w:sz w:val="20"/>
                <w:szCs w:val="20"/>
                <w:lang w:eastAsia="es-MX"/>
              </w:rPr>
              <w:t xml:space="preserve">TOTAL DE EFECTIVO Y EQUIVALENTES                        1,076,229.09 </w:t>
            </w:r>
          </w:p>
          <w:p w:rsidR="007A5E4F" w:rsidRPr="007A5E4F" w:rsidRDefault="007A5E4F" w:rsidP="008846A5">
            <w:pPr>
              <w:spacing w:after="0" w:line="240" w:lineRule="auto"/>
              <w:jc w:val="both"/>
              <w:rPr>
                <w:rFonts w:ascii="Calibri" w:eastAsia="Times New Roman" w:hAnsi="Calibri" w:cs="Arial"/>
                <w:b/>
                <w:sz w:val="20"/>
                <w:szCs w:val="20"/>
                <w:lang w:eastAsia="es-MX"/>
              </w:rPr>
            </w:pPr>
          </w:p>
          <w:p w:rsidR="007A5E4F" w:rsidRPr="007A5E4F" w:rsidRDefault="007A5E4F" w:rsidP="008846A5">
            <w:pPr>
              <w:spacing w:after="0" w:line="240" w:lineRule="auto"/>
              <w:jc w:val="both"/>
              <w:rPr>
                <w:rFonts w:ascii="Calibri" w:eastAsia="Times New Roman" w:hAnsi="Calibri" w:cs="Arial"/>
                <w:b/>
                <w:sz w:val="20"/>
                <w:szCs w:val="20"/>
                <w:lang w:eastAsia="es-MX"/>
              </w:rPr>
            </w:pPr>
          </w:p>
          <w:p w:rsidR="007A5E4F" w:rsidRPr="007A5E4F" w:rsidRDefault="007A5E4F" w:rsidP="008846A5">
            <w:pPr>
              <w:spacing w:after="0" w:line="240" w:lineRule="auto"/>
              <w:jc w:val="both"/>
              <w:rPr>
                <w:rFonts w:ascii="Calibri" w:eastAsia="Times New Roman" w:hAnsi="Calibri" w:cs="Arial"/>
                <w:b/>
                <w:sz w:val="20"/>
                <w:szCs w:val="20"/>
                <w:lang w:eastAsia="es-MX"/>
              </w:rPr>
            </w:pPr>
          </w:p>
          <w:tbl>
            <w:tblPr>
              <w:tblW w:w="13760" w:type="dxa"/>
              <w:tblCellMar>
                <w:left w:w="70" w:type="dxa"/>
                <w:right w:w="70" w:type="dxa"/>
              </w:tblCellMar>
              <w:tblLook w:val="04A0" w:firstRow="1" w:lastRow="0" w:firstColumn="1" w:lastColumn="0" w:noHBand="0" w:noVBand="1"/>
            </w:tblPr>
            <w:tblGrid>
              <w:gridCol w:w="146"/>
              <w:gridCol w:w="4227"/>
              <w:gridCol w:w="261"/>
              <w:gridCol w:w="261"/>
              <w:gridCol w:w="4348"/>
              <w:gridCol w:w="4226"/>
              <w:gridCol w:w="146"/>
              <w:gridCol w:w="146"/>
              <w:gridCol w:w="146"/>
            </w:tblGrid>
            <w:tr w:rsidR="007A5E4F" w:rsidRPr="007A5E4F" w:rsidTr="007A5E4F">
              <w:trPr>
                <w:trHeight w:val="315"/>
              </w:trPr>
              <w:tc>
                <w:tcPr>
                  <w:tcW w:w="13760" w:type="dxa"/>
                  <w:gridSpan w:val="9"/>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Times New Roman"/>
                      <w:b/>
                      <w:bCs/>
                      <w:sz w:val="20"/>
                      <w:szCs w:val="20"/>
                      <w:lang w:eastAsia="es-MX"/>
                    </w:rPr>
                  </w:pPr>
                  <w:r w:rsidRPr="007A5E4F">
                    <w:rPr>
                      <w:rFonts w:ascii="Calibri" w:eastAsia="Times New Roman" w:hAnsi="Calibri" w:cs="Times New Roman"/>
                      <w:b/>
                      <w:bCs/>
                      <w:sz w:val="20"/>
                      <w:szCs w:val="20"/>
                      <w:lang w:eastAsia="es-MX"/>
                    </w:rPr>
                    <w:t>NOTAS AL ESTADO DE FLUJOS DE EFECTIVO</w:t>
                  </w:r>
                </w:p>
              </w:tc>
            </w:tr>
            <w:tr w:rsidR="007A5E4F" w:rsidRPr="007A5E4F" w:rsidTr="007A5E4F">
              <w:trPr>
                <w:trHeight w:val="270"/>
              </w:trPr>
              <w:tc>
                <w:tcPr>
                  <w:tcW w:w="11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22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26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26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34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22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1</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EFECTIVO Y EQUIVALENTES</w:t>
                  </w:r>
                </w:p>
              </w:tc>
            </w:tr>
            <w:tr w:rsidR="007A5E4F" w:rsidRPr="007A5E4F" w:rsidTr="007A5E4F">
              <w:trPr>
                <w:trHeight w:val="255"/>
              </w:trPr>
              <w:tc>
                <w:tcPr>
                  <w:tcW w:w="11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22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26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26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34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22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55"/>
              </w:trPr>
              <w:tc>
                <w:tcPr>
                  <w:tcW w:w="13651" w:type="dxa"/>
                  <w:gridSpan w:val="8"/>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Integración de los Saldos que figuran en la </w:t>
                  </w:r>
                  <w:r w:rsidR="008846A5" w:rsidRPr="007A5E4F">
                    <w:rPr>
                      <w:rFonts w:ascii="Calibri" w:eastAsia="Times New Roman" w:hAnsi="Calibri" w:cs="Arial"/>
                      <w:sz w:val="20"/>
                      <w:szCs w:val="20"/>
                      <w:lang w:eastAsia="es-MX"/>
                    </w:rPr>
                    <w:t>última</w:t>
                  </w:r>
                  <w:r w:rsidRPr="007A5E4F">
                    <w:rPr>
                      <w:rFonts w:ascii="Calibri" w:eastAsia="Times New Roman" w:hAnsi="Calibri" w:cs="Arial"/>
                      <w:sz w:val="20"/>
                      <w:szCs w:val="20"/>
                      <w:lang w:eastAsia="es-MX"/>
                    </w:rPr>
                    <w:t xml:space="preserve"> parte del Estado de Flujo de Efectivo en la cuenta de efectivo y equivalentes</w:t>
                  </w: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1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22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26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26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34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2017</w:t>
                  </w:r>
                </w:p>
              </w:tc>
              <w:tc>
                <w:tcPr>
                  <w:tcW w:w="422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2016</w:t>
                  </w: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55"/>
              </w:trPr>
              <w:tc>
                <w:tcPr>
                  <w:tcW w:w="11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227" w:type="dxa"/>
                  <w:tcBorders>
                    <w:top w:val="single" w:sz="8" w:space="0" w:color="auto"/>
                    <w:left w:val="single" w:sz="8" w:space="0" w:color="auto"/>
                    <w:bottom w:val="single" w:sz="4" w:space="0" w:color="auto"/>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Bancos/tesorería</w:t>
                  </w:r>
                </w:p>
              </w:tc>
              <w:tc>
                <w:tcPr>
                  <w:tcW w:w="261" w:type="dxa"/>
                  <w:tcBorders>
                    <w:top w:val="single" w:sz="8" w:space="0" w:color="auto"/>
                    <w:left w:val="nil"/>
                    <w:bottom w:val="single" w:sz="4" w:space="0" w:color="auto"/>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w:t>
                  </w:r>
                </w:p>
              </w:tc>
              <w:tc>
                <w:tcPr>
                  <w:tcW w:w="261" w:type="dxa"/>
                  <w:tcBorders>
                    <w:top w:val="single" w:sz="8" w:space="0" w:color="auto"/>
                    <w:left w:val="nil"/>
                    <w:bottom w:val="single" w:sz="4" w:space="0" w:color="auto"/>
                    <w:right w:val="single" w:sz="8" w:space="0" w:color="auto"/>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w:t>
                  </w:r>
                </w:p>
              </w:tc>
              <w:tc>
                <w:tcPr>
                  <w:tcW w:w="4348" w:type="dxa"/>
                  <w:tcBorders>
                    <w:top w:val="single" w:sz="8" w:space="0" w:color="auto"/>
                    <w:left w:val="nil"/>
                    <w:bottom w:val="single" w:sz="4" w:space="0" w:color="auto"/>
                    <w:right w:val="single" w:sz="8" w:space="0" w:color="auto"/>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      2,152,707.73 </w:t>
                  </w:r>
                </w:p>
              </w:tc>
              <w:tc>
                <w:tcPr>
                  <w:tcW w:w="4226" w:type="dxa"/>
                  <w:tcBorders>
                    <w:top w:val="single" w:sz="8" w:space="0" w:color="auto"/>
                    <w:left w:val="nil"/>
                    <w:bottom w:val="single" w:sz="4" w:space="0" w:color="auto"/>
                    <w:right w:val="single" w:sz="8" w:space="0" w:color="auto"/>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                          -   </w:t>
                  </w: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1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outlineLvl w:val="0"/>
                    <w:rPr>
                      <w:rFonts w:ascii="Calibri" w:eastAsia="Times New Roman" w:hAnsi="Calibri" w:cs="Arial"/>
                      <w:sz w:val="20"/>
                      <w:szCs w:val="20"/>
                      <w:lang w:eastAsia="es-MX"/>
                    </w:rPr>
                  </w:pPr>
                </w:p>
              </w:tc>
              <w:tc>
                <w:tcPr>
                  <w:tcW w:w="4749"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outlineLvl w:val="0"/>
                    <w:rPr>
                      <w:rFonts w:ascii="Calibri" w:eastAsia="Times New Roman" w:hAnsi="Calibri" w:cs="Arial"/>
                      <w:sz w:val="20"/>
                      <w:szCs w:val="20"/>
                      <w:lang w:eastAsia="es-MX"/>
                    </w:rPr>
                  </w:pPr>
                  <w:r w:rsidRPr="007A5E4F">
                    <w:rPr>
                      <w:rFonts w:ascii="Calibri" w:eastAsia="Times New Roman" w:hAnsi="Calibri" w:cs="Arial"/>
                      <w:sz w:val="20"/>
                      <w:szCs w:val="20"/>
                      <w:lang w:eastAsia="es-MX"/>
                    </w:rPr>
                    <w:t>Inversiones Temporales (Hasta 3 Meses)</w:t>
                  </w:r>
                </w:p>
              </w:tc>
              <w:tc>
                <w:tcPr>
                  <w:tcW w:w="4348" w:type="dxa"/>
                  <w:tcBorders>
                    <w:top w:val="nil"/>
                    <w:left w:val="nil"/>
                    <w:bottom w:val="single" w:sz="8" w:space="0" w:color="auto"/>
                    <w:right w:val="single" w:sz="8" w:space="0" w:color="auto"/>
                  </w:tcBorders>
                  <w:shd w:val="clear" w:color="auto" w:fill="auto"/>
                  <w:noWrap/>
                  <w:vAlign w:val="bottom"/>
                  <w:hideMark/>
                </w:tcPr>
                <w:p w:rsidR="007A5E4F" w:rsidRPr="007A5E4F" w:rsidRDefault="007A5E4F" w:rsidP="0036579C">
                  <w:pPr>
                    <w:framePr w:hSpace="141" w:wrap="around" w:hAnchor="text" w:y="-420"/>
                    <w:spacing w:after="0" w:line="240" w:lineRule="auto"/>
                    <w:outlineLvl w:val="0"/>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                 355.04 </w:t>
                  </w:r>
                </w:p>
              </w:tc>
              <w:tc>
                <w:tcPr>
                  <w:tcW w:w="4226" w:type="dxa"/>
                  <w:tcBorders>
                    <w:top w:val="nil"/>
                    <w:left w:val="nil"/>
                    <w:bottom w:val="single" w:sz="8" w:space="0" w:color="auto"/>
                    <w:right w:val="single" w:sz="8" w:space="0" w:color="auto"/>
                  </w:tcBorders>
                  <w:shd w:val="clear" w:color="auto" w:fill="auto"/>
                  <w:noWrap/>
                  <w:vAlign w:val="bottom"/>
                  <w:hideMark/>
                </w:tcPr>
                <w:p w:rsidR="007A5E4F" w:rsidRPr="007A5E4F" w:rsidRDefault="007A5E4F" w:rsidP="0036579C">
                  <w:pPr>
                    <w:framePr w:hSpace="141" w:wrap="around" w:hAnchor="text" w:y="-420"/>
                    <w:spacing w:after="0" w:line="240" w:lineRule="auto"/>
                    <w:outlineLvl w:val="0"/>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                          -   </w:t>
                  </w: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outlineLvl w:val="0"/>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outlineLvl w:val="0"/>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outlineLvl w:val="0"/>
                    <w:rPr>
                      <w:rFonts w:ascii="Calibri" w:eastAsia="Times New Roman" w:hAnsi="Calibri" w:cs="Arial"/>
                      <w:sz w:val="20"/>
                      <w:szCs w:val="20"/>
                      <w:lang w:eastAsia="es-MX"/>
                    </w:rPr>
                  </w:pPr>
                </w:p>
              </w:tc>
            </w:tr>
            <w:tr w:rsidR="007A5E4F" w:rsidRPr="007A5E4F" w:rsidTr="007A5E4F">
              <w:trPr>
                <w:trHeight w:val="255"/>
              </w:trPr>
              <w:tc>
                <w:tcPr>
                  <w:tcW w:w="11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749" w:type="dxa"/>
                  <w:gridSpan w:val="3"/>
                  <w:tcBorders>
                    <w:top w:val="nil"/>
                    <w:left w:val="nil"/>
                    <w:bottom w:val="nil"/>
                    <w:right w:val="nil"/>
                  </w:tcBorders>
                  <w:shd w:val="clear" w:color="auto" w:fill="auto"/>
                  <w:noWrap/>
                  <w:vAlign w:val="bottom"/>
                  <w:hideMark/>
                </w:tcPr>
                <w:p w:rsidR="007A5E4F" w:rsidRPr="007A5E4F" w:rsidRDefault="00091591" w:rsidP="0036579C">
                  <w:pPr>
                    <w:framePr w:hSpace="141" w:wrap="around" w:hAnchor="text" w:y="-420"/>
                    <w:spacing w:after="0" w:line="240" w:lineRule="auto"/>
                    <w:rPr>
                      <w:rFonts w:ascii="Calibri" w:eastAsia="Times New Roman" w:hAnsi="Calibri" w:cs="Arial"/>
                      <w:b/>
                      <w:bCs/>
                      <w:sz w:val="20"/>
                      <w:szCs w:val="20"/>
                      <w:lang w:eastAsia="es-MX"/>
                    </w:rPr>
                  </w:pPr>
                  <w:r>
                    <w:rPr>
                      <w:rFonts w:ascii="Calibri" w:eastAsia="Times New Roman" w:hAnsi="Calibri" w:cs="Arial"/>
                      <w:b/>
                      <w:bCs/>
                      <w:sz w:val="20"/>
                      <w:szCs w:val="20"/>
                      <w:lang w:eastAsia="es-MX"/>
                    </w:rPr>
                    <w:t xml:space="preserve">                        </w:t>
                  </w:r>
                  <w:r w:rsidR="007A5E4F" w:rsidRPr="007A5E4F">
                    <w:rPr>
                      <w:rFonts w:ascii="Calibri" w:eastAsia="Times New Roman" w:hAnsi="Calibri" w:cs="Arial"/>
                      <w:b/>
                      <w:bCs/>
                      <w:sz w:val="20"/>
                      <w:szCs w:val="20"/>
                      <w:lang w:eastAsia="es-MX"/>
                    </w:rPr>
                    <w:t>TOTAL DE EFECTIVO Y EQUIVALENTES</w:t>
                  </w:r>
                </w:p>
              </w:tc>
              <w:tc>
                <w:tcPr>
                  <w:tcW w:w="434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 xml:space="preserve">   2,153,062.77 </w:t>
                  </w:r>
                </w:p>
              </w:tc>
              <w:tc>
                <w:tcPr>
                  <w:tcW w:w="422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 xml:space="preserve">                   -   </w:t>
                  </w: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55"/>
              </w:trPr>
              <w:tc>
                <w:tcPr>
                  <w:tcW w:w="11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22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26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26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34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22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315"/>
              </w:trPr>
              <w:tc>
                <w:tcPr>
                  <w:tcW w:w="13760" w:type="dxa"/>
                  <w:gridSpan w:val="9"/>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Times New Roman"/>
                      <w:b/>
                      <w:bCs/>
                      <w:sz w:val="20"/>
                      <w:szCs w:val="20"/>
                      <w:lang w:eastAsia="es-MX"/>
                    </w:rPr>
                  </w:pPr>
                  <w:r w:rsidRPr="007A5E4F">
                    <w:rPr>
                      <w:rFonts w:ascii="Calibri" w:eastAsia="Times New Roman" w:hAnsi="Calibri" w:cs="Times New Roman"/>
                      <w:b/>
                      <w:bCs/>
                      <w:sz w:val="20"/>
                      <w:szCs w:val="20"/>
                      <w:lang w:eastAsia="es-MX"/>
                    </w:rPr>
                    <w:t>NOTAS DE GESTION</w:t>
                  </w:r>
                </w:p>
              </w:tc>
            </w:tr>
            <w:tr w:rsidR="007A5E4F" w:rsidRPr="007A5E4F" w:rsidTr="007A5E4F">
              <w:trPr>
                <w:trHeight w:val="270"/>
              </w:trPr>
              <w:tc>
                <w:tcPr>
                  <w:tcW w:w="11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22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26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26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34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422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0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1</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INTRODUCCION</w:t>
                  </w:r>
                </w:p>
              </w:tc>
            </w:tr>
          </w:tbl>
          <w:p w:rsidR="007A5E4F" w:rsidRPr="007A5E4F" w:rsidRDefault="007A5E4F" w:rsidP="008846A5">
            <w:pPr>
              <w:spacing w:after="0" w:line="240" w:lineRule="auto"/>
              <w:jc w:val="both"/>
              <w:rPr>
                <w:rFonts w:ascii="Calibri" w:eastAsia="Times New Roman" w:hAnsi="Calibri" w:cs="Arial"/>
                <w:b/>
                <w:sz w:val="20"/>
                <w:szCs w:val="20"/>
                <w:lang w:eastAsia="es-MX"/>
              </w:rPr>
            </w:pPr>
          </w:p>
          <w:tbl>
            <w:tblPr>
              <w:tblW w:w="13760" w:type="dxa"/>
              <w:tblCellMar>
                <w:left w:w="70" w:type="dxa"/>
                <w:right w:w="70" w:type="dxa"/>
              </w:tblCellMar>
              <w:tblLook w:val="04A0" w:firstRow="1" w:lastRow="0" w:firstColumn="1" w:lastColumn="0" w:noHBand="0" w:noVBand="1"/>
            </w:tblPr>
            <w:tblGrid>
              <w:gridCol w:w="1481"/>
              <w:gridCol w:w="1598"/>
              <w:gridCol w:w="1800"/>
              <w:gridCol w:w="1214"/>
              <w:gridCol w:w="1496"/>
              <w:gridCol w:w="1477"/>
              <w:gridCol w:w="1760"/>
              <w:gridCol w:w="1639"/>
              <w:gridCol w:w="1295"/>
            </w:tblGrid>
            <w:tr w:rsidR="007A5E4F" w:rsidRPr="007A5E4F" w:rsidTr="007A5E4F">
              <w:trPr>
                <w:trHeight w:val="570"/>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Los Estados Financieros de los entes públicos, proveen de información financiera a los principales usuarios de la misma, al Congreso y a los Ciudadanos.</w:t>
                  </w:r>
                </w:p>
              </w:tc>
            </w:tr>
            <w:tr w:rsidR="007A5E4F" w:rsidRPr="007A5E4F" w:rsidTr="007A5E4F">
              <w:trPr>
                <w:trHeight w:val="840"/>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El Objetivo del presente documento es la revelación del contexto y de los aspectos económicos-financieros </w:t>
                  </w:r>
                  <w:r w:rsidR="00091591" w:rsidRPr="007A5E4F">
                    <w:rPr>
                      <w:rFonts w:ascii="Calibri" w:eastAsia="Times New Roman" w:hAnsi="Calibri" w:cs="Arial"/>
                      <w:sz w:val="20"/>
                      <w:szCs w:val="20"/>
                      <w:lang w:eastAsia="es-MX"/>
                    </w:rPr>
                    <w:t>más</w:t>
                  </w:r>
                  <w:r w:rsidRPr="007A5E4F">
                    <w:rPr>
                      <w:rFonts w:ascii="Calibri" w:eastAsia="Times New Roman" w:hAnsi="Calibri" w:cs="Arial"/>
                      <w:sz w:val="20"/>
                      <w:szCs w:val="20"/>
                      <w:lang w:eastAsia="es-MX"/>
                    </w:rPr>
                    <w:t xml:space="preserve"> relevantes que influyeron en las decisiones del período y que deberán ser considerados en la elaboración de los estados financieros para la mayor comprensión de los mismos y sus particulares.</w:t>
                  </w:r>
                </w:p>
              </w:tc>
            </w:tr>
            <w:tr w:rsidR="007A5E4F" w:rsidRPr="007A5E4F" w:rsidTr="007A5E4F">
              <w:trPr>
                <w:trHeight w:val="615"/>
              </w:trPr>
              <w:tc>
                <w:tcPr>
                  <w:tcW w:w="13760" w:type="dxa"/>
                  <w:gridSpan w:val="9"/>
                  <w:tcBorders>
                    <w:top w:val="nil"/>
                    <w:left w:val="nil"/>
                    <w:bottom w:val="nil"/>
                    <w:right w:val="nil"/>
                  </w:tcBorders>
                  <w:shd w:val="clear" w:color="auto" w:fill="auto"/>
                  <w:hideMark/>
                </w:tcPr>
                <w:p w:rsid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De esta manera, se informa y se explica la respuesta del gobierno a las condiciones relacionadas con la información financiera de cada período de gestión; además, de exponer aquellas políticas que podrían afectar la toma de decisiones en períodos posteriores.</w:t>
                  </w:r>
                </w:p>
                <w:p w:rsidR="00091591"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p w:rsidR="00091591" w:rsidRPr="007A5E4F"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2</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PANORAMA ECONOMICO-FINANCIERO</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85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opera bajo condiciones </w:t>
                  </w:r>
                  <w:r w:rsidR="00091591" w:rsidRPr="007A5E4F">
                    <w:rPr>
                      <w:rFonts w:ascii="Calibri" w:eastAsia="Times New Roman" w:hAnsi="Calibri" w:cs="Arial"/>
                      <w:sz w:val="20"/>
                      <w:szCs w:val="20"/>
                      <w:lang w:eastAsia="es-MX"/>
                    </w:rPr>
                    <w:t>económico</w:t>
                  </w:r>
                  <w:r w:rsidRPr="007A5E4F">
                    <w:rPr>
                      <w:rFonts w:ascii="Calibri" w:eastAsia="Times New Roman" w:hAnsi="Calibri" w:cs="Arial"/>
                      <w:sz w:val="20"/>
                      <w:szCs w:val="20"/>
                      <w:lang w:eastAsia="es-MX"/>
                    </w:rPr>
                    <w:t xml:space="preserve">-financieras seguras y estables puesto que todas las decisiones que se toman son expuestas al Presidente del Comité y las mismas son aprobadas, en su caso, y siempre tomado en </w:t>
                  </w:r>
                  <w:r w:rsidR="00091591" w:rsidRPr="007A5E4F">
                    <w:rPr>
                      <w:rFonts w:ascii="Calibri" w:eastAsia="Times New Roman" w:hAnsi="Calibri" w:cs="Arial"/>
                      <w:sz w:val="20"/>
                      <w:szCs w:val="20"/>
                      <w:lang w:eastAsia="es-MX"/>
                    </w:rPr>
                    <w:t>consideración</w:t>
                  </w:r>
                  <w:r w:rsidRPr="007A5E4F">
                    <w:rPr>
                      <w:rFonts w:ascii="Calibri" w:eastAsia="Times New Roman" w:hAnsi="Calibri" w:cs="Arial"/>
                      <w:sz w:val="20"/>
                      <w:szCs w:val="20"/>
                      <w:lang w:eastAsia="es-MX"/>
                    </w:rPr>
                    <w:t xml:space="preserve"> la salvaguarda y </w:t>
                  </w:r>
                  <w:r w:rsidR="00091591" w:rsidRPr="007A5E4F">
                    <w:rPr>
                      <w:rFonts w:ascii="Calibri" w:eastAsia="Times New Roman" w:hAnsi="Calibri" w:cs="Arial"/>
                      <w:sz w:val="20"/>
                      <w:szCs w:val="20"/>
                      <w:lang w:eastAsia="es-MX"/>
                    </w:rPr>
                    <w:t>protección</w:t>
                  </w:r>
                  <w:r w:rsidRPr="007A5E4F">
                    <w:rPr>
                      <w:rFonts w:ascii="Calibri" w:eastAsia="Times New Roman" w:hAnsi="Calibri" w:cs="Arial"/>
                      <w:sz w:val="20"/>
                      <w:szCs w:val="20"/>
                      <w:lang w:eastAsia="es-MX"/>
                    </w:rPr>
                    <w:t xml:space="preserve"> de los recursos del Estado.</w:t>
                  </w: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lastRenderedPageBreak/>
                    <w:t>NOTA 3</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AUTORIZACION E HISTORIA</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1890"/>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A efecto de enfocar el crecimiento económico del estado impulsando el desarrollo de otras regiones de Yucatán y descentralizando la actividad </w:t>
                  </w:r>
                  <w:r w:rsidR="00091591" w:rsidRPr="007A5E4F">
                    <w:rPr>
                      <w:rFonts w:ascii="Calibri" w:eastAsia="Times New Roman" w:hAnsi="Calibri" w:cs="Arial"/>
                      <w:sz w:val="20"/>
                      <w:szCs w:val="20"/>
                      <w:lang w:eastAsia="es-MX"/>
                    </w:rPr>
                    <w:t>económica</w:t>
                  </w:r>
                  <w:r w:rsidRPr="007A5E4F">
                    <w:rPr>
                      <w:rFonts w:ascii="Calibri" w:eastAsia="Times New Roman" w:hAnsi="Calibri" w:cs="Arial"/>
                      <w:sz w:val="20"/>
                      <w:szCs w:val="20"/>
                      <w:lang w:eastAsia="es-MX"/>
                    </w:rPr>
                    <w:t xml:space="preserve"> que </w:t>
                  </w:r>
                  <w:r w:rsidR="00091591" w:rsidRPr="007A5E4F">
                    <w:rPr>
                      <w:rFonts w:ascii="Calibri" w:eastAsia="Times New Roman" w:hAnsi="Calibri" w:cs="Arial"/>
                      <w:sz w:val="20"/>
                      <w:szCs w:val="20"/>
                      <w:lang w:eastAsia="es-MX"/>
                    </w:rPr>
                    <w:t>actualmente</w:t>
                  </w:r>
                  <w:r w:rsidRPr="007A5E4F">
                    <w:rPr>
                      <w:rFonts w:ascii="Calibri" w:eastAsia="Times New Roman" w:hAnsi="Calibri" w:cs="Arial"/>
                      <w:sz w:val="20"/>
                      <w:szCs w:val="20"/>
                      <w:lang w:eastAsia="es-MX"/>
                    </w:rPr>
                    <w:t xml:space="preserve"> se concentra en más de un 80% en el municipio de Mérida se consideró la necesidad de </w:t>
                  </w:r>
                  <w:r w:rsidR="00091591" w:rsidRPr="007A5E4F">
                    <w:rPr>
                      <w:rFonts w:ascii="Calibri" w:eastAsia="Times New Roman" w:hAnsi="Calibri" w:cs="Arial"/>
                      <w:sz w:val="20"/>
                      <w:szCs w:val="20"/>
                      <w:lang w:eastAsia="es-MX"/>
                    </w:rPr>
                    <w:t>construir</w:t>
                  </w:r>
                  <w:r w:rsidRPr="007A5E4F">
                    <w:rPr>
                      <w:rFonts w:ascii="Calibri" w:eastAsia="Times New Roman" w:hAnsi="Calibri" w:cs="Arial"/>
                      <w:sz w:val="20"/>
                      <w:szCs w:val="20"/>
                      <w:lang w:eastAsia="es-MX"/>
                    </w:rPr>
                    <w:t xml:space="preserve"> y operar el "Centro de Carga Aeroportuaria de Valladolid", ya que su establecimiento pretende generar una oferta integral de infraestructura y servicios, enfocada a satisfacer las necesidades logísticas, de distribución y de </w:t>
                  </w:r>
                  <w:r w:rsidR="00091591" w:rsidRPr="007A5E4F">
                    <w:rPr>
                      <w:rFonts w:ascii="Calibri" w:eastAsia="Times New Roman" w:hAnsi="Calibri" w:cs="Arial"/>
                      <w:sz w:val="20"/>
                      <w:szCs w:val="20"/>
                      <w:lang w:eastAsia="es-MX"/>
                    </w:rPr>
                    <w:t>transportación</w:t>
                  </w:r>
                  <w:r w:rsidRPr="007A5E4F">
                    <w:rPr>
                      <w:rFonts w:ascii="Calibri" w:eastAsia="Times New Roman" w:hAnsi="Calibri" w:cs="Arial"/>
                      <w:sz w:val="20"/>
                      <w:szCs w:val="20"/>
                      <w:lang w:eastAsia="es-MX"/>
                    </w:rPr>
                    <w:t xml:space="preserve"> generadas por las actividades de abasto a la zona turística de la Riviera Maya y Cancún y de distribución de productos locales. o anterior derivado del compromiso del Presidente Lic. Enrique Peña Nieto No. 242 " Impulsar el aprovechamiento del Aeropuerto Internacional de Chichen </w:t>
                  </w:r>
                  <w:proofErr w:type="spellStart"/>
                  <w:r w:rsidRPr="007A5E4F">
                    <w:rPr>
                      <w:rFonts w:ascii="Calibri" w:eastAsia="Times New Roman" w:hAnsi="Calibri" w:cs="Arial"/>
                      <w:sz w:val="20"/>
                      <w:szCs w:val="20"/>
                      <w:lang w:eastAsia="es-MX"/>
                    </w:rPr>
                    <w:t>Itza</w:t>
                  </w:r>
                  <w:proofErr w:type="spellEnd"/>
                  <w:r w:rsidRPr="007A5E4F">
                    <w:rPr>
                      <w:rFonts w:ascii="Calibri" w:eastAsia="Times New Roman" w:hAnsi="Calibri" w:cs="Arial"/>
                      <w:sz w:val="20"/>
                      <w:szCs w:val="20"/>
                      <w:lang w:eastAsia="es-MX"/>
                    </w:rPr>
                    <w:t xml:space="preserve"> con la construcción del Centro </w:t>
                  </w:r>
                  <w:r w:rsidR="00091591" w:rsidRPr="007A5E4F">
                    <w:rPr>
                      <w:rFonts w:ascii="Calibri" w:eastAsia="Times New Roman" w:hAnsi="Calibri" w:cs="Arial"/>
                      <w:sz w:val="20"/>
                      <w:szCs w:val="20"/>
                      <w:lang w:eastAsia="es-MX"/>
                    </w:rPr>
                    <w:t>Logístico</w:t>
                  </w:r>
                  <w:r w:rsidRPr="007A5E4F">
                    <w:rPr>
                      <w:rFonts w:ascii="Calibri" w:eastAsia="Times New Roman" w:hAnsi="Calibri" w:cs="Arial"/>
                      <w:sz w:val="20"/>
                      <w:szCs w:val="20"/>
                      <w:lang w:eastAsia="es-MX"/>
                    </w:rPr>
                    <w:t xml:space="preserve"> y de Distribución de Valladolid" el cual </w:t>
                  </w:r>
                  <w:r w:rsidR="00091591" w:rsidRPr="007A5E4F">
                    <w:rPr>
                      <w:rFonts w:ascii="Calibri" w:eastAsia="Times New Roman" w:hAnsi="Calibri" w:cs="Arial"/>
                      <w:sz w:val="20"/>
                      <w:szCs w:val="20"/>
                      <w:lang w:eastAsia="es-MX"/>
                    </w:rPr>
                    <w:t>está</w:t>
                  </w:r>
                  <w:r w:rsidRPr="007A5E4F">
                    <w:rPr>
                      <w:rFonts w:ascii="Calibri" w:eastAsia="Times New Roman" w:hAnsi="Calibri" w:cs="Arial"/>
                      <w:sz w:val="20"/>
                      <w:szCs w:val="20"/>
                      <w:lang w:eastAsia="es-MX"/>
                    </w:rPr>
                    <w:t xml:space="preserve"> igualmente alineado al </w:t>
                  </w:r>
                  <w:r w:rsidR="00091591" w:rsidRPr="007A5E4F">
                    <w:rPr>
                      <w:rFonts w:ascii="Calibri" w:eastAsia="Times New Roman" w:hAnsi="Calibri" w:cs="Arial"/>
                      <w:sz w:val="20"/>
                      <w:szCs w:val="20"/>
                      <w:lang w:eastAsia="es-MX"/>
                    </w:rPr>
                    <w:t>compromiso</w:t>
                  </w:r>
                  <w:r w:rsidRPr="007A5E4F">
                    <w:rPr>
                      <w:rFonts w:ascii="Calibri" w:eastAsia="Times New Roman" w:hAnsi="Calibri" w:cs="Arial"/>
                      <w:sz w:val="20"/>
                      <w:szCs w:val="20"/>
                      <w:lang w:eastAsia="es-MX"/>
                    </w:rPr>
                    <w:t xml:space="preserve"> estatal No. 9 del Gobernador Lic. Rolando Rodrigo Zapata Bello "Gestionar la construcción del Centro </w:t>
                  </w:r>
                  <w:r w:rsidR="00091591" w:rsidRPr="007A5E4F">
                    <w:rPr>
                      <w:rFonts w:ascii="Calibri" w:eastAsia="Times New Roman" w:hAnsi="Calibri" w:cs="Arial"/>
                      <w:sz w:val="20"/>
                      <w:szCs w:val="20"/>
                      <w:lang w:eastAsia="es-MX"/>
                    </w:rPr>
                    <w:t>Logístico</w:t>
                  </w:r>
                  <w:r w:rsidRPr="007A5E4F">
                    <w:rPr>
                      <w:rFonts w:ascii="Calibri" w:eastAsia="Times New Roman" w:hAnsi="Calibri" w:cs="Arial"/>
                      <w:sz w:val="20"/>
                      <w:szCs w:val="20"/>
                      <w:lang w:eastAsia="es-MX"/>
                    </w:rPr>
                    <w:t xml:space="preserve"> y de Distribución de Valladolid"</w:t>
                  </w:r>
                </w:p>
              </w:tc>
            </w:tr>
            <w:tr w:rsidR="007A5E4F" w:rsidRPr="007A5E4F" w:rsidTr="007A5E4F">
              <w:trPr>
                <w:trHeight w:val="1185"/>
              </w:trPr>
              <w:tc>
                <w:tcPr>
                  <w:tcW w:w="13760" w:type="dxa"/>
                  <w:gridSpan w:val="9"/>
                  <w:tcBorders>
                    <w:top w:val="nil"/>
                    <w:left w:val="nil"/>
                    <w:bottom w:val="nil"/>
                    <w:right w:val="nil"/>
                  </w:tcBorders>
                  <w:shd w:val="clear" w:color="auto" w:fill="auto"/>
                  <w:hideMark/>
                </w:tcPr>
                <w:p w:rsid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El Articulo 4 </w:t>
                  </w:r>
                  <w:proofErr w:type="spellStart"/>
                  <w:r w:rsidRPr="007A5E4F">
                    <w:rPr>
                      <w:rFonts w:ascii="Calibri" w:eastAsia="Times New Roman" w:hAnsi="Calibri" w:cs="Arial"/>
                      <w:sz w:val="20"/>
                      <w:szCs w:val="20"/>
                      <w:lang w:eastAsia="es-MX"/>
                    </w:rPr>
                    <w:t>Fracc</w:t>
                  </w:r>
                  <w:proofErr w:type="spellEnd"/>
                  <w:r w:rsidRPr="007A5E4F">
                    <w:rPr>
                      <w:rFonts w:ascii="Calibri" w:eastAsia="Times New Roman" w:hAnsi="Calibri" w:cs="Arial"/>
                      <w:sz w:val="20"/>
                      <w:szCs w:val="20"/>
                      <w:lang w:eastAsia="es-MX"/>
                    </w:rPr>
                    <w:t xml:space="preserve"> XII de la Ley de Contabilidad, establece que son Entes Públicos: los poderes Ejecutivo, Legislativo y Judicial de la Federación y de las entidades federativas; los entes autónomos de la Federación y de las entidades federativas; los ayuntamientos de los municipios; los órganos políticos administrativos de las demarcaciones territoriales del Distrito Federal; y las entidades de la administración pública paraestatal, ya sean federales, estatales o municipales.</w:t>
                  </w:r>
                </w:p>
                <w:p w:rsidR="00091591"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p w:rsidR="00091591" w:rsidRPr="007A5E4F"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4</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ORGANIZACIÓN Y OBJETO SOCIAL</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34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tiene como finalidad:</w:t>
                  </w:r>
                </w:p>
              </w:tc>
            </w:tr>
            <w:tr w:rsidR="007A5E4F" w:rsidRPr="007A5E4F" w:rsidTr="007A5E4F">
              <w:trPr>
                <w:trHeight w:val="300"/>
              </w:trPr>
              <w:tc>
                <w:tcPr>
                  <w:tcW w:w="13760" w:type="dxa"/>
                  <w:gridSpan w:val="9"/>
                  <w:tcBorders>
                    <w:top w:val="nil"/>
                    <w:left w:val="nil"/>
                    <w:bottom w:val="nil"/>
                    <w:right w:val="nil"/>
                  </w:tcBorders>
                  <w:shd w:val="clear" w:color="auto" w:fill="auto"/>
                  <w:hideMark/>
                </w:tcPr>
                <w:p w:rsidR="007A5E4F" w:rsidRPr="00091591" w:rsidRDefault="007A5E4F" w:rsidP="0036579C">
                  <w:pPr>
                    <w:pStyle w:val="Prrafodelista"/>
                    <w:framePr w:hSpace="141" w:wrap="around" w:hAnchor="text" w:y="-420"/>
                    <w:numPr>
                      <w:ilvl w:val="0"/>
                      <w:numId w:val="1"/>
                    </w:numPr>
                    <w:spacing w:after="0" w:line="240" w:lineRule="auto"/>
                    <w:jc w:val="both"/>
                    <w:rPr>
                      <w:rFonts w:ascii="Calibri" w:eastAsia="Times New Roman" w:hAnsi="Calibri" w:cs="Arial"/>
                      <w:sz w:val="20"/>
                      <w:szCs w:val="20"/>
                      <w:lang w:eastAsia="es-MX"/>
                    </w:rPr>
                  </w:pPr>
                  <w:r w:rsidRPr="00091591">
                    <w:rPr>
                      <w:rFonts w:ascii="Calibri" w:eastAsia="Times New Roman" w:hAnsi="Calibri" w:cs="Arial"/>
                      <w:sz w:val="20"/>
                      <w:szCs w:val="20"/>
                      <w:lang w:eastAsia="es-MX"/>
                    </w:rPr>
                    <w:t xml:space="preserve">Ejecutar el "Proyecto puesta en marcha y </w:t>
                  </w:r>
                  <w:r w:rsidR="00091591" w:rsidRPr="00091591">
                    <w:rPr>
                      <w:rFonts w:ascii="Calibri" w:eastAsia="Times New Roman" w:hAnsi="Calibri" w:cs="Arial"/>
                      <w:sz w:val="20"/>
                      <w:szCs w:val="20"/>
                      <w:lang w:eastAsia="es-MX"/>
                    </w:rPr>
                    <w:t>construcción</w:t>
                  </w:r>
                  <w:r w:rsidRPr="00091591">
                    <w:rPr>
                      <w:rFonts w:ascii="Calibri" w:eastAsia="Times New Roman" w:hAnsi="Calibri" w:cs="Arial"/>
                      <w:sz w:val="20"/>
                      <w:szCs w:val="20"/>
                      <w:lang w:eastAsia="es-MX"/>
                    </w:rPr>
                    <w:t xml:space="preserve"> de la Fase A de la </w:t>
                  </w:r>
                  <w:r w:rsidR="00091591" w:rsidRPr="00091591">
                    <w:rPr>
                      <w:rFonts w:ascii="Calibri" w:eastAsia="Times New Roman" w:hAnsi="Calibri" w:cs="Arial"/>
                      <w:sz w:val="20"/>
                      <w:szCs w:val="20"/>
                      <w:lang w:eastAsia="es-MX"/>
                    </w:rPr>
                    <w:t>Primera</w:t>
                  </w:r>
                  <w:r w:rsidRPr="00091591">
                    <w:rPr>
                      <w:rFonts w:ascii="Calibri" w:eastAsia="Times New Roman" w:hAnsi="Calibri" w:cs="Arial"/>
                      <w:sz w:val="20"/>
                      <w:szCs w:val="20"/>
                      <w:lang w:eastAsia="es-MX"/>
                    </w:rPr>
                    <w:t xml:space="preserve"> Etapa del Centro de Carga Aeroportuaria de Valladolid"</w:t>
                  </w:r>
                </w:p>
              </w:tc>
            </w:tr>
            <w:tr w:rsidR="007A5E4F" w:rsidRPr="007A5E4F" w:rsidTr="007A5E4F">
              <w:trPr>
                <w:trHeight w:val="660"/>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Las Operaciones que dieron origen a los Estados Financieros corresponden al ejercicio presupuestal comprendido del 01 de enero al 31 de diciembre de 2017</w:t>
                  </w:r>
                </w:p>
              </w:tc>
            </w:tr>
            <w:tr w:rsidR="007A5E4F" w:rsidRPr="007A5E4F" w:rsidTr="007A5E4F">
              <w:trPr>
                <w:trHeight w:val="58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lastRenderedPageBreak/>
                    <w:t xml:space="preserve">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se crea como un acuerdo del Gobierno Federal a</w:t>
                  </w:r>
                  <w:r w:rsidR="00091591">
                    <w:rPr>
                      <w:rFonts w:ascii="Calibri" w:eastAsia="Times New Roman" w:hAnsi="Calibri" w:cs="Arial"/>
                      <w:sz w:val="20"/>
                      <w:szCs w:val="20"/>
                      <w:lang w:eastAsia="es-MX"/>
                    </w:rPr>
                    <w:t xml:space="preserve"> </w:t>
                  </w:r>
                  <w:r w:rsidR="00091591" w:rsidRPr="007A5E4F">
                    <w:rPr>
                      <w:rFonts w:ascii="Calibri" w:eastAsia="Times New Roman" w:hAnsi="Calibri" w:cs="Arial"/>
                      <w:sz w:val="20"/>
                      <w:szCs w:val="20"/>
                      <w:lang w:eastAsia="es-MX"/>
                    </w:rPr>
                    <w:t>través</w:t>
                  </w:r>
                  <w:r w:rsidRPr="007A5E4F">
                    <w:rPr>
                      <w:rFonts w:ascii="Calibri" w:eastAsia="Times New Roman" w:hAnsi="Calibri" w:cs="Arial"/>
                      <w:sz w:val="20"/>
                      <w:szCs w:val="20"/>
                      <w:lang w:eastAsia="es-MX"/>
                    </w:rPr>
                    <w:t xml:space="preserve"> del Instituto Nacional del Emprendedor y el Gobierno del Estado de </w:t>
                  </w:r>
                  <w:r w:rsidR="00091591" w:rsidRPr="007A5E4F">
                    <w:rPr>
                      <w:rFonts w:ascii="Calibri" w:eastAsia="Times New Roman" w:hAnsi="Calibri" w:cs="Arial"/>
                      <w:sz w:val="20"/>
                      <w:szCs w:val="20"/>
                      <w:lang w:eastAsia="es-MX"/>
                    </w:rPr>
                    <w:t>Yucatán</w:t>
                  </w:r>
                  <w:r w:rsidRPr="007A5E4F">
                    <w:rPr>
                      <w:rFonts w:ascii="Calibri" w:eastAsia="Times New Roman" w:hAnsi="Calibri" w:cs="Arial"/>
                      <w:sz w:val="20"/>
                      <w:szCs w:val="20"/>
                      <w:lang w:eastAsia="es-MX"/>
                    </w:rPr>
                    <w:t>.</w:t>
                  </w:r>
                </w:p>
              </w:tc>
            </w:tr>
            <w:tr w:rsidR="007A5E4F" w:rsidRPr="007A5E4F" w:rsidTr="007A5E4F">
              <w:trPr>
                <w:trHeight w:val="82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no tiene contratado servicios personales para que laboren en el mismo, </w:t>
                  </w:r>
                  <w:proofErr w:type="spellStart"/>
                  <w:r w:rsidRPr="007A5E4F">
                    <w:rPr>
                      <w:rFonts w:ascii="Calibri" w:eastAsia="Times New Roman" w:hAnsi="Calibri" w:cs="Arial"/>
                      <w:sz w:val="20"/>
                      <w:szCs w:val="20"/>
                      <w:lang w:eastAsia="es-MX"/>
                    </w:rPr>
                    <w:t>sera</w:t>
                  </w:r>
                  <w:proofErr w:type="spellEnd"/>
                  <w:r w:rsidRPr="007A5E4F">
                    <w:rPr>
                      <w:rFonts w:ascii="Calibri" w:eastAsia="Times New Roman" w:hAnsi="Calibri" w:cs="Arial"/>
                      <w:sz w:val="20"/>
                      <w:szCs w:val="20"/>
                      <w:lang w:eastAsia="es-MX"/>
                    </w:rPr>
                    <w:t xml:space="preserve"> administrado por un </w:t>
                  </w:r>
                  <w:r w:rsidR="00091591" w:rsidRPr="007A5E4F">
                    <w:rPr>
                      <w:rFonts w:ascii="Calibri" w:eastAsia="Times New Roman" w:hAnsi="Calibri" w:cs="Arial"/>
                      <w:sz w:val="20"/>
                      <w:szCs w:val="20"/>
                      <w:lang w:eastAsia="es-MX"/>
                    </w:rPr>
                    <w:t>Comité</w:t>
                  </w:r>
                  <w:r w:rsidRPr="007A5E4F">
                    <w:rPr>
                      <w:rFonts w:ascii="Calibri" w:eastAsia="Times New Roman" w:hAnsi="Calibri" w:cs="Arial"/>
                      <w:sz w:val="20"/>
                      <w:szCs w:val="20"/>
                      <w:lang w:eastAsia="es-MX"/>
                    </w:rPr>
                    <w:t xml:space="preserve"> </w:t>
                  </w:r>
                  <w:r w:rsidR="00091591" w:rsidRPr="007A5E4F">
                    <w:rPr>
                      <w:rFonts w:ascii="Calibri" w:eastAsia="Times New Roman" w:hAnsi="Calibri" w:cs="Arial"/>
                      <w:sz w:val="20"/>
                      <w:szCs w:val="20"/>
                      <w:lang w:eastAsia="es-MX"/>
                    </w:rPr>
                    <w:t>Técnico</w:t>
                  </w:r>
                  <w:r w:rsidRPr="007A5E4F">
                    <w:rPr>
                      <w:rFonts w:ascii="Calibri" w:eastAsia="Times New Roman" w:hAnsi="Calibri" w:cs="Arial"/>
                      <w:sz w:val="20"/>
                      <w:szCs w:val="20"/>
                      <w:lang w:eastAsia="es-MX"/>
                    </w:rPr>
                    <w:t xml:space="preserve"> </w:t>
                  </w:r>
                  <w:r w:rsidR="00091591" w:rsidRPr="007A5E4F">
                    <w:rPr>
                      <w:rFonts w:ascii="Calibri" w:eastAsia="Times New Roman" w:hAnsi="Calibri" w:cs="Arial"/>
                      <w:sz w:val="20"/>
                      <w:szCs w:val="20"/>
                      <w:lang w:eastAsia="es-MX"/>
                    </w:rPr>
                    <w:t>integrado</w:t>
                  </w:r>
                  <w:r w:rsidRPr="007A5E4F">
                    <w:rPr>
                      <w:rFonts w:ascii="Calibri" w:eastAsia="Times New Roman" w:hAnsi="Calibri" w:cs="Arial"/>
                      <w:sz w:val="20"/>
                      <w:szCs w:val="20"/>
                      <w:lang w:eastAsia="es-MX"/>
                    </w:rPr>
                    <w:t xml:space="preserve"> por 3 </w:t>
                  </w:r>
                  <w:r w:rsidR="00091591" w:rsidRPr="007A5E4F">
                    <w:rPr>
                      <w:rFonts w:ascii="Calibri" w:eastAsia="Times New Roman" w:hAnsi="Calibri" w:cs="Arial"/>
                      <w:sz w:val="20"/>
                      <w:szCs w:val="20"/>
                      <w:lang w:eastAsia="es-MX"/>
                    </w:rPr>
                    <w:t>miembros</w:t>
                  </w:r>
                  <w:r w:rsidRPr="007A5E4F">
                    <w:rPr>
                      <w:rFonts w:ascii="Calibri" w:eastAsia="Times New Roman" w:hAnsi="Calibri" w:cs="Arial"/>
                      <w:sz w:val="20"/>
                      <w:szCs w:val="20"/>
                      <w:lang w:eastAsia="es-MX"/>
                    </w:rPr>
                    <w:t xml:space="preserve"> </w:t>
                  </w:r>
                  <w:r w:rsidR="00091591" w:rsidRPr="007A5E4F">
                    <w:rPr>
                      <w:rFonts w:ascii="Calibri" w:eastAsia="Times New Roman" w:hAnsi="Calibri" w:cs="Arial"/>
                      <w:sz w:val="20"/>
                      <w:szCs w:val="20"/>
                      <w:lang w:eastAsia="es-MX"/>
                    </w:rPr>
                    <w:t>Propietarios</w:t>
                  </w:r>
                  <w:r w:rsidRPr="007A5E4F">
                    <w:rPr>
                      <w:rFonts w:ascii="Calibri" w:eastAsia="Times New Roman" w:hAnsi="Calibri" w:cs="Arial"/>
                      <w:sz w:val="20"/>
                      <w:szCs w:val="20"/>
                      <w:lang w:eastAsia="es-MX"/>
                    </w:rPr>
                    <w:t xml:space="preserve"> que son Presidente, Secretario y Tesorero con sus respectivos suplentes y funciones.</w:t>
                  </w: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5</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BASES DE PREPARACION DE LOS ESTADOS FINANCIEROS</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67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Para la preparación de los Estados Financieros se </w:t>
                  </w:r>
                  <w:r w:rsidR="00091591" w:rsidRPr="007A5E4F">
                    <w:rPr>
                      <w:rFonts w:ascii="Calibri" w:eastAsia="Times New Roman" w:hAnsi="Calibri" w:cs="Arial"/>
                      <w:sz w:val="20"/>
                      <w:szCs w:val="20"/>
                      <w:lang w:eastAsia="es-MX"/>
                    </w:rPr>
                    <w:t>tomó</w:t>
                  </w:r>
                  <w:r w:rsidRPr="007A5E4F">
                    <w:rPr>
                      <w:rFonts w:ascii="Calibri" w:eastAsia="Times New Roman" w:hAnsi="Calibri" w:cs="Arial"/>
                      <w:sz w:val="20"/>
                      <w:szCs w:val="20"/>
                      <w:lang w:eastAsia="es-MX"/>
                    </w:rPr>
                    <w:t xml:space="preserve"> como base la Ley General de Contabilidad Gubernamental así como también la normatividad </w:t>
                  </w:r>
                  <w:proofErr w:type="spellStart"/>
                  <w:r w:rsidRPr="007A5E4F">
                    <w:rPr>
                      <w:rFonts w:ascii="Calibri" w:eastAsia="Times New Roman" w:hAnsi="Calibri" w:cs="Arial"/>
                      <w:sz w:val="20"/>
                      <w:szCs w:val="20"/>
                      <w:lang w:eastAsia="es-MX"/>
                    </w:rPr>
                    <w:t>emitída</w:t>
                  </w:r>
                  <w:proofErr w:type="spellEnd"/>
                  <w:r w:rsidRPr="007A5E4F">
                    <w:rPr>
                      <w:rFonts w:ascii="Calibri" w:eastAsia="Times New Roman" w:hAnsi="Calibri" w:cs="Arial"/>
                      <w:sz w:val="20"/>
                      <w:szCs w:val="20"/>
                      <w:lang w:eastAsia="es-MX"/>
                    </w:rPr>
                    <w:t xml:space="preserve"> por el CONAC y las disposiciones legales aplicables.</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Default="007A5E4F" w:rsidP="0036579C">
                  <w:pPr>
                    <w:framePr w:hSpace="141" w:wrap="around" w:hAnchor="text" w:y="-420"/>
                    <w:spacing w:after="0" w:line="240" w:lineRule="auto"/>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rPr>
                      <w:rFonts w:ascii="Calibri" w:eastAsia="Times New Roman" w:hAnsi="Calibri" w:cs="Arial"/>
                      <w:sz w:val="20"/>
                      <w:szCs w:val="20"/>
                      <w:lang w:eastAsia="es-MX"/>
                    </w:rPr>
                  </w:pPr>
                </w:p>
                <w:p w:rsidR="00091591" w:rsidRPr="007A5E4F" w:rsidRDefault="00091591"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55"/>
              </w:trPr>
              <w:tc>
                <w:tcPr>
                  <w:tcW w:w="13760" w:type="dxa"/>
                  <w:gridSpan w:val="9"/>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POSTULADOS BASICOS</w:t>
                  </w:r>
                </w:p>
              </w:tc>
            </w:tr>
            <w:tr w:rsidR="007A5E4F" w:rsidRPr="007A5E4F" w:rsidTr="007A5E4F">
              <w:trPr>
                <w:trHeight w:val="255"/>
              </w:trPr>
              <w:tc>
                <w:tcPr>
                  <w:tcW w:w="3079" w:type="dxa"/>
                  <w:gridSpan w:val="2"/>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Sustancia Económica</w:t>
                  </w: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94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Los ingresos y gastos fueron reconocidos en el momento en que fueron realizados y ejercidos, respectivamente y se encuentran registrados de acuerdo con los criterios de la Ley General de Contabilidad Gubernamental, las Normas </w:t>
                  </w:r>
                  <w:r w:rsidR="00091591" w:rsidRPr="007A5E4F">
                    <w:rPr>
                      <w:rFonts w:ascii="Calibri" w:eastAsia="Times New Roman" w:hAnsi="Calibri" w:cs="Arial"/>
                      <w:sz w:val="20"/>
                      <w:szCs w:val="20"/>
                      <w:lang w:eastAsia="es-MX"/>
                    </w:rPr>
                    <w:t>emitidas</w:t>
                  </w:r>
                  <w:r w:rsidRPr="007A5E4F">
                    <w:rPr>
                      <w:rFonts w:ascii="Calibri" w:eastAsia="Times New Roman" w:hAnsi="Calibri" w:cs="Arial"/>
                      <w:sz w:val="20"/>
                      <w:szCs w:val="20"/>
                      <w:lang w:eastAsia="es-MX"/>
                    </w:rPr>
                    <w:t xml:space="preserve"> por el CONAC, la </w:t>
                  </w:r>
                  <w:proofErr w:type="spellStart"/>
                  <w:r w:rsidRPr="007A5E4F">
                    <w:rPr>
                      <w:rFonts w:ascii="Calibri" w:eastAsia="Times New Roman" w:hAnsi="Calibri" w:cs="Arial"/>
                      <w:sz w:val="20"/>
                      <w:szCs w:val="20"/>
                      <w:lang w:eastAsia="es-MX"/>
                    </w:rPr>
                    <w:t>La</w:t>
                  </w:r>
                  <w:proofErr w:type="spellEnd"/>
                  <w:r w:rsidRPr="007A5E4F">
                    <w:rPr>
                      <w:rFonts w:ascii="Calibri" w:eastAsia="Times New Roman" w:hAnsi="Calibri" w:cs="Arial"/>
                      <w:sz w:val="20"/>
                      <w:szCs w:val="20"/>
                      <w:lang w:eastAsia="es-MX"/>
                    </w:rPr>
                    <w:t xml:space="preserve"> Ley de Presupuesto y Contabilidad Gubernamental.</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Entes Públicos</w:t>
                  </w:r>
                </w:p>
              </w:tc>
              <w:tc>
                <w:tcPr>
                  <w:tcW w:w="1598" w:type="dxa"/>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p>
              </w:tc>
            </w:tr>
            <w:tr w:rsidR="007A5E4F" w:rsidRPr="007A5E4F" w:rsidTr="007A5E4F">
              <w:trPr>
                <w:trHeight w:val="97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lastRenderedPageBreak/>
                    <w:t>Los poderes Ejecutivo, Legislativo y Judicial de la Federación y de las entidades federativas; los entes autónomos de la Federación y de las entidades federativas; los ayunta</w:t>
                  </w:r>
                  <w:r w:rsidR="00091591">
                    <w:rPr>
                      <w:rFonts w:ascii="Calibri" w:eastAsia="Times New Roman" w:hAnsi="Calibri" w:cs="Arial"/>
                      <w:sz w:val="20"/>
                      <w:szCs w:val="20"/>
                      <w:lang w:eastAsia="es-MX"/>
                    </w:rPr>
                    <w:t>mientos de los municipios; los ó</w:t>
                  </w:r>
                  <w:r w:rsidRPr="007A5E4F">
                    <w:rPr>
                      <w:rFonts w:ascii="Calibri" w:eastAsia="Times New Roman" w:hAnsi="Calibri" w:cs="Arial"/>
                      <w:sz w:val="20"/>
                      <w:szCs w:val="20"/>
                      <w:lang w:eastAsia="es-MX"/>
                    </w:rPr>
                    <w:t>rganos políticos administrativos de las demarcaciones territoriales del Distrito Federal; y las entidades de la administración pública paraestatal, ya sean federales, estatales o municipales.</w:t>
                  </w:r>
                </w:p>
              </w:tc>
            </w:tr>
            <w:tr w:rsidR="007A5E4F" w:rsidRPr="007A5E4F" w:rsidTr="007A5E4F">
              <w:trPr>
                <w:trHeight w:val="255"/>
              </w:trPr>
              <w:tc>
                <w:tcPr>
                  <w:tcW w:w="3079" w:type="dxa"/>
                  <w:gridSpan w:val="2"/>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Existencia Permanente</w:t>
                  </w: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142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La vigencia del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será la que coincida con la última fecha establecida de devolución en el calendario de restitución de recursos otorgados al amparo del propio acuerdo de coordinación y a la determinación del destino final de los mismos. Sin perjuicio de los anterior, cualquiera de las partes podrá dar por terminado el presente acuerdo de coordinación anticipadamente dando aviso a la otra por escrito dentro de los 30 días naturales anteriores a la fecha en que </w:t>
                  </w:r>
                  <w:r w:rsidR="00091591" w:rsidRPr="007A5E4F">
                    <w:rPr>
                      <w:rFonts w:ascii="Calibri" w:eastAsia="Times New Roman" w:hAnsi="Calibri" w:cs="Arial"/>
                      <w:sz w:val="20"/>
                      <w:szCs w:val="20"/>
                      <w:lang w:eastAsia="es-MX"/>
                    </w:rPr>
                    <w:t>surtirá</w:t>
                  </w:r>
                  <w:r w:rsidRPr="007A5E4F">
                    <w:rPr>
                      <w:rFonts w:ascii="Calibri" w:eastAsia="Times New Roman" w:hAnsi="Calibri" w:cs="Arial"/>
                      <w:sz w:val="20"/>
                      <w:szCs w:val="20"/>
                      <w:lang w:eastAsia="es-MX"/>
                    </w:rPr>
                    <w:t xml:space="preserve"> efectos. No obstante seguirá operando respecto de los proyectos y/o acciones que </w:t>
                  </w:r>
                  <w:r w:rsidR="00091591" w:rsidRPr="007A5E4F">
                    <w:rPr>
                      <w:rFonts w:ascii="Calibri" w:eastAsia="Times New Roman" w:hAnsi="Calibri" w:cs="Arial"/>
                      <w:sz w:val="20"/>
                      <w:szCs w:val="20"/>
                      <w:lang w:eastAsia="es-MX"/>
                    </w:rPr>
                    <w:t>estén</w:t>
                  </w:r>
                  <w:r w:rsidRPr="007A5E4F">
                    <w:rPr>
                      <w:rFonts w:ascii="Calibri" w:eastAsia="Times New Roman" w:hAnsi="Calibri" w:cs="Arial"/>
                      <w:sz w:val="20"/>
                      <w:szCs w:val="20"/>
                      <w:lang w:eastAsia="es-MX"/>
                    </w:rPr>
                    <w:t xml:space="preserve"> en proceso y hasta que no se haya amortizado el recurso comprometido en los mismos.</w:t>
                  </w:r>
                </w:p>
              </w:tc>
            </w:tr>
            <w:tr w:rsidR="007A5E4F" w:rsidRPr="007A5E4F" w:rsidTr="007A5E4F">
              <w:trPr>
                <w:trHeight w:val="255"/>
              </w:trPr>
              <w:tc>
                <w:tcPr>
                  <w:tcW w:w="3079" w:type="dxa"/>
                  <w:gridSpan w:val="2"/>
                  <w:tcBorders>
                    <w:top w:val="nil"/>
                    <w:left w:val="nil"/>
                    <w:bottom w:val="nil"/>
                    <w:right w:val="nil"/>
                  </w:tcBorders>
                  <w:shd w:val="clear" w:color="auto" w:fill="auto"/>
                  <w:noWrap/>
                  <w:vAlign w:val="bottom"/>
                  <w:hideMark/>
                </w:tcPr>
                <w:p w:rsidR="007A5E4F" w:rsidRPr="007A5E4F" w:rsidRDefault="00091591" w:rsidP="0036579C">
                  <w:pPr>
                    <w:framePr w:hSpace="141" w:wrap="around" w:hAnchor="text" w:y="-420"/>
                    <w:spacing w:after="0" w:line="240" w:lineRule="auto"/>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Revelación</w:t>
                  </w:r>
                  <w:r w:rsidR="007A5E4F" w:rsidRPr="007A5E4F">
                    <w:rPr>
                      <w:rFonts w:ascii="Calibri" w:eastAsia="Times New Roman" w:hAnsi="Calibri" w:cs="Arial"/>
                      <w:b/>
                      <w:bCs/>
                      <w:sz w:val="20"/>
                      <w:szCs w:val="20"/>
                      <w:lang w:eastAsia="es-MX"/>
                    </w:rPr>
                    <w:t xml:space="preserve"> Suficiente</w:t>
                  </w: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690"/>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Los estados financieros se presentan conjuntamente con sus notas para una adecuada evaluación cuantitativa cumpliendo con las características de objetividad, verificabilidad y representatividad y que muestran amplia y claramente la </w:t>
                  </w:r>
                  <w:r w:rsidR="00091591" w:rsidRPr="007A5E4F">
                    <w:rPr>
                      <w:rFonts w:ascii="Calibri" w:eastAsia="Times New Roman" w:hAnsi="Calibri" w:cs="Arial"/>
                      <w:sz w:val="20"/>
                      <w:szCs w:val="20"/>
                      <w:lang w:eastAsia="es-MX"/>
                    </w:rPr>
                    <w:t>situación</w:t>
                  </w:r>
                  <w:r w:rsidRPr="007A5E4F">
                    <w:rPr>
                      <w:rFonts w:ascii="Calibri" w:eastAsia="Times New Roman" w:hAnsi="Calibri" w:cs="Arial"/>
                      <w:sz w:val="20"/>
                      <w:szCs w:val="20"/>
                      <w:lang w:eastAsia="es-MX"/>
                    </w:rPr>
                    <w:t xml:space="preserve"> financiera y los resultados obtenidos del Fondo</w:t>
                  </w:r>
                </w:p>
              </w:tc>
            </w:tr>
            <w:tr w:rsidR="007A5E4F" w:rsidRPr="007A5E4F" w:rsidTr="007A5E4F">
              <w:trPr>
                <w:trHeight w:val="255"/>
              </w:trPr>
              <w:tc>
                <w:tcPr>
                  <w:tcW w:w="3079" w:type="dxa"/>
                  <w:gridSpan w:val="2"/>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Importancia Relativa</w:t>
                  </w: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690"/>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La información financiera presentada del FOPROFEY no tiene riesgo debido a alguna omisión o presentación errónea en sus importes que afecte la percepción de los usuarios de dicha </w:t>
                  </w:r>
                  <w:r w:rsidR="00091591" w:rsidRPr="007A5E4F">
                    <w:rPr>
                      <w:rFonts w:ascii="Calibri" w:eastAsia="Times New Roman" w:hAnsi="Calibri" w:cs="Arial"/>
                      <w:sz w:val="20"/>
                      <w:szCs w:val="20"/>
                      <w:lang w:eastAsia="es-MX"/>
                    </w:rPr>
                    <w:t>información</w:t>
                  </w:r>
                  <w:r w:rsidRPr="007A5E4F">
                    <w:rPr>
                      <w:rFonts w:ascii="Calibri" w:eastAsia="Times New Roman" w:hAnsi="Calibri" w:cs="Arial"/>
                      <w:sz w:val="20"/>
                      <w:szCs w:val="20"/>
                      <w:lang w:eastAsia="es-MX"/>
                    </w:rPr>
                    <w:t>, en relación con la rendición de cuentas, la fiscalización y la toma de decisiones.</w:t>
                  </w:r>
                </w:p>
              </w:tc>
            </w:tr>
            <w:tr w:rsidR="007A5E4F" w:rsidRPr="007A5E4F" w:rsidTr="007A5E4F">
              <w:trPr>
                <w:trHeight w:val="255"/>
              </w:trPr>
              <w:tc>
                <w:tcPr>
                  <w:tcW w:w="3079" w:type="dxa"/>
                  <w:gridSpan w:val="2"/>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Periodo Contable</w:t>
                  </w: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600"/>
              </w:trPr>
              <w:tc>
                <w:tcPr>
                  <w:tcW w:w="13760" w:type="dxa"/>
                  <w:gridSpan w:val="9"/>
                  <w:tcBorders>
                    <w:top w:val="nil"/>
                    <w:left w:val="nil"/>
                    <w:bottom w:val="nil"/>
                    <w:right w:val="nil"/>
                  </w:tcBorders>
                  <w:shd w:val="clear" w:color="auto" w:fill="auto"/>
                  <w:hideMark/>
                </w:tcPr>
                <w:p w:rsid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Las Operaciones que dieron origen a los Estados Financieros corresponden al ejercicio presupuestal comprendido del 01 de enero al 31 de diciembre de 2017</w:t>
                  </w:r>
                  <w:r w:rsidR="00091591">
                    <w:rPr>
                      <w:rFonts w:ascii="Calibri" w:eastAsia="Times New Roman" w:hAnsi="Calibri" w:cs="Arial"/>
                      <w:sz w:val="20"/>
                      <w:szCs w:val="20"/>
                      <w:lang w:eastAsia="es-MX"/>
                    </w:rPr>
                    <w:t>.</w:t>
                  </w:r>
                </w:p>
                <w:p w:rsidR="00091591"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p w:rsidR="00091591" w:rsidRPr="007A5E4F"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091591" w:rsidP="0036579C">
                  <w:pPr>
                    <w:framePr w:hSpace="141" w:wrap="around" w:hAnchor="text" w:y="-420"/>
                    <w:spacing w:after="0" w:line="240" w:lineRule="auto"/>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Valuación</w:t>
                  </w: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570"/>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Las Operaciones Contables que se presentan fueron registrados a su valor histórico de adquisición sin incluir efectos de re-evaluación por inflación, </w:t>
                  </w:r>
                  <w:proofErr w:type="spellStart"/>
                  <w:r w:rsidRPr="007A5E4F">
                    <w:rPr>
                      <w:rFonts w:ascii="Calibri" w:eastAsia="Times New Roman" w:hAnsi="Calibri" w:cs="Arial"/>
                      <w:sz w:val="20"/>
                      <w:szCs w:val="20"/>
                      <w:lang w:eastAsia="es-MX"/>
                    </w:rPr>
                    <w:t>asi</w:t>
                  </w:r>
                  <w:proofErr w:type="spellEnd"/>
                  <w:r w:rsidRPr="007A5E4F">
                    <w:rPr>
                      <w:rFonts w:ascii="Calibri" w:eastAsia="Times New Roman" w:hAnsi="Calibri" w:cs="Arial"/>
                      <w:sz w:val="20"/>
                      <w:szCs w:val="20"/>
                      <w:lang w:eastAsia="es-MX"/>
                    </w:rPr>
                    <w:t xml:space="preserve"> como </w:t>
                  </w:r>
                  <w:proofErr w:type="spellStart"/>
                  <w:r w:rsidRPr="007A5E4F">
                    <w:rPr>
                      <w:rFonts w:ascii="Calibri" w:eastAsia="Times New Roman" w:hAnsi="Calibri" w:cs="Arial"/>
                      <w:sz w:val="20"/>
                      <w:szCs w:val="20"/>
                      <w:lang w:eastAsia="es-MX"/>
                    </w:rPr>
                    <w:t>tambien</w:t>
                  </w:r>
                  <w:proofErr w:type="spellEnd"/>
                  <w:r w:rsidRPr="007A5E4F">
                    <w:rPr>
                      <w:rFonts w:ascii="Calibri" w:eastAsia="Times New Roman" w:hAnsi="Calibri" w:cs="Arial"/>
                      <w:sz w:val="20"/>
                      <w:szCs w:val="20"/>
                      <w:lang w:eastAsia="es-MX"/>
                    </w:rPr>
                    <w:t>, todas las operaciones se registraron en moneda nacional.</w:t>
                  </w:r>
                </w:p>
              </w:tc>
            </w:tr>
            <w:tr w:rsidR="007A5E4F" w:rsidRPr="007A5E4F" w:rsidTr="007A5E4F">
              <w:trPr>
                <w:trHeight w:val="255"/>
              </w:trPr>
              <w:tc>
                <w:tcPr>
                  <w:tcW w:w="3079" w:type="dxa"/>
                  <w:gridSpan w:val="2"/>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Dualidad Económica</w:t>
                  </w: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103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Todos los ingresos que se tiene en este período se deben principalmente a los intereses que genero la cuenta de cheques y por la ganancia en la inversión en mesa de dinero papel gobierno, no se tuvo alguna aportación por parte del ejecutivo, ni crédito alguno con alguna </w:t>
                  </w:r>
                  <w:proofErr w:type="spellStart"/>
                  <w:r w:rsidRPr="007A5E4F">
                    <w:rPr>
                      <w:rFonts w:ascii="Calibri" w:eastAsia="Times New Roman" w:hAnsi="Calibri" w:cs="Arial"/>
                      <w:sz w:val="20"/>
                      <w:szCs w:val="20"/>
                      <w:lang w:eastAsia="es-MX"/>
                    </w:rPr>
                    <w:t>institucion</w:t>
                  </w:r>
                  <w:proofErr w:type="spellEnd"/>
                  <w:r w:rsidRPr="007A5E4F">
                    <w:rPr>
                      <w:rFonts w:ascii="Calibri" w:eastAsia="Times New Roman" w:hAnsi="Calibri" w:cs="Arial"/>
                      <w:sz w:val="20"/>
                      <w:szCs w:val="20"/>
                      <w:lang w:eastAsia="es-MX"/>
                    </w:rPr>
                    <w:t xml:space="preserve"> financiera, por lo que la estructura financiera se mantiene igual, reflejando los movimientos en los Activos por los Créditos que se otorgan, y en el patrimonio generado por los intereses que se cobran y que generan un ahorro </w:t>
                  </w:r>
                  <w:r w:rsidR="00091591" w:rsidRPr="007A5E4F">
                    <w:rPr>
                      <w:rFonts w:ascii="Calibri" w:eastAsia="Times New Roman" w:hAnsi="Calibri" w:cs="Arial"/>
                      <w:sz w:val="20"/>
                      <w:szCs w:val="20"/>
                      <w:lang w:eastAsia="es-MX"/>
                    </w:rPr>
                    <w:t>según</w:t>
                  </w:r>
                  <w:r w:rsidRPr="007A5E4F">
                    <w:rPr>
                      <w:rFonts w:ascii="Calibri" w:eastAsia="Times New Roman" w:hAnsi="Calibri" w:cs="Arial"/>
                      <w:sz w:val="20"/>
                      <w:szCs w:val="20"/>
                      <w:lang w:eastAsia="es-MX"/>
                    </w:rPr>
                    <w:t xml:space="preserve"> se </w:t>
                  </w:r>
                  <w:r w:rsidR="00091591" w:rsidRPr="007A5E4F">
                    <w:rPr>
                      <w:rFonts w:ascii="Calibri" w:eastAsia="Times New Roman" w:hAnsi="Calibri" w:cs="Arial"/>
                      <w:sz w:val="20"/>
                      <w:szCs w:val="20"/>
                      <w:lang w:eastAsia="es-MX"/>
                    </w:rPr>
                    <w:t>muestra</w:t>
                  </w:r>
                  <w:r w:rsidRPr="007A5E4F">
                    <w:rPr>
                      <w:rFonts w:ascii="Calibri" w:eastAsia="Times New Roman" w:hAnsi="Calibri" w:cs="Arial"/>
                      <w:sz w:val="20"/>
                      <w:szCs w:val="20"/>
                      <w:lang w:eastAsia="es-MX"/>
                    </w:rPr>
                    <w:t xml:space="preserve"> en el Estado de Actividades.</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lastRenderedPageBreak/>
                    <w:t>Consistencia</w:t>
                  </w: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870"/>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El </w:t>
                  </w:r>
                  <w:r w:rsidR="00091591" w:rsidRPr="007A5E4F">
                    <w:rPr>
                      <w:rFonts w:ascii="Calibri" w:eastAsia="Times New Roman" w:hAnsi="Calibri" w:cs="Arial"/>
                      <w:sz w:val="20"/>
                      <w:szCs w:val="20"/>
                      <w:lang w:eastAsia="es-MX"/>
                    </w:rPr>
                    <w:t>método</w:t>
                  </w:r>
                  <w:r w:rsidRPr="007A5E4F">
                    <w:rPr>
                      <w:rFonts w:ascii="Calibri" w:eastAsia="Times New Roman" w:hAnsi="Calibri" w:cs="Arial"/>
                      <w:sz w:val="20"/>
                      <w:szCs w:val="20"/>
                      <w:lang w:eastAsia="es-MX"/>
                    </w:rPr>
                    <w:t xml:space="preserve"> de registro de las operaciones del FOPROFEY se realizaron de acuerdo a la Normatividad Vigente y se aplicaran de la misma forma en todas las operaciones similares en los ejercicios subsecuentes, aunque </w:t>
                  </w:r>
                  <w:r w:rsidR="008846A5" w:rsidRPr="007A5E4F">
                    <w:rPr>
                      <w:rFonts w:ascii="Calibri" w:eastAsia="Times New Roman" w:hAnsi="Calibri" w:cs="Arial"/>
                      <w:sz w:val="20"/>
                      <w:szCs w:val="20"/>
                      <w:lang w:eastAsia="es-MX"/>
                    </w:rPr>
                    <w:t>podrán</w:t>
                  </w:r>
                  <w:r w:rsidRPr="007A5E4F">
                    <w:rPr>
                      <w:rFonts w:ascii="Calibri" w:eastAsia="Times New Roman" w:hAnsi="Calibri" w:cs="Arial"/>
                      <w:sz w:val="20"/>
                      <w:szCs w:val="20"/>
                      <w:lang w:eastAsia="es-MX"/>
                    </w:rPr>
                    <w:t xml:space="preserve"> variar dependiendo de algún cambio que se </w:t>
                  </w:r>
                  <w:proofErr w:type="spellStart"/>
                  <w:r w:rsidRPr="007A5E4F">
                    <w:rPr>
                      <w:rFonts w:ascii="Calibri" w:eastAsia="Times New Roman" w:hAnsi="Calibri" w:cs="Arial"/>
                      <w:sz w:val="20"/>
                      <w:szCs w:val="20"/>
                      <w:lang w:eastAsia="es-MX"/>
                    </w:rPr>
                    <w:t>de</w:t>
                  </w:r>
                  <w:proofErr w:type="spellEnd"/>
                  <w:r w:rsidRPr="007A5E4F">
                    <w:rPr>
                      <w:rFonts w:ascii="Calibri" w:eastAsia="Times New Roman" w:hAnsi="Calibri" w:cs="Arial"/>
                      <w:sz w:val="20"/>
                      <w:szCs w:val="20"/>
                      <w:lang w:eastAsia="es-MX"/>
                    </w:rPr>
                    <w:t xml:space="preserve"> ya sea por modificaciones a la Ley o de las Normas.</w:t>
                  </w: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6</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POLITICAS DE CONTABILIDAD SIGNIFICATIVAS</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55"/>
              </w:trPr>
              <w:tc>
                <w:tcPr>
                  <w:tcW w:w="3079" w:type="dxa"/>
                  <w:gridSpan w:val="2"/>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a) Registro de los Ingresos</w:t>
                  </w: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12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600"/>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Los Ingresos provienen de las transferencias recibidas del Poder Ejecutivo y de la Federación, así como de los intereses que se cobran por los créditos otorgados por el Fondo</w:t>
                  </w:r>
                </w:p>
              </w:tc>
            </w:tr>
            <w:tr w:rsidR="007A5E4F" w:rsidRPr="007A5E4F" w:rsidTr="007A5E4F">
              <w:trPr>
                <w:trHeight w:val="12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55"/>
              </w:trPr>
              <w:tc>
                <w:tcPr>
                  <w:tcW w:w="3079" w:type="dxa"/>
                  <w:gridSpan w:val="2"/>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b) Registro de los Egresos.</w:t>
                  </w: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12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570"/>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Los egresos se registran en el momento que </w:t>
                  </w:r>
                  <w:proofErr w:type="spellStart"/>
                  <w:r w:rsidRPr="007A5E4F">
                    <w:rPr>
                      <w:rFonts w:ascii="Calibri" w:eastAsia="Times New Roman" w:hAnsi="Calibri" w:cs="Arial"/>
                      <w:sz w:val="20"/>
                      <w:szCs w:val="20"/>
                      <w:lang w:eastAsia="es-MX"/>
                    </w:rPr>
                    <w:t>efectua</w:t>
                  </w:r>
                  <w:proofErr w:type="spellEnd"/>
                  <w:r w:rsidRPr="007A5E4F">
                    <w:rPr>
                      <w:rFonts w:ascii="Calibri" w:eastAsia="Times New Roman" w:hAnsi="Calibri" w:cs="Arial"/>
                      <w:sz w:val="20"/>
                      <w:szCs w:val="20"/>
                      <w:lang w:eastAsia="es-MX"/>
                    </w:rPr>
                    <w:t xml:space="preserve"> el gasto y se le anexa los documentos que amparan la adquisición de los bienes o la prestación del servicio.</w:t>
                  </w:r>
                </w:p>
              </w:tc>
            </w:tr>
            <w:tr w:rsidR="007A5E4F" w:rsidRPr="007A5E4F" w:rsidTr="007A5E4F">
              <w:trPr>
                <w:trHeight w:val="25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Las adquisiciones de materiales y suministros son consideradas directamente como egresos y su utilización es generalmente inmediata.</w:t>
                  </w:r>
                </w:p>
              </w:tc>
            </w:tr>
            <w:tr w:rsidR="007A5E4F" w:rsidRPr="007A5E4F" w:rsidTr="007A5E4F">
              <w:trPr>
                <w:trHeight w:val="12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55"/>
              </w:trPr>
              <w:tc>
                <w:tcPr>
                  <w:tcW w:w="3079" w:type="dxa"/>
                  <w:gridSpan w:val="2"/>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d) Registro Contable</w:t>
                  </w: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12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55"/>
              </w:trPr>
              <w:tc>
                <w:tcPr>
                  <w:tcW w:w="6093" w:type="dxa"/>
                  <w:gridSpan w:val="4"/>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En el registro contable intervienen los siguiente departamentos:</w:t>
                  </w: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12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61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Departamento de Finanzas y Presupuesto.- Realiza el cobro de los abonos de los acreditados del FOPROFEY, realiza el depósito bancario, así como el pago de los gastos y envía la </w:t>
                  </w:r>
                  <w:r w:rsidR="00091591" w:rsidRPr="007A5E4F">
                    <w:rPr>
                      <w:rFonts w:ascii="Calibri" w:eastAsia="Times New Roman" w:hAnsi="Calibri" w:cs="Arial"/>
                      <w:sz w:val="20"/>
                      <w:szCs w:val="20"/>
                      <w:lang w:eastAsia="es-MX"/>
                    </w:rPr>
                    <w:t>documentación</w:t>
                  </w:r>
                  <w:r w:rsidRPr="007A5E4F">
                    <w:rPr>
                      <w:rFonts w:ascii="Calibri" w:eastAsia="Times New Roman" w:hAnsi="Calibri" w:cs="Arial"/>
                      <w:sz w:val="20"/>
                      <w:szCs w:val="20"/>
                      <w:lang w:eastAsia="es-MX"/>
                    </w:rPr>
                    <w:t xml:space="preserve"> al Departamento de Contabilidad para su registro.</w:t>
                  </w:r>
                </w:p>
              </w:tc>
            </w:tr>
            <w:tr w:rsidR="007A5E4F" w:rsidRPr="007A5E4F" w:rsidTr="007A5E4F">
              <w:trPr>
                <w:trHeight w:val="82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Departamento de Contabilidad.- Es responsable del registro contable de todas las operaciones del  FOPROFEY, así como de la custodia de la documentación soporte de dichas operaciones, emitir los Estados Financieros del FOPROFEY</w:t>
                  </w:r>
                  <w:r w:rsidR="00091591">
                    <w:rPr>
                      <w:rFonts w:ascii="Calibri" w:eastAsia="Times New Roman" w:hAnsi="Calibri" w:cs="Arial"/>
                      <w:sz w:val="20"/>
                      <w:szCs w:val="20"/>
                      <w:lang w:eastAsia="es-MX"/>
                    </w:rPr>
                    <w:t xml:space="preserve"> </w:t>
                  </w:r>
                  <w:r w:rsidRPr="007A5E4F">
                    <w:rPr>
                      <w:rFonts w:ascii="Calibri" w:eastAsia="Times New Roman" w:hAnsi="Calibri" w:cs="Arial"/>
                      <w:sz w:val="20"/>
                      <w:szCs w:val="20"/>
                      <w:lang w:eastAsia="es-MX"/>
                    </w:rPr>
                    <w:t>y enviar a las diferentes interesados para su revisión e integración a la cuenta pública.</w:t>
                  </w: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7</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lastRenderedPageBreak/>
                    <w:t>POSICION EN MONEDA EXTRANJERA Y PROTECCION POR RIESGO CAMBIARIO</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540"/>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no tiene operaciones en moneda extranjera por lo que no necesita de </w:t>
                  </w:r>
                  <w:r w:rsidR="00091591" w:rsidRPr="007A5E4F">
                    <w:rPr>
                      <w:rFonts w:ascii="Calibri" w:eastAsia="Times New Roman" w:hAnsi="Calibri" w:cs="Arial"/>
                      <w:sz w:val="20"/>
                      <w:szCs w:val="20"/>
                      <w:lang w:eastAsia="es-MX"/>
                    </w:rPr>
                    <w:t>algún</w:t>
                  </w:r>
                  <w:r w:rsidRPr="007A5E4F">
                    <w:rPr>
                      <w:rFonts w:ascii="Calibri" w:eastAsia="Times New Roman" w:hAnsi="Calibri" w:cs="Arial"/>
                      <w:sz w:val="20"/>
                      <w:szCs w:val="20"/>
                      <w:lang w:eastAsia="es-MX"/>
                    </w:rPr>
                    <w:t xml:space="preserve"> </w:t>
                  </w:r>
                  <w:r w:rsidR="00091591" w:rsidRPr="007A5E4F">
                    <w:rPr>
                      <w:rFonts w:ascii="Calibri" w:eastAsia="Times New Roman" w:hAnsi="Calibri" w:cs="Arial"/>
                      <w:sz w:val="20"/>
                      <w:szCs w:val="20"/>
                      <w:lang w:eastAsia="es-MX"/>
                    </w:rPr>
                    <w:t>método</w:t>
                  </w:r>
                  <w:r w:rsidRPr="007A5E4F">
                    <w:rPr>
                      <w:rFonts w:ascii="Calibri" w:eastAsia="Times New Roman" w:hAnsi="Calibri" w:cs="Arial"/>
                      <w:sz w:val="20"/>
                      <w:szCs w:val="20"/>
                      <w:lang w:eastAsia="es-MX"/>
                    </w:rPr>
                    <w:t xml:space="preserve"> de </w:t>
                  </w:r>
                  <w:r w:rsidR="00091591" w:rsidRPr="007A5E4F">
                    <w:rPr>
                      <w:rFonts w:ascii="Calibri" w:eastAsia="Times New Roman" w:hAnsi="Calibri" w:cs="Arial"/>
                      <w:sz w:val="20"/>
                      <w:szCs w:val="20"/>
                      <w:lang w:eastAsia="es-MX"/>
                    </w:rPr>
                    <w:t>protección</w:t>
                  </w:r>
                  <w:r w:rsidRPr="007A5E4F">
                    <w:rPr>
                      <w:rFonts w:ascii="Calibri" w:eastAsia="Times New Roman" w:hAnsi="Calibri" w:cs="Arial"/>
                      <w:sz w:val="20"/>
                      <w:szCs w:val="20"/>
                      <w:lang w:eastAsia="es-MX"/>
                    </w:rPr>
                    <w:t xml:space="preserve"> de riesgo por variaciones en el tipo de cambio.</w:t>
                  </w: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8</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REPORTE ANALITICO DEL ACTIVO</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61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no cuenta con Activos Fijos por lo que solo se presenta </w:t>
                  </w:r>
                  <w:r w:rsidR="00091591" w:rsidRPr="007A5E4F">
                    <w:rPr>
                      <w:rFonts w:ascii="Calibri" w:eastAsia="Times New Roman" w:hAnsi="Calibri" w:cs="Arial"/>
                      <w:sz w:val="20"/>
                      <w:szCs w:val="20"/>
                      <w:lang w:eastAsia="es-MX"/>
                    </w:rPr>
                    <w:t>información</w:t>
                  </w:r>
                  <w:r w:rsidRPr="007A5E4F">
                    <w:rPr>
                      <w:rFonts w:ascii="Calibri" w:eastAsia="Times New Roman" w:hAnsi="Calibri" w:cs="Arial"/>
                      <w:sz w:val="20"/>
                      <w:szCs w:val="20"/>
                      <w:lang w:eastAsia="es-MX"/>
                    </w:rPr>
                    <w:t xml:space="preserve"> al activo circulante, según reporte anexo a los Estados Financieros.</w:t>
                  </w: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9</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FIDEICOMISOS, MANDATOS Y ANALOGOS</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570"/>
              </w:trPr>
              <w:tc>
                <w:tcPr>
                  <w:tcW w:w="13760" w:type="dxa"/>
                  <w:gridSpan w:val="9"/>
                  <w:tcBorders>
                    <w:top w:val="nil"/>
                    <w:left w:val="nil"/>
                    <w:bottom w:val="nil"/>
                    <w:right w:val="nil"/>
                  </w:tcBorders>
                  <w:shd w:val="clear" w:color="auto" w:fill="auto"/>
                  <w:hideMark/>
                </w:tcPr>
                <w:p w:rsid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no realiza operaciones con </w:t>
                  </w:r>
                  <w:r w:rsidR="00091591" w:rsidRPr="007A5E4F">
                    <w:rPr>
                      <w:rFonts w:ascii="Calibri" w:eastAsia="Times New Roman" w:hAnsi="Calibri" w:cs="Arial"/>
                      <w:sz w:val="20"/>
                      <w:szCs w:val="20"/>
                      <w:lang w:eastAsia="es-MX"/>
                    </w:rPr>
                    <w:t>ningún</w:t>
                  </w:r>
                  <w:r w:rsidRPr="007A5E4F">
                    <w:rPr>
                      <w:rFonts w:ascii="Calibri" w:eastAsia="Times New Roman" w:hAnsi="Calibri" w:cs="Arial"/>
                      <w:sz w:val="20"/>
                      <w:szCs w:val="20"/>
                      <w:lang w:eastAsia="es-MX"/>
                    </w:rPr>
                    <w:t xml:space="preserve"> Fideicomiso, motivo por </w:t>
                  </w:r>
                  <w:proofErr w:type="spellStart"/>
                  <w:r w:rsidRPr="007A5E4F">
                    <w:rPr>
                      <w:rFonts w:ascii="Calibri" w:eastAsia="Times New Roman" w:hAnsi="Calibri" w:cs="Arial"/>
                      <w:sz w:val="20"/>
                      <w:szCs w:val="20"/>
                      <w:lang w:eastAsia="es-MX"/>
                    </w:rPr>
                    <w:t>le</w:t>
                  </w:r>
                  <w:proofErr w:type="spellEnd"/>
                  <w:r w:rsidRPr="007A5E4F">
                    <w:rPr>
                      <w:rFonts w:ascii="Calibri" w:eastAsia="Times New Roman" w:hAnsi="Calibri" w:cs="Arial"/>
                      <w:sz w:val="20"/>
                      <w:szCs w:val="20"/>
                      <w:lang w:eastAsia="es-MX"/>
                    </w:rPr>
                    <w:t xml:space="preserve"> cual no se informa </w:t>
                  </w:r>
                  <w:r w:rsidR="00091591" w:rsidRPr="007A5E4F">
                    <w:rPr>
                      <w:rFonts w:ascii="Calibri" w:eastAsia="Times New Roman" w:hAnsi="Calibri" w:cs="Arial"/>
                      <w:sz w:val="20"/>
                      <w:szCs w:val="20"/>
                      <w:lang w:eastAsia="es-MX"/>
                    </w:rPr>
                    <w:t>situación</w:t>
                  </w:r>
                  <w:r w:rsidRPr="007A5E4F">
                    <w:rPr>
                      <w:rFonts w:ascii="Calibri" w:eastAsia="Times New Roman" w:hAnsi="Calibri" w:cs="Arial"/>
                      <w:sz w:val="20"/>
                      <w:szCs w:val="20"/>
                      <w:lang w:eastAsia="es-MX"/>
                    </w:rPr>
                    <w:t xml:space="preserve"> alguna en esta nota.</w:t>
                  </w:r>
                </w:p>
                <w:p w:rsidR="00091591"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p w:rsidR="00091591" w:rsidRPr="007A5E4F"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10</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REPORTE DE RECAUDACION</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61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no tiene la </w:t>
                  </w:r>
                  <w:r w:rsidR="00091591" w:rsidRPr="007A5E4F">
                    <w:rPr>
                      <w:rFonts w:ascii="Calibri" w:eastAsia="Times New Roman" w:hAnsi="Calibri" w:cs="Arial"/>
                      <w:sz w:val="20"/>
                      <w:szCs w:val="20"/>
                      <w:lang w:eastAsia="es-MX"/>
                    </w:rPr>
                    <w:t>atribución</w:t>
                  </w:r>
                  <w:r w:rsidRPr="007A5E4F">
                    <w:rPr>
                      <w:rFonts w:ascii="Calibri" w:eastAsia="Times New Roman" w:hAnsi="Calibri" w:cs="Arial"/>
                      <w:sz w:val="20"/>
                      <w:szCs w:val="20"/>
                      <w:lang w:eastAsia="es-MX"/>
                    </w:rPr>
                    <w:t xml:space="preserve"> de recaudar </w:t>
                  </w:r>
                  <w:r w:rsidR="00091591" w:rsidRPr="007A5E4F">
                    <w:rPr>
                      <w:rFonts w:ascii="Calibri" w:eastAsia="Times New Roman" w:hAnsi="Calibri" w:cs="Arial"/>
                      <w:sz w:val="20"/>
                      <w:szCs w:val="20"/>
                      <w:lang w:eastAsia="es-MX"/>
                    </w:rPr>
                    <w:t>ningún</w:t>
                  </w:r>
                  <w:r w:rsidRPr="007A5E4F">
                    <w:rPr>
                      <w:rFonts w:ascii="Calibri" w:eastAsia="Times New Roman" w:hAnsi="Calibri" w:cs="Arial"/>
                      <w:sz w:val="20"/>
                      <w:szCs w:val="20"/>
                      <w:lang w:eastAsia="es-MX"/>
                    </w:rPr>
                    <w:t xml:space="preserve"> tipo de contribución, motivo por </w:t>
                  </w:r>
                  <w:r w:rsidR="00091591" w:rsidRPr="007A5E4F">
                    <w:rPr>
                      <w:rFonts w:ascii="Calibri" w:eastAsia="Times New Roman" w:hAnsi="Calibri" w:cs="Arial"/>
                      <w:sz w:val="20"/>
                      <w:szCs w:val="20"/>
                      <w:lang w:eastAsia="es-MX"/>
                    </w:rPr>
                    <w:t>el</w:t>
                  </w:r>
                  <w:r w:rsidRPr="007A5E4F">
                    <w:rPr>
                      <w:rFonts w:ascii="Calibri" w:eastAsia="Times New Roman" w:hAnsi="Calibri" w:cs="Arial"/>
                      <w:sz w:val="20"/>
                      <w:szCs w:val="20"/>
                      <w:lang w:eastAsia="es-MX"/>
                    </w:rPr>
                    <w:t xml:space="preserve"> cual no se informa </w:t>
                  </w:r>
                  <w:r w:rsidR="00091591" w:rsidRPr="007A5E4F">
                    <w:rPr>
                      <w:rFonts w:ascii="Calibri" w:eastAsia="Times New Roman" w:hAnsi="Calibri" w:cs="Arial"/>
                      <w:sz w:val="20"/>
                      <w:szCs w:val="20"/>
                      <w:lang w:eastAsia="es-MX"/>
                    </w:rPr>
                    <w:t>situación</w:t>
                  </w:r>
                  <w:r w:rsidRPr="007A5E4F">
                    <w:rPr>
                      <w:rFonts w:ascii="Calibri" w:eastAsia="Times New Roman" w:hAnsi="Calibri" w:cs="Arial"/>
                      <w:sz w:val="20"/>
                      <w:szCs w:val="20"/>
                      <w:lang w:eastAsia="es-MX"/>
                    </w:rPr>
                    <w:t xml:space="preserve"> alguna en esta nota.</w:t>
                  </w: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11</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lastRenderedPageBreak/>
                    <w:t>DEUDA PUBLICA Y REPORTE ANALITICO DE LA DEUDA</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58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no tiene contratado algún tipo de deuda pública por lo que no se reporta información en esta nota, así como tampoco se elabora el Reporte Analítico de la Deuda, por carecer de </w:t>
                  </w:r>
                  <w:r w:rsidR="00091591" w:rsidRPr="007A5E4F">
                    <w:rPr>
                      <w:rFonts w:ascii="Calibri" w:eastAsia="Times New Roman" w:hAnsi="Calibri" w:cs="Arial"/>
                      <w:sz w:val="20"/>
                      <w:szCs w:val="20"/>
                      <w:lang w:eastAsia="es-MX"/>
                    </w:rPr>
                    <w:t>información</w:t>
                  </w:r>
                  <w:r w:rsidRPr="007A5E4F">
                    <w:rPr>
                      <w:rFonts w:ascii="Calibri" w:eastAsia="Times New Roman" w:hAnsi="Calibri" w:cs="Arial"/>
                      <w:sz w:val="20"/>
                      <w:szCs w:val="20"/>
                      <w:lang w:eastAsia="es-MX"/>
                    </w:rPr>
                    <w:t xml:space="preserve"> que reportar.</w:t>
                  </w: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12</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CALIFICACIONES OTORGADAS</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58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no ha sido sujeto de alguna evaluación que le otorgar calificación crediticia por lo que no se reporta información en esta nota.</w:t>
                  </w: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13</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PROCESOS DE MEJORA</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645"/>
              </w:trPr>
              <w:tc>
                <w:tcPr>
                  <w:tcW w:w="13760" w:type="dxa"/>
                  <w:gridSpan w:val="9"/>
                  <w:tcBorders>
                    <w:top w:val="nil"/>
                    <w:left w:val="nil"/>
                    <w:bottom w:val="nil"/>
                    <w:right w:val="nil"/>
                  </w:tcBorders>
                  <w:shd w:val="clear" w:color="auto" w:fill="auto"/>
                  <w:hideMark/>
                </w:tcPr>
                <w:p w:rsid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Las políticas de control que maneja 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son las que establece las Reglas de Operación y que </w:t>
                  </w:r>
                  <w:proofErr w:type="spellStart"/>
                  <w:r w:rsidRPr="007A5E4F">
                    <w:rPr>
                      <w:rFonts w:ascii="Calibri" w:eastAsia="Times New Roman" w:hAnsi="Calibri" w:cs="Arial"/>
                      <w:sz w:val="20"/>
                      <w:szCs w:val="20"/>
                      <w:lang w:eastAsia="es-MX"/>
                    </w:rPr>
                    <w:t>estan</w:t>
                  </w:r>
                  <w:proofErr w:type="spellEnd"/>
                  <w:r w:rsidRPr="007A5E4F">
                    <w:rPr>
                      <w:rFonts w:ascii="Calibri" w:eastAsia="Times New Roman" w:hAnsi="Calibri" w:cs="Arial"/>
                      <w:sz w:val="20"/>
                      <w:szCs w:val="20"/>
                      <w:lang w:eastAsia="es-MX"/>
                    </w:rPr>
                    <w:t xml:space="preserve"> previamente autorizadas por el Comité, fuera de eso no existe política alguna que establecer.</w:t>
                  </w:r>
                </w:p>
                <w:p w:rsidR="00091591"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p w:rsidR="00091591"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p w:rsidR="00091591" w:rsidRPr="007A5E4F" w:rsidRDefault="00091591" w:rsidP="0036579C">
                  <w:pPr>
                    <w:framePr w:hSpace="141" w:wrap="around" w:hAnchor="text" w:y="-420"/>
                    <w:spacing w:after="0" w:line="240" w:lineRule="auto"/>
                    <w:jc w:val="both"/>
                    <w:rPr>
                      <w:rFonts w:ascii="Calibri" w:eastAsia="Times New Roman" w:hAnsi="Calibri" w:cs="Arial"/>
                      <w:sz w:val="20"/>
                      <w:szCs w:val="20"/>
                      <w:lang w:eastAsia="es-MX"/>
                    </w:rPr>
                  </w:pP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14, 15 y 16</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INFORMACION POR SEGMENTOS, EVENTOS POSTERIORES AL CIERRE Y PARTES RELACIONADAS</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870"/>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La información que presenta 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no contiene ningún evento posterior que afecte económicamente al mismo, tampoco realiza operaciones con partes relacionadas y debido al volumen de operaciones que tiene, no se ve en la necesidad de presentar la información de manera segmentada.</w:t>
                  </w: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lastRenderedPageBreak/>
                    <w:t>NOTA 17</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RESPONSABILIDAD SOBRE LA PRESENTACION RAZONABLE DE LOS ESTADOS FINANCIEROS</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109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Los Estados Financieros y sus notas </w:t>
                  </w:r>
                  <w:r w:rsidR="00091591" w:rsidRPr="007A5E4F">
                    <w:rPr>
                      <w:rFonts w:ascii="Calibri" w:eastAsia="Times New Roman" w:hAnsi="Calibri" w:cs="Arial"/>
                      <w:sz w:val="20"/>
                      <w:szCs w:val="20"/>
                      <w:lang w:eastAsia="es-MX"/>
                    </w:rPr>
                    <w:t>están</w:t>
                  </w:r>
                  <w:r w:rsidRPr="007A5E4F">
                    <w:rPr>
                      <w:rFonts w:ascii="Calibri" w:eastAsia="Times New Roman" w:hAnsi="Calibri" w:cs="Arial"/>
                      <w:sz w:val="20"/>
                      <w:szCs w:val="20"/>
                      <w:lang w:eastAsia="es-MX"/>
                    </w:rPr>
                    <w:t xml:space="preserve"> debidamente firmados por el Jefe de Contabilidad y Administración de la SEFOE que es quien los elabora, firmado de revisado por el Director de Finanzas y Administración de la SEFOE y firmados de autorizados por el Secretario de Fomento Económico  en su calidad de Presidente del </w:t>
                  </w:r>
                  <w:proofErr w:type="spellStart"/>
                  <w:r w:rsidRPr="007A5E4F">
                    <w:rPr>
                      <w:rFonts w:ascii="Calibri" w:eastAsia="Times New Roman" w:hAnsi="Calibri" w:cs="Arial"/>
                      <w:sz w:val="20"/>
                      <w:szCs w:val="20"/>
                      <w:lang w:eastAsia="es-MX"/>
                    </w:rPr>
                    <w:t>Comite</w:t>
                  </w:r>
                  <w:proofErr w:type="spellEnd"/>
                  <w:r w:rsidRPr="007A5E4F">
                    <w:rPr>
                      <w:rFonts w:ascii="Calibri" w:eastAsia="Times New Roman" w:hAnsi="Calibri" w:cs="Arial"/>
                      <w:sz w:val="20"/>
                      <w:szCs w:val="20"/>
                      <w:lang w:eastAsia="es-MX"/>
                    </w:rPr>
                    <w:t xml:space="preserve"> del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en ausencia del Gobernador del Estado de Yucatán.</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55"/>
              </w:trPr>
              <w:tc>
                <w:tcPr>
                  <w:tcW w:w="13760" w:type="dxa"/>
                  <w:gridSpan w:val="9"/>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ESTADOS E INFORMES PRESUPUESTARIOS Y PROGRAMATICOS</w:t>
                  </w:r>
                </w:p>
              </w:tc>
            </w:tr>
            <w:tr w:rsidR="007A5E4F" w:rsidRPr="007A5E4F" w:rsidTr="007A5E4F">
              <w:trPr>
                <w:trHeight w:val="270"/>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1</w:t>
                  </w:r>
                </w:p>
              </w:tc>
            </w:tr>
            <w:tr w:rsidR="007A5E4F" w:rsidRPr="007A5E4F" w:rsidTr="007A5E4F">
              <w:trPr>
                <w:trHeight w:val="270"/>
              </w:trPr>
              <w:tc>
                <w:tcPr>
                  <w:tcW w:w="137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5E4F" w:rsidRPr="007A5E4F" w:rsidRDefault="007A5E4F" w:rsidP="0036579C">
                  <w:pPr>
                    <w:framePr w:hSpace="141" w:wrap="around" w:hAnchor="text" w:y="-420"/>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ESTADOS E INFORMES PRESUPUESTARIOS Y PROGRAMATICOS</w:t>
                  </w:r>
                </w:p>
              </w:tc>
            </w:tr>
            <w:tr w:rsidR="007A5E4F" w:rsidRPr="007A5E4F" w:rsidTr="007A5E4F">
              <w:trPr>
                <w:trHeight w:val="255"/>
              </w:trPr>
              <w:tc>
                <w:tcPr>
                  <w:tcW w:w="1481"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598"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80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14"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96"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477"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760"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639"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c>
                <w:tcPr>
                  <w:tcW w:w="1295" w:type="dxa"/>
                  <w:tcBorders>
                    <w:top w:val="nil"/>
                    <w:left w:val="nil"/>
                    <w:bottom w:val="nil"/>
                    <w:right w:val="nil"/>
                  </w:tcBorders>
                  <w:shd w:val="clear" w:color="auto" w:fill="auto"/>
                  <w:noWrap/>
                  <w:vAlign w:val="bottom"/>
                  <w:hideMark/>
                </w:tcPr>
                <w:p w:rsidR="007A5E4F" w:rsidRPr="007A5E4F" w:rsidRDefault="007A5E4F" w:rsidP="0036579C">
                  <w:pPr>
                    <w:framePr w:hSpace="141" w:wrap="around" w:hAnchor="text" w:y="-420"/>
                    <w:spacing w:after="0" w:line="240" w:lineRule="auto"/>
                    <w:rPr>
                      <w:rFonts w:ascii="Calibri" w:eastAsia="Times New Roman" w:hAnsi="Calibri" w:cs="Arial"/>
                      <w:sz w:val="20"/>
                      <w:szCs w:val="20"/>
                      <w:lang w:eastAsia="es-MX"/>
                    </w:rPr>
                  </w:pPr>
                </w:p>
              </w:tc>
            </w:tr>
            <w:tr w:rsidR="007A5E4F" w:rsidRPr="007A5E4F" w:rsidTr="007A5E4F">
              <w:trPr>
                <w:trHeight w:val="855"/>
              </w:trPr>
              <w:tc>
                <w:tcPr>
                  <w:tcW w:w="13760" w:type="dxa"/>
                  <w:gridSpan w:val="9"/>
                  <w:tcBorders>
                    <w:top w:val="nil"/>
                    <w:left w:val="nil"/>
                    <w:bottom w:val="nil"/>
                    <w:right w:val="nil"/>
                  </w:tcBorders>
                  <w:shd w:val="clear" w:color="auto" w:fill="auto"/>
                  <w:hideMark/>
                </w:tcPr>
                <w:p w:rsidR="007A5E4F" w:rsidRPr="007A5E4F" w:rsidRDefault="007A5E4F" w:rsidP="0036579C">
                  <w:pPr>
                    <w:framePr w:hSpace="141" w:wrap="around" w:hAnchor="text" w:y="-420"/>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En el caso de El Fideicomiso Irrevocable de </w:t>
                  </w:r>
                  <w:r w:rsidR="00091591" w:rsidRPr="007A5E4F">
                    <w:rPr>
                      <w:rFonts w:ascii="Calibri" w:eastAsia="Times New Roman" w:hAnsi="Calibri" w:cs="Arial"/>
                      <w:sz w:val="20"/>
                      <w:szCs w:val="20"/>
                      <w:lang w:eastAsia="es-MX"/>
                    </w:rPr>
                    <w:t>Administración</w:t>
                  </w:r>
                  <w:r w:rsidRPr="007A5E4F">
                    <w:rPr>
                      <w:rFonts w:ascii="Calibri" w:eastAsia="Times New Roman" w:hAnsi="Calibri" w:cs="Arial"/>
                      <w:sz w:val="20"/>
                      <w:szCs w:val="20"/>
                      <w:lang w:eastAsia="es-MX"/>
                    </w:rPr>
                    <w:t xml:space="preserve"> y Fuente de Pago 2003626, se elaboran los Estados e Informes Presupuestarios y </w:t>
                  </w:r>
                  <w:r w:rsidR="00091591" w:rsidRPr="007A5E4F">
                    <w:rPr>
                      <w:rFonts w:ascii="Calibri" w:eastAsia="Times New Roman" w:hAnsi="Calibri" w:cs="Arial"/>
                      <w:sz w:val="20"/>
                      <w:szCs w:val="20"/>
                      <w:lang w:eastAsia="es-MX"/>
                    </w:rPr>
                    <w:t>Programáticos</w:t>
                  </w:r>
                  <w:r w:rsidRPr="007A5E4F">
                    <w:rPr>
                      <w:rFonts w:ascii="Calibri" w:eastAsia="Times New Roman" w:hAnsi="Calibri" w:cs="Arial"/>
                      <w:sz w:val="20"/>
                      <w:szCs w:val="20"/>
                      <w:lang w:eastAsia="es-MX"/>
                    </w:rPr>
                    <w:t>, en base a la recuperación de los créditos que otorgó con sus propios recursos.</w:t>
                  </w:r>
                </w:p>
              </w:tc>
            </w:tr>
          </w:tbl>
          <w:p w:rsidR="007A5E4F" w:rsidRPr="007A5E4F" w:rsidRDefault="007A5E4F" w:rsidP="008846A5">
            <w:pPr>
              <w:spacing w:after="0" w:line="240" w:lineRule="auto"/>
              <w:jc w:val="both"/>
              <w:rPr>
                <w:rFonts w:ascii="Calibri" w:eastAsia="Times New Roman" w:hAnsi="Calibri" w:cs="Arial"/>
                <w:b/>
                <w:sz w:val="20"/>
                <w:szCs w:val="20"/>
                <w:lang w:eastAsia="es-MX"/>
              </w:rPr>
            </w:pPr>
          </w:p>
          <w:p w:rsidR="00D628A6" w:rsidRPr="007A5E4F" w:rsidRDefault="00D628A6" w:rsidP="008846A5">
            <w:pPr>
              <w:spacing w:after="0" w:line="240" w:lineRule="auto"/>
              <w:jc w:val="both"/>
              <w:rPr>
                <w:rFonts w:ascii="Calibri" w:eastAsia="Times New Roman" w:hAnsi="Calibri" w:cs="Arial"/>
                <w:sz w:val="20"/>
                <w:szCs w:val="20"/>
                <w:lang w:eastAsia="es-MX"/>
              </w:rPr>
            </w:pPr>
          </w:p>
          <w:p w:rsidR="00D628A6" w:rsidRPr="007A5E4F" w:rsidRDefault="00D628A6" w:rsidP="008846A5">
            <w:pPr>
              <w:spacing w:after="0" w:line="240" w:lineRule="auto"/>
              <w:jc w:val="both"/>
              <w:rPr>
                <w:rFonts w:ascii="Calibri" w:eastAsia="Times New Roman" w:hAnsi="Calibri" w:cs="Arial"/>
                <w:sz w:val="20"/>
                <w:szCs w:val="20"/>
                <w:lang w:eastAsia="es-MX"/>
              </w:rPr>
            </w:pPr>
          </w:p>
          <w:p w:rsidR="00D628A6" w:rsidRPr="00D628A6" w:rsidRDefault="00D628A6" w:rsidP="008846A5">
            <w:pPr>
              <w:spacing w:after="0" w:line="240" w:lineRule="auto"/>
              <w:jc w:val="both"/>
              <w:rPr>
                <w:rFonts w:ascii="Calibri" w:eastAsia="Times New Roman" w:hAnsi="Calibri" w:cs="Arial"/>
                <w:sz w:val="20"/>
                <w:szCs w:val="20"/>
                <w:lang w:eastAsia="es-MX"/>
              </w:rPr>
            </w:pPr>
          </w:p>
        </w:tc>
      </w:tr>
    </w:tbl>
    <w:p w:rsidR="00D628A6" w:rsidRPr="007A5E4F" w:rsidRDefault="00D628A6">
      <w:pPr>
        <w:rPr>
          <w:rFonts w:ascii="Calibri" w:hAnsi="Calibri"/>
          <w:sz w:val="20"/>
          <w:szCs w:val="20"/>
        </w:rPr>
      </w:pPr>
    </w:p>
    <w:p w:rsidR="001352BE" w:rsidRPr="007A5E4F" w:rsidRDefault="001352BE">
      <w:pPr>
        <w:rPr>
          <w:rFonts w:ascii="Calibri" w:hAnsi="Calibri"/>
          <w:b/>
          <w:sz w:val="20"/>
          <w:szCs w:val="20"/>
        </w:rPr>
      </w:pPr>
    </w:p>
    <w:tbl>
      <w:tblPr>
        <w:tblW w:w="13720" w:type="dxa"/>
        <w:tblInd w:w="55" w:type="dxa"/>
        <w:tblCellMar>
          <w:left w:w="70" w:type="dxa"/>
          <w:right w:w="70" w:type="dxa"/>
        </w:tblCellMar>
        <w:tblLook w:val="04A0" w:firstRow="1" w:lastRow="0" w:firstColumn="1" w:lastColumn="0" w:noHBand="0" w:noVBand="1"/>
      </w:tblPr>
      <w:tblGrid>
        <w:gridCol w:w="13720"/>
      </w:tblGrid>
      <w:tr w:rsidR="001352BE" w:rsidRPr="007A5E4F"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7A5E4F" w:rsidRDefault="001352BE" w:rsidP="001352BE">
            <w:pPr>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NOTA 5</w:t>
            </w:r>
          </w:p>
        </w:tc>
      </w:tr>
      <w:tr w:rsidR="001352BE" w:rsidRPr="007A5E4F"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7A5E4F" w:rsidRDefault="001352BE" w:rsidP="001352BE">
            <w:pPr>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CUENTAS POR PAGAR A CORTO PLAZO</w:t>
            </w:r>
          </w:p>
        </w:tc>
      </w:tr>
    </w:tbl>
    <w:p w:rsidR="001352BE" w:rsidRPr="007A5E4F" w:rsidRDefault="001352BE">
      <w:pPr>
        <w:rPr>
          <w:rFonts w:ascii="Calibri" w:hAnsi="Calibri"/>
          <w:b/>
          <w:sz w:val="20"/>
          <w:szCs w:val="20"/>
        </w:rPr>
      </w:pPr>
    </w:p>
    <w:p w:rsidR="001352BE" w:rsidRPr="007A5E4F" w:rsidRDefault="00E04F28"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El saldo de </w:t>
      </w:r>
      <w:r w:rsidR="001352BE" w:rsidRPr="007A5E4F">
        <w:rPr>
          <w:rFonts w:ascii="Calibri" w:eastAsia="Times New Roman" w:hAnsi="Calibri" w:cs="Arial"/>
          <w:sz w:val="20"/>
          <w:szCs w:val="20"/>
          <w:lang w:eastAsia="es-MX"/>
        </w:rPr>
        <w:t xml:space="preserve"> $ 8</w:t>
      </w:r>
      <w:r w:rsidR="00956C23" w:rsidRPr="007A5E4F">
        <w:rPr>
          <w:rFonts w:ascii="Calibri" w:eastAsia="Times New Roman" w:hAnsi="Calibri" w:cs="Arial"/>
          <w:sz w:val="20"/>
          <w:szCs w:val="20"/>
          <w:lang w:eastAsia="es-MX"/>
        </w:rPr>
        <w:t>8,788,118.22</w:t>
      </w:r>
      <w:r w:rsidR="001352BE" w:rsidRPr="007A5E4F">
        <w:rPr>
          <w:rFonts w:ascii="Calibri" w:eastAsia="Times New Roman" w:hAnsi="Calibri" w:cs="Arial"/>
          <w:sz w:val="20"/>
          <w:szCs w:val="20"/>
          <w:lang w:eastAsia="es-MX"/>
        </w:rPr>
        <w:t xml:space="preserve"> de la cuenta otras cuentas por pagar a corto plazo, </w:t>
      </w:r>
      <w:r w:rsidRPr="007A5E4F">
        <w:rPr>
          <w:rFonts w:ascii="Calibri" w:eastAsia="Times New Roman" w:hAnsi="Calibri" w:cs="Arial"/>
          <w:sz w:val="20"/>
          <w:szCs w:val="20"/>
          <w:lang w:eastAsia="es-MX"/>
        </w:rPr>
        <w:t>están</w:t>
      </w:r>
      <w:r w:rsidR="001352BE" w:rsidRPr="007A5E4F">
        <w:rPr>
          <w:rFonts w:ascii="Calibri" w:eastAsia="Times New Roman" w:hAnsi="Calibri" w:cs="Arial"/>
          <w:sz w:val="20"/>
          <w:szCs w:val="20"/>
          <w:lang w:eastAsia="es-MX"/>
        </w:rPr>
        <w:t xml:space="preserve"> integrada de la siguiente manera:</w:t>
      </w:r>
    </w:p>
    <w:p w:rsidR="001352BE" w:rsidRPr="007A5E4F" w:rsidRDefault="001352BE">
      <w:pPr>
        <w:rPr>
          <w:rFonts w:ascii="Calibri" w:hAnsi="Calibri"/>
          <w:b/>
          <w:sz w:val="20"/>
          <w:szCs w:val="20"/>
        </w:rPr>
      </w:pPr>
    </w:p>
    <w:tbl>
      <w:tblPr>
        <w:tblW w:w="14269" w:type="dxa"/>
        <w:tblInd w:w="-302" w:type="dxa"/>
        <w:tblCellMar>
          <w:left w:w="70" w:type="dxa"/>
          <w:right w:w="70" w:type="dxa"/>
        </w:tblCellMar>
        <w:tblLook w:val="04A0" w:firstRow="1" w:lastRow="0" w:firstColumn="1" w:lastColumn="0" w:noHBand="0" w:noVBand="1"/>
      </w:tblPr>
      <w:tblGrid>
        <w:gridCol w:w="357"/>
        <w:gridCol w:w="2295"/>
        <w:gridCol w:w="338"/>
        <w:gridCol w:w="1231"/>
        <w:gridCol w:w="1231"/>
        <w:gridCol w:w="1569"/>
        <w:gridCol w:w="1569"/>
        <w:gridCol w:w="4107"/>
        <w:gridCol w:w="146"/>
        <w:gridCol w:w="146"/>
        <w:gridCol w:w="1182"/>
        <w:gridCol w:w="98"/>
      </w:tblGrid>
      <w:tr w:rsidR="001352BE" w:rsidRPr="007A5E4F" w:rsidTr="00956C23">
        <w:trPr>
          <w:gridAfter w:val="1"/>
          <w:wAfter w:w="98" w:type="dxa"/>
          <w:trHeight w:val="280"/>
        </w:trPr>
        <w:tc>
          <w:tcPr>
            <w:tcW w:w="14171"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7A5E4F" w:rsidRDefault="001352BE" w:rsidP="001352BE">
            <w:pPr>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ACREEDORES DIVERSOS</w:t>
            </w:r>
          </w:p>
        </w:tc>
      </w:tr>
      <w:tr w:rsidR="001352BE" w:rsidRPr="007A5E4F" w:rsidTr="00091591">
        <w:trPr>
          <w:gridAfter w:val="1"/>
          <w:wAfter w:w="98" w:type="dxa"/>
          <w:trHeight w:val="280"/>
        </w:trPr>
        <w:tc>
          <w:tcPr>
            <w:tcW w:w="2990" w:type="dxa"/>
            <w:gridSpan w:val="3"/>
            <w:tcBorders>
              <w:top w:val="single" w:sz="8" w:space="0" w:color="auto"/>
              <w:left w:val="single" w:sz="8" w:space="0" w:color="auto"/>
              <w:bottom w:val="single" w:sz="8" w:space="0" w:color="auto"/>
              <w:right w:val="nil"/>
            </w:tcBorders>
            <w:shd w:val="clear" w:color="auto" w:fill="auto"/>
            <w:noWrap/>
            <w:vAlign w:val="bottom"/>
            <w:hideMark/>
          </w:tcPr>
          <w:p w:rsidR="001352BE" w:rsidRPr="007A5E4F" w:rsidRDefault="001352BE" w:rsidP="001352BE">
            <w:pPr>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Cuenta</w:t>
            </w:r>
          </w:p>
        </w:tc>
        <w:tc>
          <w:tcPr>
            <w:tcW w:w="56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7A5E4F" w:rsidRDefault="001352BE" w:rsidP="001352BE">
            <w:pPr>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Nombre</w:t>
            </w:r>
          </w:p>
        </w:tc>
        <w:tc>
          <w:tcPr>
            <w:tcW w:w="5581" w:type="dxa"/>
            <w:gridSpan w:val="4"/>
            <w:tcBorders>
              <w:top w:val="nil"/>
              <w:left w:val="nil"/>
              <w:bottom w:val="single" w:sz="4" w:space="0" w:color="auto"/>
              <w:right w:val="single" w:sz="8" w:space="0" w:color="auto"/>
            </w:tcBorders>
            <w:shd w:val="clear" w:color="auto" w:fill="auto"/>
            <w:noWrap/>
            <w:vAlign w:val="bottom"/>
            <w:hideMark/>
          </w:tcPr>
          <w:p w:rsidR="001352BE" w:rsidRPr="007A5E4F" w:rsidRDefault="001352BE" w:rsidP="001352BE">
            <w:pPr>
              <w:spacing w:after="0" w:line="240" w:lineRule="auto"/>
              <w:jc w:val="center"/>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Importe</w:t>
            </w:r>
          </w:p>
        </w:tc>
      </w:tr>
      <w:tr w:rsidR="001352BE" w:rsidRPr="007A5E4F" w:rsidTr="00091591">
        <w:trPr>
          <w:gridAfter w:val="1"/>
          <w:wAfter w:w="98" w:type="dxa"/>
          <w:trHeight w:val="216"/>
        </w:trPr>
        <w:tc>
          <w:tcPr>
            <w:tcW w:w="2990"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2-1-1-9-0-001-00001</w:t>
            </w:r>
          </w:p>
        </w:tc>
        <w:tc>
          <w:tcPr>
            <w:tcW w:w="5600"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Fondo del Capital e Inversión del Sector Rural (FOCIR) *</w:t>
            </w:r>
          </w:p>
        </w:tc>
        <w:tc>
          <w:tcPr>
            <w:tcW w:w="5581" w:type="dxa"/>
            <w:gridSpan w:val="4"/>
            <w:tcBorders>
              <w:top w:val="single" w:sz="4" w:space="0" w:color="auto"/>
              <w:left w:val="nil"/>
              <w:bottom w:val="single" w:sz="4" w:space="0" w:color="auto"/>
              <w:right w:val="single" w:sz="8" w:space="0" w:color="auto"/>
            </w:tcBorders>
            <w:shd w:val="clear" w:color="auto" w:fill="auto"/>
            <w:noWrap/>
            <w:vAlign w:val="bottom"/>
            <w:hideMark/>
          </w:tcPr>
          <w:p w:rsidR="001352BE" w:rsidRPr="007A5E4F" w:rsidRDefault="001352BE" w:rsidP="00956C23">
            <w:pPr>
              <w:spacing w:after="0" w:line="240" w:lineRule="auto"/>
              <w:jc w:val="right"/>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    </w:t>
            </w:r>
            <w:r w:rsidR="00956C23" w:rsidRPr="007A5E4F">
              <w:rPr>
                <w:rFonts w:ascii="Calibri" w:eastAsia="Times New Roman" w:hAnsi="Calibri" w:cs="Arial"/>
                <w:sz w:val="20"/>
                <w:szCs w:val="20"/>
                <w:lang w:eastAsia="es-MX"/>
              </w:rPr>
              <w:t>7,458,892.79</w:t>
            </w:r>
            <w:r w:rsidRPr="007A5E4F">
              <w:rPr>
                <w:rFonts w:ascii="Calibri" w:eastAsia="Times New Roman" w:hAnsi="Calibri" w:cs="Arial"/>
                <w:sz w:val="20"/>
                <w:szCs w:val="20"/>
                <w:lang w:eastAsia="es-MX"/>
              </w:rPr>
              <w:t xml:space="preserve"> </w:t>
            </w:r>
          </w:p>
        </w:tc>
      </w:tr>
      <w:tr w:rsidR="001352BE" w:rsidRPr="007A5E4F" w:rsidTr="00956C23">
        <w:trPr>
          <w:gridAfter w:val="1"/>
          <w:wAfter w:w="98" w:type="dxa"/>
          <w:trHeight w:val="238"/>
        </w:trPr>
        <w:tc>
          <w:tcPr>
            <w:tcW w:w="299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2-1-1-9-0-001-00002</w:t>
            </w:r>
          </w:p>
        </w:tc>
        <w:tc>
          <w:tcPr>
            <w:tcW w:w="2462" w:type="dxa"/>
            <w:gridSpan w:val="2"/>
            <w:tcBorders>
              <w:top w:val="single" w:sz="4" w:space="0" w:color="auto"/>
              <w:left w:val="single" w:sz="4" w:space="0" w:color="auto"/>
              <w:bottom w:val="single" w:sz="4" w:space="0" w:color="auto"/>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Secretaría de Hacienda **</w:t>
            </w:r>
          </w:p>
        </w:tc>
        <w:tc>
          <w:tcPr>
            <w:tcW w:w="1569" w:type="dxa"/>
            <w:tcBorders>
              <w:top w:val="nil"/>
              <w:left w:val="nil"/>
              <w:bottom w:val="single" w:sz="4" w:space="0" w:color="auto"/>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w:t>
            </w:r>
          </w:p>
        </w:tc>
        <w:tc>
          <w:tcPr>
            <w:tcW w:w="1569" w:type="dxa"/>
            <w:tcBorders>
              <w:top w:val="nil"/>
              <w:left w:val="nil"/>
              <w:bottom w:val="single" w:sz="4" w:space="0" w:color="auto"/>
              <w:right w:val="single" w:sz="4" w:space="0" w:color="auto"/>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w:t>
            </w:r>
          </w:p>
        </w:tc>
        <w:tc>
          <w:tcPr>
            <w:tcW w:w="5581" w:type="dxa"/>
            <w:gridSpan w:val="4"/>
            <w:tcBorders>
              <w:top w:val="nil"/>
              <w:left w:val="nil"/>
              <w:bottom w:val="single" w:sz="4" w:space="0" w:color="auto"/>
              <w:right w:val="single" w:sz="8" w:space="0" w:color="auto"/>
            </w:tcBorders>
            <w:shd w:val="clear" w:color="auto" w:fill="auto"/>
            <w:noWrap/>
            <w:vAlign w:val="bottom"/>
            <w:hideMark/>
          </w:tcPr>
          <w:p w:rsidR="001352BE" w:rsidRPr="007A5E4F" w:rsidRDefault="001352BE" w:rsidP="00956C23">
            <w:pPr>
              <w:spacing w:after="0" w:line="240" w:lineRule="auto"/>
              <w:jc w:val="right"/>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  14,585,441.00 </w:t>
            </w:r>
          </w:p>
        </w:tc>
      </w:tr>
      <w:tr w:rsidR="001352BE" w:rsidRPr="007A5E4F" w:rsidTr="00956C23">
        <w:trPr>
          <w:gridAfter w:val="1"/>
          <w:wAfter w:w="98" w:type="dxa"/>
          <w:trHeight w:val="238"/>
        </w:trPr>
        <w:tc>
          <w:tcPr>
            <w:tcW w:w="299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2-1-1-9-0-001-00003</w:t>
            </w:r>
          </w:p>
        </w:tc>
        <w:tc>
          <w:tcPr>
            <w:tcW w:w="2462" w:type="dxa"/>
            <w:gridSpan w:val="2"/>
            <w:tcBorders>
              <w:top w:val="single" w:sz="4" w:space="0" w:color="auto"/>
              <w:left w:val="single" w:sz="4" w:space="0" w:color="auto"/>
              <w:bottom w:val="single" w:sz="4" w:space="0" w:color="auto"/>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INNOVATUR ***</w:t>
            </w:r>
          </w:p>
        </w:tc>
        <w:tc>
          <w:tcPr>
            <w:tcW w:w="1569" w:type="dxa"/>
            <w:tcBorders>
              <w:top w:val="nil"/>
              <w:left w:val="nil"/>
              <w:bottom w:val="single" w:sz="4" w:space="0" w:color="auto"/>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w:t>
            </w:r>
          </w:p>
        </w:tc>
        <w:tc>
          <w:tcPr>
            <w:tcW w:w="1569" w:type="dxa"/>
            <w:tcBorders>
              <w:top w:val="nil"/>
              <w:left w:val="nil"/>
              <w:bottom w:val="single" w:sz="4" w:space="0" w:color="auto"/>
              <w:right w:val="single" w:sz="4" w:space="0" w:color="auto"/>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w:t>
            </w:r>
          </w:p>
        </w:tc>
        <w:tc>
          <w:tcPr>
            <w:tcW w:w="5581" w:type="dxa"/>
            <w:gridSpan w:val="4"/>
            <w:tcBorders>
              <w:top w:val="nil"/>
              <w:left w:val="nil"/>
              <w:bottom w:val="single" w:sz="4" w:space="0" w:color="auto"/>
              <w:right w:val="single" w:sz="8" w:space="0" w:color="auto"/>
            </w:tcBorders>
            <w:shd w:val="clear" w:color="auto" w:fill="auto"/>
            <w:noWrap/>
            <w:vAlign w:val="bottom"/>
            <w:hideMark/>
          </w:tcPr>
          <w:p w:rsidR="001352BE" w:rsidRPr="007A5E4F" w:rsidRDefault="001352BE" w:rsidP="00956C23">
            <w:pPr>
              <w:spacing w:after="0" w:line="240" w:lineRule="auto"/>
              <w:jc w:val="right"/>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          1,379.97 </w:t>
            </w:r>
          </w:p>
        </w:tc>
      </w:tr>
      <w:tr w:rsidR="001352BE" w:rsidRPr="007A5E4F" w:rsidTr="00091591">
        <w:trPr>
          <w:gridAfter w:val="1"/>
          <w:wAfter w:w="98" w:type="dxa"/>
          <w:trHeight w:val="349"/>
        </w:trPr>
        <w:tc>
          <w:tcPr>
            <w:tcW w:w="299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2-1-1-9-0-001-00007</w:t>
            </w:r>
          </w:p>
        </w:tc>
        <w:tc>
          <w:tcPr>
            <w:tcW w:w="2462" w:type="dxa"/>
            <w:gridSpan w:val="2"/>
            <w:tcBorders>
              <w:top w:val="single" w:sz="4" w:space="0" w:color="auto"/>
              <w:left w:val="single" w:sz="4" w:space="0" w:color="auto"/>
              <w:bottom w:val="single" w:sz="4" w:space="0" w:color="auto"/>
              <w:right w:val="nil"/>
            </w:tcBorders>
            <w:shd w:val="clear" w:color="auto" w:fill="auto"/>
            <w:noWrap/>
            <w:vAlign w:val="bottom"/>
            <w:hideMark/>
          </w:tcPr>
          <w:p w:rsidR="001352BE" w:rsidRPr="007A5E4F" w:rsidRDefault="00956C23"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Tesorería de la Federación </w:t>
            </w:r>
            <w:r w:rsidR="001352BE" w:rsidRPr="007A5E4F">
              <w:rPr>
                <w:rFonts w:ascii="Calibri" w:eastAsia="Times New Roman" w:hAnsi="Calibri" w:cs="Arial"/>
                <w:sz w:val="20"/>
                <w:szCs w:val="20"/>
                <w:lang w:eastAsia="es-MX"/>
              </w:rPr>
              <w:t>****</w:t>
            </w:r>
          </w:p>
        </w:tc>
        <w:tc>
          <w:tcPr>
            <w:tcW w:w="1569" w:type="dxa"/>
            <w:tcBorders>
              <w:top w:val="nil"/>
              <w:left w:val="nil"/>
              <w:bottom w:val="single" w:sz="4" w:space="0" w:color="auto"/>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w:t>
            </w:r>
          </w:p>
        </w:tc>
        <w:tc>
          <w:tcPr>
            <w:tcW w:w="1569" w:type="dxa"/>
            <w:tcBorders>
              <w:top w:val="nil"/>
              <w:left w:val="nil"/>
              <w:bottom w:val="single" w:sz="4" w:space="0" w:color="auto"/>
              <w:right w:val="single" w:sz="4" w:space="0" w:color="auto"/>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w:t>
            </w:r>
          </w:p>
        </w:tc>
        <w:tc>
          <w:tcPr>
            <w:tcW w:w="5581" w:type="dxa"/>
            <w:gridSpan w:val="4"/>
            <w:tcBorders>
              <w:top w:val="nil"/>
              <w:left w:val="nil"/>
              <w:bottom w:val="single" w:sz="4" w:space="0" w:color="auto"/>
              <w:right w:val="single" w:sz="8" w:space="0" w:color="auto"/>
            </w:tcBorders>
            <w:shd w:val="clear" w:color="auto" w:fill="auto"/>
            <w:noWrap/>
            <w:vAlign w:val="bottom"/>
            <w:hideMark/>
          </w:tcPr>
          <w:p w:rsidR="001352BE" w:rsidRPr="007A5E4F" w:rsidRDefault="001352BE" w:rsidP="00956C23">
            <w:pPr>
              <w:spacing w:after="0" w:line="240" w:lineRule="auto"/>
              <w:jc w:val="right"/>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  65,996,918.08 </w:t>
            </w:r>
          </w:p>
        </w:tc>
      </w:tr>
      <w:tr w:rsidR="001352BE" w:rsidRPr="007A5E4F" w:rsidTr="00091591">
        <w:trPr>
          <w:gridAfter w:val="1"/>
          <w:wAfter w:w="98" w:type="dxa"/>
          <w:trHeight w:val="252"/>
        </w:trPr>
        <w:tc>
          <w:tcPr>
            <w:tcW w:w="2652" w:type="dxa"/>
            <w:gridSpan w:val="2"/>
            <w:tcBorders>
              <w:top w:val="nil"/>
              <w:left w:val="single" w:sz="8" w:space="0" w:color="auto"/>
              <w:bottom w:val="single" w:sz="8" w:space="0" w:color="auto"/>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w:t>
            </w:r>
          </w:p>
        </w:tc>
        <w:tc>
          <w:tcPr>
            <w:tcW w:w="338" w:type="dxa"/>
            <w:tcBorders>
              <w:top w:val="nil"/>
              <w:left w:val="nil"/>
              <w:bottom w:val="single" w:sz="8" w:space="0" w:color="auto"/>
              <w:right w:val="single" w:sz="4" w:space="0" w:color="auto"/>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w:t>
            </w:r>
          </w:p>
        </w:tc>
        <w:tc>
          <w:tcPr>
            <w:tcW w:w="4031" w:type="dxa"/>
            <w:gridSpan w:val="3"/>
            <w:tcBorders>
              <w:top w:val="single" w:sz="4" w:space="0" w:color="auto"/>
              <w:left w:val="single" w:sz="4" w:space="0" w:color="auto"/>
              <w:bottom w:val="single" w:sz="8" w:space="0" w:color="auto"/>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Acreedores Diversos varios *****</w:t>
            </w:r>
          </w:p>
        </w:tc>
        <w:tc>
          <w:tcPr>
            <w:tcW w:w="1569" w:type="dxa"/>
            <w:tcBorders>
              <w:top w:val="nil"/>
              <w:left w:val="nil"/>
              <w:bottom w:val="single" w:sz="8" w:space="0" w:color="auto"/>
              <w:right w:val="single" w:sz="4" w:space="0" w:color="auto"/>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w:t>
            </w:r>
          </w:p>
        </w:tc>
        <w:tc>
          <w:tcPr>
            <w:tcW w:w="5581" w:type="dxa"/>
            <w:gridSpan w:val="4"/>
            <w:tcBorders>
              <w:top w:val="single" w:sz="4" w:space="0" w:color="auto"/>
              <w:left w:val="nil"/>
              <w:bottom w:val="single" w:sz="4" w:space="0" w:color="auto"/>
              <w:right w:val="single" w:sz="8" w:space="0" w:color="auto"/>
            </w:tcBorders>
            <w:shd w:val="clear" w:color="auto" w:fill="auto"/>
            <w:noWrap/>
            <w:vAlign w:val="bottom"/>
            <w:hideMark/>
          </w:tcPr>
          <w:p w:rsidR="001352BE" w:rsidRPr="007A5E4F" w:rsidRDefault="001352BE" w:rsidP="00956C23">
            <w:pPr>
              <w:spacing w:after="0" w:line="240" w:lineRule="auto"/>
              <w:jc w:val="right"/>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    </w:t>
            </w:r>
            <w:r w:rsidR="00956C23" w:rsidRPr="007A5E4F">
              <w:rPr>
                <w:rFonts w:ascii="Calibri" w:eastAsia="Times New Roman" w:hAnsi="Calibri" w:cs="Arial"/>
                <w:sz w:val="20"/>
                <w:szCs w:val="20"/>
                <w:lang w:eastAsia="es-MX"/>
              </w:rPr>
              <w:t>735,486.38</w:t>
            </w:r>
            <w:r w:rsidRPr="007A5E4F">
              <w:rPr>
                <w:rFonts w:ascii="Calibri" w:eastAsia="Times New Roman" w:hAnsi="Calibri" w:cs="Arial"/>
                <w:sz w:val="20"/>
                <w:szCs w:val="20"/>
                <w:lang w:eastAsia="es-MX"/>
              </w:rPr>
              <w:t xml:space="preserve"> </w:t>
            </w:r>
          </w:p>
        </w:tc>
      </w:tr>
      <w:tr w:rsidR="001352BE" w:rsidRPr="007A5E4F" w:rsidTr="00091591">
        <w:trPr>
          <w:gridAfter w:val="1"/>
          <w:wAfter w:w="98" w:type="dxa"/>
          <w:trHeight w:val="252"/>
        </w:trPr>
        <w:tc>
          <w:tcPr>
            <w:tcW w:w="2652" w:type="dxa"/>
            <w:gridSpan w:val="2"/>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TOTAL</w:t>
            </w:r>
          </w:p>
        </w:tc>
        <w:tc>
          <w:tcPr>
            <w:tcW w:w="338" w:type="dxa"/>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p>
        </w:tc>
        <w:tc>
          <w:tcPr>
            <w:tcW w:w="1231" w:type="dxa"/>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p>
        </w:tc>
        <w:tc>
          <w:tcPr>
            <w:tcW w:w="1231" w:type="dxa"/>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p>
        </w:tc>
        <w:tc>
          <w:tcPr>
            <w:tcW w:w="1569" w:type="dxa"/>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p>
        </w:tc>
        <w:tc>
          <w:tcPr>
            <w:tcW w:w="1569" w:type="dxa"/>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p>
        </w:tc>
        <w:tc>
          <w:tcPr>
            <w:tcW w:w="5581" w:type="dxa"/>
            <w:gridSpan w:val="4"/>
            <w:tcBorders>
              <w:top w:val="single" w:sz="4" w:space="0" w:color="auto"/>
              <w:left w:val="nil"/>
              <w:right w:val="nil"/>
            </w:tcBorders>
            <w:shd w:val="clear" w:color="auto" w:fill="auto"/>
            <w:noWrap/>
            <w:vAlign w:val="bottom"/>
            <w:hideMark/>
          </w:tcPr>
          <w:p w:rsidR="001352BE" w:rsidRPr="007A5E4F" w:rsidRDefault="001352BE" w:rsidP="00956C23">
            <w:pPr>
              <w:spacing w:after="0" w:line="240" w:lineRule="auto"/>
              <w:jc w:val="right"/>
              <w:rPr>
                <w:rFonts w:ascii="Calibri" w:eastAsia="Times New Roman" w:hAnsi="Calibri" w:cs="Arial"/>
                <w:b/>
                <w:bCs/>
                <w:sz w:val="20"/>
                <w:szCs w:val="20"/>
                <w:lang w:eastAsia="es-MX"/>
              </w:rPr>
            </w:pPr>
            <w:r w:rsidRPr="007A5E4F">
              <w:rPr>
                <w:rFonts w:ascii="Calibri" w:eastAsia="Times New Roman" w:hAnsi="Calibri" w:cs="Arial"/>
                <w:b/>
                <w:bCs/>
                <w:sz w:val="20"/>
                <w:szCs w:val="20"/>
                <w:lang w:eastAsia="es-MX"/>
              </w:rPr>
              <w:t xml:space="preserve">  </w:t>
            </w:r>
            <w:r w:rsidR="00956C23" w:rsidRPr="007A5E4F">
              <w:rPr>
                <w:rFonts w:ascii="Calibri" w:eastAsia="Times New Roman" w:hAnsi="Calibri" w:cs="Arial"/>
                <w:b/>
                <w:bCs/>
                <w:sz w:val="20"/>
                <w:szCs w:val="20"/>
                <w:lang w:eastAsia="es-MX"/>
              </w:rPr>
              <w:t>88,778,118.22</w:t>
            </w:r>
            <w:r w:rsidRPr="007A5E4F">
              <w:rPr>
                <w:rFonts w:ascii="Calibri" w:eastAsia="Times New Roman" w:hAnsi="Calibri" w:cs="Arial"/>
                <w:b/>
                <w:bCs/>
                <w:sz w:val="20"/>
                <w:szCs w:val="20"/>
                <w:lang w:eastAsia="es-MX"/>
              </w:rPr>
              <w:t xml:space="preserve"> </w:t>
            </w:r>
          </w:p>
        </w:tc>
      </w:tr>
      <w:tr w:rsidR="001352BE" w:rsidRPr="007A5E4F" w:rsidTr="00956C23">
        <w:trPr>
          <w:gridBefore w:val="1"/>
          <w:wBefore w:w="357" w:type="dxa"/>
          <w:trHeight w:val="255"/>
        </w:trPr>
        <w:tc>
          <w:tcPr>
            <w:tcW w:w="12632" w:type="dxa"/>
            <w:gridSpan w:val="9"/>
            <w:tcBorders>
              <w:top w:val="nil"/>
              <w:left w:val="nil"/>
              <w:bottom w:val="nil"/>
              <w:right w:val="nil"/>
            </w:tcBorders>
            <w:shd w:val="clear" w:color="auto" w:fill="auto"/>
            <w:noWrap/>
            <w:vAlign w:val="center"/>
            <w:hideMark/>
          </w:tcPr>
          <w:p w:rsidR="00956C23" w:rsidRPr="007A5E4F" w:rsidRDefault="00956C23" w:rsidP="001352BE">
            <w:pPr>
              <w:spacing w:after="0" w:line="240" w:lineRule="auto"/>
              <w:rPr>
                <w:rFonts w:ascii="Calibri" w:eastAsia="Times New Roman" w:hAnsi="Calibri" w:cs="Arial"/>
                <w:sz w:val="20"/>
                <w:szCs w:val="20"/>
                <w:lang w:eastAsia="es-MX"/>
              </w:rPr>
            </w:pPr>
          </w:p>
          <w:p w:rsidR="00956C23" w:rsidRPr="007A5E4F" w:rsidRDefault="00956C23" w:rsidP="001352BE">
            <w:pPr>
              <w:spacing w:after="0" w:line="240" w:lineRule="auto"/>
              <w:rPr>
                <w:rFonts w:ascii="Calibri" w:eastAsia="Times New Roman" w:hAnsi="Calibri" w:cs="Arial"/>
                <w:sz w:val="20"/>
                <w:szCs w:val="20"/>
                <w:lang w:eastAsia="es-MX"/>
              </w:rPr>
            </w:pPr>
          </w:p>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Este importe es por la aportación del FOCIR para la creación del Programa Mi Tortilla, para el Fondo PYME y Capital Semilla</w:t>
            </w:r>
          </w:p>
        </w:tc>
        <w:tc>
          <w:tcPr>
            <w:tcW w:w="1280" w:type="dxa"/>
            <w:gridSpan w:val="2"/>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p>
        </w:tc>
      </w:tr>
      <w:tr w:rsidR="001352BE" w:rsidRPr="007A5E4F" w:rsidTr="00956C23">
        <w:trPr>
          <w:gridBefore w:val="1"/>
          <w:wBefore w:w="357" w:type="dxa"/>
          <w:trHeight w:val="255"/>
        </w:trPr>
        <w:tc>
          <w:tcPr>
            <w:tcW w:w="12632" w:type="dxa"/>
            <w:gridSpan w:val="9"/>
            <w:tcBorders>
              <w:top w:val="nil"/>
              <w:left w:val="nil"/>
              <w:bottom w:val="nil"/>
              <w:right w:val="nil"/>
            </w:tcBorders>
            <w:shd w:val="clear" w:color="auto" w:fill="auto"/>
            <w:noWrap/>
            <w:vAlign w:val="center"/>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Este importe es por la aportación del Gobierno del Estado de Yucatán para la creación del Programa Mi Tortilla y para el Fondo PYME</w:t>
            </w:r>
          </w:p>
        </w:tc>
        <w:tc>
          <w:tcPr>
            <w:tcW w:w="1280" w:type="dxa"/>
            <w:gridSpan w:val="2"/>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p>
        </w:tc>
      </w:tr>
      <w:tr w:rsidR="001352BE" w:rsidRPr="007A5E4F" w:rsidTr="00956C23">
        <w:trPr>
          <w:gridBefore w:val="1"/>
          <w:wBefore w:w="357" w:type="dxa"/>
          <w:trHeight w:val="255"/>
        </w:trPr>
        <w:tc>
          <w:tcPr>
            <w:tcW w:w="12340" w:type="dxa"/>
            <w:gridSpan w:val="7"/>
            <w:tcBorders>
              <w:top w:val="nil"/>
              <w:left w:val="nil"/>
              <w:bottom w:val="nil"/>
              <w:right w:val="nil"/>
            </w:tcBorders>
            <w:shd w:val="clear" w:color="auto" w:fill="auto"/>
            <w:noWrap/>
            <w:vAlign w:val="center"/>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Este importe es saldo de la aportación de INOVATUR para el programa " Capital Semilla"</w:t>
            </w:r>
          </w:p>
        </w:tc>
        <w:tc>
          <w:tcPr>
            <w:tcW w:w="146" w:type="dxa"/>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p>
        </w:tc>
        <w:tc>
          <w:tcPr>
            <w:tcW w:w="146" w:type="dxa"/>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p>
        </w:tc>
        <w:tc>
          <w:tcPr>
            <w:tcW w:w="1280" w:type="dxa"/>
            <w:gridSpan w:val="2"/>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p>
        </w:tc>
      </w:tr>
      <w:tr w:rsidR="001352BE" w:rsidRPr="007A5E4F" w:rsidTr="00956C23">
        <w:trPr>
          <w:gridBefore w:val="1"/>
          <w:wBefore w:w="357" w:type="dxa"/>
          <w:trHeight w:val="255"/>
        </w:trPr>
        <w:tc>
          <w:tcPr>
            <w:tcW w:w="12340" w:type="dxa"/>
            <w:gridSpan w:val="7"/>
            <w:tcBorders>
              <w:top w:val="nil"/>
              <w:left w:val="nil"/>
              <w:bottom w:val="nil"/>
              <w:right w:val="nil"/>
            </w:tcBorders>
            <w:shd w:val="clear" w:color="auto" w:fill="auto"/>
            <w:noWrap/>
            <w:vAlign w:val="center"/>
            <w:hideMark/>
          </w:tcPr>
          <w:p w:rsidR="001352BE" w:rsidRPr="007A5E4F" w:rsidRDefault="001352BE" w:rsidP="001352BE">
            <w:pPr>
              <w:spacing w:after="0" w:line="240" w:lineRule="auto"/>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 Este importe es la aportación de la TESOFE para el </w:t>
            </w:r>
            <w:proofErr w:type="spellStart"/>
            <w:r w:rsidRPr="007A5E4F">
              <w:rPr>
                <w:rFonts w:ascii="Calibri" w:eastAsia="Times New Roman" w:hAnsi="Calibri" w:cs="Arial"/>
                <w:sz w:val="20"/>
                <w:szCs w:val="20"/>
                <w:lang w:eastAsia="es-MX"/>
              </w:rPr>
              <w:t>Prog</w:t>
            </w:r>
            <w:proofErr w:type="spellEnd"/>
            <w:r w:rsidRPr="007A5E4F">
              <w:rPr>
                <w:rFonts w:ascii="Calibri" w:eastAsia="Times New Roman" w:hAnsi="Calibri" w:cs="Arial"/>
                <w:sz w:val="20"/>
                <w:szCs w:val="20"/>
                <w:lang w:eastAsia="es-MX"/>
              </w:rPr>
              <w:t xml:space="preserve"> de Proyectos Productivos PYME 2009</w:t>
            </w:r>
          </w:p>
        </w:tc>
        <w:tc>
          <w:tcPr>
            <w:tcW w:w="146" w:type="dxa"/>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p>
        </w:tc>
        <w:tc>
          <w:tcPr>
            <w:tcW w:w="146" w:type="dxa"/>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p>
        </w:tc>
        <w:tc>
          <w:tcPr>
            <w:tcW w:w="1280" w:type="dxa"/>
            <w:gridSpan w:val="2"/>
            <w:tcBorders>
              <w:top w:val="nil"/>
              <w:left w:val="nil"/>
              <w:bottom w:val="nil"/>
              <w:right w:val="nil"/>
            </w:tcBorders>
            <w:shd w:val="clear" w:color="auto" w:fill="auto"/>
            <w:noWrap/>
            <w:vAlign w:val="bottom"/>
            <w:hideMark/>
          </w:tcPr>
          <w:p w:rsidR="001352BE" w:rsidRPr="007A5E4F" w:rsidRDefault="001352BE" w:rsidP="001352BE">
            <w:pPr>
              <w:spacing w:after="0" w:line="240" w:lineRule="auto"/>
              <w:rPr>
                <w:rFonts w:ascii="Calibri" w:eastAsia="Times New Roman" w:hAnsi="Calibri" w:cs="Arial"/>
                <w:sz w:val="20"/>
                <w:szCs w:val="20"/>
                <w:lang w:eastAsia="es-MX"/>
              </w:rPr>
            </w:pPr>
          </w:p>
        </w:tc>
      </w:tr>
      <w:tr w:rsidR="001352BE" w:rsidRPr="007A5E4F" w:rsidTr="00956C23">
        <w:trPr>
          <w:gridBefore w:val="1"/>
          <w:wBefore w:w="357" w:type="dxa"/>
          <w:trHeight w:val="810"/>
        </w:trPr>
        <w:tc>
          <w:tcPr>
            <w:tcW w:w="13912" w:type="dxa"/>
            <w:gridSpan w:val="11"/>
            <w:tcBorders>
              <w:top w:val="nil"/>
              <w:left w:val="nil"/>
              <w:bottom w:val="nil"/>
              <w:right w:val="nil"/>
            </w:tcBorders>
            <w:shd w:val="clear" w:color="auto" w:fill="auto"/>
            <w:hideMark/>
          </w:tcPr>
          <w:p w:rsidR="001352BE" w:rsidRPr="007A5E4F" w:rsidRDefault="001352BE" w:rsidP="001352BE">
            <w:pPr>
              <w:spacing w:after="0" w:line="240" w:lineRule="auto"/>
              <w:jc w:val="both"/>
              <w:rPr>
                <w:rFonts w:ascii="Calibri" w:eastAsia="Times New Roman" w:hAnsi="Calibri" w:cs="Arial"/>
                <w:sz w:val="20"/>
                <w:szCs w:val="20"/>
                <w:lang w:eastAsia="es-MX"/>
              </w:rPr>
            </w:pPr>
            <w:r w:rsidRPr="007A5E4F">
              <w:rPr>
                <w:rFonts w:ascii="Calibri" w:eastAsia="Times New Roman" w:hAnsi="Calibri" w:cs="Arial"/>
                <w:sz w:val="20"/>
                <w:szCs w:val="20"/>
                <w:lang w:eastAsia="es-MX"/>
              </w:rPr>
              <w:t xml:space="preserve">*****este importe </w:t>
            </w:r>
            <w:r w:rsidR="00E04F28" w:rsidRPr="007A5E4F">
              <w:rPr>
                <w:rFonts w:ascii="Calibri" w:eastAsia="Times New Roman" w:hAnsi="Calibri" w:cs="Arial"/>
                <w:sz w:val="20"/>
                <w:szCs w:val="20"/>
                <w:lang w:eastAsia="es-MX"/>
              </w:rPr>
              <w:t>está</w:t>
            </w:r>
            <w:r w:rsidRPr="007A5E4F">
              <w:rPr>
                <w:rFonts w:ascii="Calibri" w:eastAsia="Times New Roman" w:hAnsi="Calibri" w:cs="Arial"/>
                <w:sz w:val="20"/>
                <w:szCs w:val="20"/>
                <w:lang w:eastAsia="es-MX"/>
              </w:rPr>
              <w:t xml:space="preserve"> integrado por los depósitos no identificados de los diferentes acreditados que se reclasificaran apenas nos hagan saber de quienes son dichos </w:t>
            </w:r>
            <w:r w:rsidR="00E04F28" w:rsidRPr="007A5E4F">
              <w:rPr>
                <w:rFonts w:ascii="Calibri" w:eastAsia="Times New Roman" w:hAnsi="Calibri" w:cs="Arial"/>
                <w:sz w:val="20"/>
                <w:szCs w:val="20"/>
                <w:lang w:eastAsia="es-MX"/>
              </w:rPr>
              <w:t>depósitos</w:t>
            </w:r>
            <w:r w:rsidRPr="007A5E4F">
              <w:rPr>
                <w:rFonts w:ascii="Calibri" w:eastAsia="Times New Roman" w:hAnsi="Calibri" w:cs="Arial"/>
                <w:sz w:val="20"/>
                <w:szCs w:val="20"/>
                <w:lang w:eastAsia="es-MX"/>
              </w:rPr>
              <w:t xml:space="preserve">, </w:t>
            </w:r>
            <w:r w:rsidR="00E04F28" w:rsidRPr="007A5E4F">
              <w:rPr>
                <w:rFonts w:ascii="Calibri" w:eastAsia="Times New Roman" w:hAnsi="Calibri" w:cs="Arial"/>
                <w:sz w:val="20"/>
                <w:szCs w:val="20"/>
                <w:lang w:eastAsia="es-MX"/>
              </w:rPr>
              <w:t>también</w:t>
            </w:r>
            <w:r w:rsidRPr="007A5E4F">
              <w:rPr>
                <w:rFonts w:ascii="Calibri" w:eastAsia="Times New Roman" w:hAnsi="Calibri" w:cs="Arial"/>
                <w:sz w:val="20"/>
                <w:szCs w:val="20"/>
                <w:lang w:eastAsia="es-MX"/>
              </w:rPr>
              <w:t xml:space="preserve"> se encuentran lo</w:t>
            </w:r>
            <w:r w:rsidR="00E04F28" w:rsidRPr="007A5E4F">
              <w:rPr>
                <w:rFonts w:ascii="Calibri" w:eastAsia="Times New Roman" w:hAnsi="Calibri" w:cs="Arial"/>
                <w:sz w:val="20"/>
                <w:szCs w:val="20"/>
                <w:lang w:eastAsia="es-MX"/>
              </w:rPr>
              <w:t>s acreditados que han pagado demás</w:t>
            </w:r>
            <w:r w:rsidRPr="007A5E4F">
              <w:rPr>
                <w:rFonts w:ascii="Calibri" w:eastAsia="Times New Roman" w:hAnsi="Calibri" w:cs="Arial"/>
                <w:sz w:val="20"/>
                <w:szCs w:val="20"/>
                <w:lang w:eastAsia="es-MX"/>
              </w:rPr>
              <w:t xml:space="preserve"> en sus </w:t>
            </w:r>
            <w:r w:rsidR="00E04F28" w:rsidRPr="007A5E4F">
              <w:rPr>
                <w:rFonts w:ascii="Calibri" w:eastAsia="Times New Roman" w:hAnsi="Calibri" w:cs="Arial"/>
                <w:sz w:val="20"/>
                <w:szCs w:val="20"/>
                <w:lang w:eastAsia="es-MX"/>
              </w:rPr>
              <w:t>créditos</w:t>
            </w:r>
            <w:r w:rsidRPr="007A5E4F">
              <w:rPr>
                <w:rFonts w:ascii="Calibri" w:eastAsia="Times New Roman" w:hAnsi="Calibri" w:cs="Arial"/>
                <w:sz w:val="20"/>
                <w:szCs w:val="20"/>
                <w:lang w:eastAsia="es-MX"/>
              </w:rPr>
              <w:t xml:space="preserve"> y se espera que nos informen si son intereses o le </w:t>
            </w:r>
            <w:r w:rsidR="00E04F28" w:rsidRPr="007A5E4F">
              <w:rPr>
                <w:rFonts w:ascii="Calibri" w:eastAsia="Times New Roman" w:hAnsi="Calibri" w:cs="Arial"/>
                <w:sz w:val="20"/>
                <w:szCs w:val="20"/>
                <w:lang w:eastAsia="es-MX"/>
              </w:rPr>
              <w:t>serán</w:t>
            </w:r>
            <w:r w:rsidRPr="007A5E4F">
              <w:rPr>
                <w:rFonts w:ascii="Calibri" w:eastAsia="Times New Roman" w:hAnsi="Calibri" w:cs="Arial"/>
                <w:sz w:val="20"/>
                <w:szCs w:val="20"/>
                <w:lang w:eastAsia="es-MX"/>
              </w:rPr>
              <w:t xml:space="preserve"> devueltos dicha diferencia.</w:t>
            </w:r>
          </w:p>
          <w:p w:rsidR="00712A1E" w:rsidRPr="007A5E4F" w:rsidRDefault="00712A1E" w:rsidP="001352BE">
            <w:pPr>
              <w:spacing w:after="0" w:line="240" w:lineRule="auto"/>
              <w:jc w:val="both"/>
              <w:rPr>
                <w:rFonts w:ascii="Calibri" w:eastAsia="Times New Roman" w:hAnsi="Calibri" w:cs="Arial"/>
                <w:sz w:val="20"/>
                <w:szCs w:val="20"/>
                <w:lang w:eastAsia="es-MX"/>
              </w:rPr>
            </w:pPr>
          </w:p>
          <w:p w:rsidR="00712A1E" w:rsidRPr="007A5E4F" w:rsidRDefault="00712A1E" w:rsidP="001352BE">
            <w:pPr>
              <w:spacing w:after="0" w:line="240" w:lineRule="auto"/>
              <w:jc w:val="both"/>
              <w:rPr>
                <w:rFonts w:ascii="Calibri" w:eastAsia="Times New Roman" w:hAnsi="Calibri" w:cs="Arial"/>
                <w:sz w:val="20"/>
                <w:szCs w:val="20"/>
                <w:lang w:eastAsia="es-MX"/>
              </w:rPr>
            </w:pPr>
          </w:p>
          <w:p w:rsidR="00712A1E" w:rsidRPr="007A5E4F" w:rsidRDefault="00712A1E" w:rsidP="001352BE">
            <w:pPr>
              <w:spacing w:after="0" w:line="240" w:lineRule="auto"/>
              <w:jc w:val="both"/>
              <w:rPr>
                <w:rFonts w:ascii="Calibri" w:eastAsia="Times New Roman" w:hAnsi="Calibri" w:cs="Arial"/>
                <w:sz w:val="20"/>
                <w:szCs w:val="20"/>
                <w:lang w:eastAsia="es-MX"/>
              </w:rPr>
            </w:pPr>
          </w:p>
        </w:tc>
      </w:tr>
    </w:tbl>
    <w:p w:rsidR="00091591" w:rsidRDefault="00091591" w:rsidP="00FB5D93">
      <w:pPr>
        <w:pStyle w:val="Texto"/>
        <w:spacing w:after="86"/>
        <w:ind w:firstLine="0"/>
        <w:jc w:val="left"/>
        <w:rPr>
          <w:rFonts w:ascii="Calibri" w:hAnsi="Calibri" w:cstheme="minorHAnsi"/>
          <w:sz w:val="20"/>
        </w:rPr>
      </w:pPr>
    </w:p>
    <w:p w:rsidR="00091591" w:rsidRDefault="00091591" w:rsidP="00FB5D93">
      <w:pPr>
        <w:pStyle w:val="Texto"/>
        <w:spacing w:after="86"/>
        <w:ind w:firstLine="0"/>
        <w:jc w:val="left"/>
        <w:rPr>
          <w:rFonts w:ascii="Calibri" w:hAnsi="Calibri" w:cstheme="minorHAnsi"/>
          <w:sz w:val="20"/>
        </w:rPr>
      </w:pPr>
    </w:p>
    <w:p w:rsidR="00091591" w:rsidRDefault="00091591" w:rsidP="00FB5D93">
      <w:pPr>
        <w:pStyle w:val="Texto"/>
        <w:spacing w:after="86"/>
        <w:ind w:firstLine="0"/>
        <w:jc w:val="left"/>
        <w:rPr>
          <w:rFonts w:ascii="Calibri" w:hAnsi="Calibri" w:cstheme="minorHAnsi"/>
          <w:sz w:val="20"/>
        </w:rPr>
      </w:pPr>
    </w:p>
    <w:p w:rsidR="00091591" w:rsidRDefault="00091591" w:rsidP="00FB5D93">
      <w:pPr>
        <w:pStyle w:val="Texto"/>
        <w:spacing w:after="86"/>
        <w:ind w:firstLine="0"/>
        <w:jc w:val="left"/>
        <w:rPr>
          <w:rFonts w:ascii="Calibri" w:hAnsi="Calibri" w:cstheme="minorHAnsi"/>
          <w:sz w:val="20"/>
        </w:rPr>
      </w:pPr>
    </w:p>
    <w:p w:rsidR="00BC7BD7" w:rsidRPr="007A5E4F" w:rsidRDefault="00BC7BD7" w:rsidP="00FB5D93">
      <w:pPr>
        <w:pStyle w:val="Texto"/>
        <w:spacing w:after="86"/>
        <w:ind w:firstLine="0"/>
        <w:jc w:val="left"/>
        <w:rPr>
          <w:rFonts w:ascii="Calibri" w:hAnsi="Calibri" w:cstheme="minorHAnsi"/>
          <w:sz w:val="20"/>
        </w:rPr>
      </w:pPr>
      <w:r w:rsidRPr="007A5E4F">
        <w:rPr>
          <w:rFonts w:ascii="Calibri" w:hAnsi="Calibri" w:cstheme="minorHAnsi"/>
          <w:sz w:val="20"/>
        </w:rPr>
        <w:t>Bajo protesta de decir verdad declaramos que los Estados Financieros</w:t>
      </w:r>
      <w:r w:rsidR="00D8392B">
        <w:rPr>
          <w:rFonts w:ascii="Calibri" w:hAnsi="Calibri" w:cstheme="minorHAnsi"/>
          <w:sz w:val="20"/>
        </w:rPr>
        <w:t xml:space="preserve"> y sus N</w:t>
      </w:r>
      <w:r w:rsidRPr="007A5E4F">
        <w:rPr>
          <w:rFonts w:ascii="Calibri" w:hAnsi="Calibri" w:cstheme="minorHAnsi"/>
          <w:sz w:val="20"/>
        </w:rPr>
        <w:t>ot</w:t>
      </w:r>
      <w:r w:rsidR="00CF0EAA" w:rsidRPr="007A5E4F">
        <w:rPr>
          <w:rFonts w:ascii="Calibri" w:hAnsi="Calibri" w:cstheme="minorHAnsi"/>
          <w:sz w:val="20"/>
        </w:rPr>
        <w:t>as</w:t>
      </w:r>
      <w:r w:rsidRPr="007A5E4F">
        <w:rPr>
          <w:rFonts w:ascii="Calibri" w:hAnsi="Calibri" w:cstheme="minorHAnsi"/>
          <w:sz w:val="20"/>
        </w:rPr>
        <w:t xml:space="preserve"> son razonablemente correctos y</w:t>
      </w:r>
      <w:r w:rsidR="00CF0EAA" w:rsidRPr="007A5E4F">
        <w:rPr>
          <w:rFonts w:ascii="Calibri" w:hAnsi="Calibri" w:cstheme="minorHAnsi"/>
          <w:sz w:val="20"/>
        </w:rPr>
        <w:t xml:space="preserve"> son responsabilidad del emisor</w:t>
      </w:r>
      <w:r w:rsidR="00FB5D93" w:rsidRPr="007A5E4F">
        <w:rPr>
          <w:rFonts w:ascii="Calibri" w:hAnsi="Calibri" w:cstheme="minorHAnsi"/>
          <w:sz w:val="20"/>
        </w:rPr>
        <w:t>.</w:t>
      </w:r>
      <w:r w:rsidR="00B2766F" w:rsidRPr="007A5E4F">
        <w:rPr>
          <w:rFonts w:ascii="Calibri" w:hAnsi="Calibri"/>
          <w:sz w:val="20"/>
        </w:rPr>
        <w:tab/>
      </w:r>
    </w:p>
    <w:sectPr w:rsidR="00BC7BD7" w:rsidRPr="007A5E4F" w:rsidSect="001352BE">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1E" w:rsidRDefault="00AB4F1E" w:rsidP="00FB5D93">
      <w:pPr>
        <w:spacing w:after="0" w:line="240" w:lineRule="auto"/>
      </w:pPr>
      <w:r>
        <w:separator/>
      </w:r>
    </w:p>
  </w:endnote>
  <w:endnote w:type="continuationSeparator" w:id="0">
    <w:p w:rsidR="00AB4F1E" w:rsidRDefault="00AB4F1E" w:rsidP="00FB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1E" w:rsidRDefault="00AB4F1E" w:rsidP="00FB5D93">
      <w:pPr>
        <w:spacing w:after="0" w:line="240" w:lineRule="auto"/>
      </w:pPr>
      <w:r>
        <w:separator/>
      </w:r>
    </w:p>
  </w:footnote>
  <w:footnote w:type="continuationSeparator" w:id="0">
    <w:p w:rsidR="00AB4F1E" w:rsidRDefault="00AB4F1E" w:rsidP="00FB5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FB5"/>
    <w:multiLevelType w:val="hybridMultilevel"/>
    <w:tmpl w:val="9028DE6E"/>
    <w:lvl w:ilvl="0" w:tplc="2A44DD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BE"/>
    <w:rsid w:val="00091591"/>
    <w:rsid w:val="001352BE"/>
    <w:rsid w:val="003327DC"/>
    <w:rsid w:val="0036579C"/>
    <w:rsid w:val="003A5FFC"/>
    <w:rsid w:val="00457BFD"/>
    <w:rsid w:val="004869BD"/>
    <w:rsid w:val="005C15A0"/>
    <w:rsid w:val="005D1EB4"/>
    <w:rsid w:val="00631DD1"/>
    <w:rsid w:val="006505A3"/>
    <w:rsid w:val="00712A1E"/>
    <w:rsid w:val="007A5E4F"/>
    <w:rsid w:val="007F1062"/>
    <w:rsid w:val="007F193C"/>
    <w:rsid w:val="008846A5"/>
    <w:rsid w:val="00956C23"/>
    <w:rsid w:val="009D3EFB"/>
    <w:rsid w:val="009F12AD"/>
    <w:rsid w:val="00A47917"/>
    <w:rsid w:val="00AB4F1E"/>
    <w:rsid w:val="00AB7BFA"/>
    <w:rsid w:val="00B2766F"/>
    <w:rsid w:val="00B6165C"/>
    <w:rsid w:val="00BC44A7"/>
    <w:rsid w:val="00BC7BD7"/>
    <w:rsid w:val="00C71D9C"/>
    <w:rsid w:val="00CA57A0"/>
    <w:rsid w:val="00CF0EAA"/>
    <w:rsid w:val="00D472CD"/>
    <w:rsid w:val="00D52405"/>
    <w:rsid w:val="00D628A6"/>
    <w:rsid w:val="00D8392B"/>
    <w:rsid w:val="00E04F28"/>
    <w:rsid w:val="00F56DDD"/>
    <w:rsid w:val="00F84D40"/>
    <w:rsid w:val="00FB5D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BC7B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C7BD7"/>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BC7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BD7"/>
    <w:rPr>
      <w:rFonts w:ascii="Tahoma" w:hAnsi="Tahoma" w:cs="Tahoma"/>
      <w:sz w:val="16"/>
      <w:szCs w:val="16"/>
    </w:rPr>
  </w:style>
  <w:style w:type="table" w:styleId="Tablaconcuadrcula">
    <w:name w:val="Table Grid"/>
    <w:basedOn w:val="Tablanormal"/>
    <w:uiPriority w:val="59"/>
    <w:rsid w:val="00D47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B5D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D93"/>
  </w:style>
  <w:style w:type="paragraph" w:styleId="Piedepgina">
    <w:name w:val="footer"/>
    <w:basedOn w:val="Normal"/>
    <w:link w:val="PiedepginaCar"/>
    <w:uiPriority w:val="99"/>
    <w:unhideWhenUsed/>
    <w:rsid w:val="00FB5D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D93"/>
  </w:style>
  <w:style w:type="paragraph" w:styleId="Prrafodelista">
    <w:name w:val="List Paragraph"/>
    <w:basedOn w:val="Normal"/>
    <w:uiPriority w:val="34"/>
    <w:qFormat/>
    <w:rsid w:val="00091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BC7B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C7BD7"/>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BC7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BD7"/>
    <w:rPr>
      <w:rFonts w:ascii="Tahoma" w:hAnsi="Tahoma" w:cs="Tahoma"/>
      <w:sz w:val="16"/>
      <w:szCs w:val="16"/>
    </w:rPr>
  </w:style>
  <w:style w:type="table" w:styleId="Tablaconcuadrcula">
    <w:name w:val="Table Grid"/>
    <w:basedOn w:val="Tablanormal"/>
    <w:uiPriority w:val="59"/>
    <w:rsid w:val="00D47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B5D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D93"/>
  </w:style>
  <w:style w:type="paragraph" w:styleId="Piedepgina">
    <w:name w:val="footer"/>
    <w:basedOn w:val="Normal"/>
    <w:link w:val="PiedepginaCar"/>
    <w:uiPriority w:val="99"/>
    <w:unhideWhenUsed/>
    <w:rsid w:val="00FB5D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D93"/>
  </w:style>
  <w:style w:type="paragraph" w:styleId="Prrafodelista">
    <w:name w:val="List Paragraph"/>
    <w:basedOn w:val="Normal"/>
    <w:uiPriority w:val="34"/>
    <w:qFormat/>
    <w:rsid w:val="00091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916">
      <w:bodyDiv w:val="1"/>
      <w:marLeft w:val="0"/>
      <w:marRight w:val="0"/>
      <w:marTop w:val="0"/>
      <w:marBottom w:val="0"/>
      <w:divBdr>
        <w:top w:val="none" w:sz="0" w:space="0" w:color="auto"/>
        <w:left w:val="none" w:sz="0" w:space="0" w:color="auto"/>
        <w:bottom w:val="none" w:sz="0" w:space="0" w:color="auto"/>
        <w:right w:val="none" w:sz="0" w:space="0" w:color="auto"/>
      </w:divBdr>
    </w:div>
    <w:div w:id="69430302">
      <w:bodyDiv w:val="1"/>
      <w:marLeft w:val="0"/>
      <w:marRight w:val="0"/>
      <w:marTop w:val="0"/>
      <w:marBottom w:val="0"/>
      <w:divBdr>
        <w:top w:val="none" w:sz="0" w:space="0" w:color="auto"/>
        <w:left w:val="none" w:sz="0" w:space="0" w:color="auto"/>
        <w:bottom w:val="none" w:sz="0" w:space="0" w:color="auto"/>
        <w:right w:val="none" w:sz="0" w:space="0" w:color="auto"/>
      </w:divBdr>
    </w:div>
    <w:div w:id="109398827">
      <w:bodyDiv w:val="1"/>
      <w:marLeft w:val="0"/>
      <w:marRight w:val="0"/>
      <w:marTop w:val="0"/>
      <w:marBottom w:val="0"/>
      <w:divBdr>
        <w:top w:val="none" w:sz="0" w:space="0" w:color="auto"/>
        <w:left w:val="none" w:sz="0" w:space="0" w:color="auto"/>
        <w:bottom w:val="none" w:sz="0" w:space="0" w:color="auto"/>
        <w:right w:val="none" w:sz="0" w:space="0" w:color="auto"/>
      </w:divBdr>
    </w:div>
    <w:div w:id="149250182">
      <w:bodyDiv w:val="1"/>
      <w:marLeft w:val="0"/>
      <w:marRight w:val="0"/>
      <w:marTop w:val="0"/>
      <w:marBottom w:val="0"/>
      <w:divBdr>
        <w:top w:val="none" w:sz="0" w:space="0" w:color="auto"/>
        <w:left w:val="none" w:sz="0" w:space="0" w:color="auto"/>
        <w:bottom w:val="none" w:sz="0" w:space="0" w:color="auto"/>
        <w:right w:val="none" w:sz="0" w:space="0" w:color="auto"/>
      </w:divBdr>
    </w:div>
    <w:div w:id="221215924">
      <w:bodyDiv w:val="1"/>
      <w:marLeft w:val="0"/>
      <w:marRight w:val="0"/>
      <w:marTop w:val="0"/>
      <w:marBottom w:val="0"/>
      <w:divBdr>
        <w:top w:val="none" w:sz="0" w:space="0" w:color="auto"/>
        <w:left w:val="none" w:sz="0" w:space="0" w:color="auto"/>
        <w:bottom w:val="none" w:sz="0" w:space="0" w:color="auto"/>
        <w:right w:val="none" w:sz="0" w:space="0" w:color="auto"/>
      </w:divBdr>
    </w:div>
    <w:div w:id="260995257">
      <w:bodyDiv w:val="1"/>
      <w:marLeft w:val="0"/>
      <w:marRight w:val="0"/>
      <w:marTop w:val="0"/>
      <w:marBottom w:val="0"/>
      <w:divBdr>
        <w:top w:val="none" w:sz="0" w:space="0" w:color="auto"/>
        <w:left w:val="none" w:sz="0" w:space="0" w:color="auto"/>
        <w:bottom w:val="none" w:sz="0" w:space="0" w:color="auto"/>
        <w:right w:val="none" w:sz="0" w:space="0" w:color="auto"/>
      </w:divBdr>
    </w:div>
    <w:div w:id="278882216">
      <w:bodyDiv w:val="1"/>
      <w:marLeft w:val="0"/>
      <w:marRight w:val="0"/>
      <w:marTop w:val="0"/>
      <w:marBottom w:val="0"/>
      <w:divBdr>
        <w:top w:val="none" w:sz="0" w:space="0" w:color="auto"/>
        <w:left w:val="none" w:sz="0" w:space="0" w:color="auto"/>
        <w:bottom w:val="none" w:sz="0" w:space="0" w:color="auto"/>
        <w:right w:val="none" w:sz="0" w:space="0" w:color="auto"/>
      </w:divBdr>
    </w:div>
    <w:div w:id="348991860">
      <w:bodyDiv w:val="1"/>
      <w:marLeft w:val="0"/>
      <w:marRight w:val="0"/>
      <w:marTop w:val="0"/>
      <w:marBottom w:val="0"/>
      <w:divBdr>
        <w:top w:val="none" w:sz="0" w:space="0" w:color="auto"/>
        <w:left w:val="none" w:sz="0" w:space="0" w:color="auto"/>
        <w:bottom w:val="none" w:sz="0" w:space="0" w:color="auto"/>
        <w:right w:val="none" w:sz="0" w:space="0" w:color="auto"/>
      </w:divBdr>
    </w:div>
    <w:div w:id="358747121">
      <w:bodyDiv w:val="1"/>
      <w:marLeft w:val="0"/>
      <w:marRight w:val="0"/>
      <w:marTop w:val="0"/>
      <w:marBottom w:val="0"/>
      <w:divBdr>
        <w:top w:val="none" w:sz="0" w:space="0" w:color="auto"/>
        <w:left w:val="none" w:sz="0" w:space="0" w:color="auto"/>
        <w:bottom w:val="none" w:sz="0" w:space="0" w:color="auto"/>
        <w:right w:val="none" w:sz="0" w:space="0" w:color="auto"/>
      </w:divBdr>
    </w:div>
    <w:div w:id="469784003">
      <w:bodyDiv w:val="1"/>
      <w:marLeft w:val="0"/>
      <w:marRight w:val="0"/>
      <w:marTop w:val="0"/>
      <w:marBottom w:val="0"/>
      <w:divBdr>
        <w:top w:val="none" w:sz="0" w:space="0" w:color="auto"/>
        <w:left w:val="none" w:sz="0" w:space="0" w:color="auto"/>
        <w:bottom w:val="none" w:sz="0" w:space="0" w:color="auto"/>
        <w:right w:val="none" w:sz="0" w:space="0" w:color="auto"/>
      </w:divBdr>
    </w:div>
    <w:div w:id="508060241">
      <w:bodyDiv w:val="1"/>
      <w:marLeft w:val="0"/>
      <w:marRight w:val="0"/>
      <w:marTop w:val="0"/>
      <w:marBottom w:val="0"/>
      <w:divBdr>
        <w:top w:val="none" w:sz="0" w:space="0" w:color="auto"/>
        <w:left w:val="none" w:sz="0" w:space="0" w:color="auto"/>
        <w:bottom w:val="none" w:sz="0" w:space="0" w:color="auto"/>
        <w:right w:val="none" w:sz="0" w:space="0" w:color="auto"/>
      </w:divBdr>
    </w:div>
    <w:div w:id="508953746">
      <w:bodyDiv w:val="1"/>
      <w:marLeft w:val="0"/>
      <w:marRight w:val="0"/>
      <w:marTop w:val="0"/>
      <w:marBottom w:val="0"/>
      <w:divBdr>
        <w:top w:val="none" w:sz="0" w:space="0" w:color="auto"/>
        <w:left w:val="none" w:sz="0" w:space="0" w:color="auto"/>
        <w:bottom w:val="none" w:sz="0" w:space="0" w:color="auto"/>
        <w:right w:val="none" w:sz="0" w:space="0" w:color="auto"/>
      </w:divBdr>
    </w:div>
    <w:div w:id="527790826">
      <w:bodyDiv w:val="1"/>
      <w:marLeft w:val="0"/>
      <w:marRight w:val="0"/>
      <w:marTop w:val="0"/>
      <w:marBottom w:val="0"/>
      <w:divBdr>
        <w:top w:val="none" w:sz="0" w:space="0" w:color="auto"/>
        <w:left w:val="none" w:sz="0" w:space="0" w:color="auto"/>
        <w:bottom w:val="none" w:sz="0" w:space="0" w:color="auto"/>
        <w:right w:val="none" w:sz="0" w:space="0" w:color="auto"/>
      </w:divBdr>
    </w:div>
    <w:div w:id="548761167">
      <w:bodyDiv w:val="1"/>
      <w:marLeft w:val="0"/>
      <w:marRight w:val="0"/>
      <w:marTop w:val="0"/>
      <w:marBottom w:val="0"/>
      <w:divBdr>
        <w:top w:val="none" w:sz="0" w:space="0" w:color="auto"/>
        <w:left w:val="none" w:sz="0" w:space="0" w:color="auto"/>
        <w:bottom w:val="none" w:sz="0" w:space="0" w:color="auto"/>
        <w:right w:val="none" w:sz="0" w:space="0" w:color="auto"/>
      </w:divBdr>
    </w:div>
    <w:div w:id="638344748">
      <w:bodyDiv w:val="1"/>
      <w:marLeft w:val="0"/>
      <w:marRight w:val="0"/>
      <w:marTop w:val="0"/>
      <w:marBottom w:val="0"/>
      <w:divBdr>
        <w:top w:val="none" w:sz="0" w:space="0" w:color="auto"/>
        <w:left w:val="none" w:sz="0" w:space="0" w:color="auto"/>
        <w:bottom w:val="none" w:sz="0" w:space="0" w:color="auto"/>
        <w:right w:val="none" w:sz="0" w:space="0" w:color="auto"/>
      </w:divBdr>
    </w:div>
    <w:div w:id="707532691">
      <w:bodyDiv w:val="1"/>
      <w:marLeft w:val="0"/>
      <w:marRight w:val="0"/>
      <w:marTop w:val="0"/>
      <w:marBottom w:val="0"/>
      <w:divBdr>
        <w:top w:val="none" w:sz="0" w:space="0" w:color="auto"/>
        <w:left w:val="none" w:sz="0" w:space="0" w:color="auto"/>
        <w:bottom w:val="none" w:sz="0" w:space="0" w:color="auto"/>
        <w:right w:val="none" w:sz="0" w:space="0" w:color="auto"/>
      </w:divBdr>
    </w:div>
    <w:div w:id="765229099">
      <w:bodyDiv w:val="1"/>
      <w:marLeft w:val="0"/>
      <w:marRight w:val="0"/>
      <w:marTop w:val="0"/>
      <w:marBottom w:val="0"/>
      <w:divBdr>
        <w:top w:val="none" w:sz="0" w:space="0" w:color="auto"/>
        <w:left w:val="none" w:sz="0" w:space="0" w:color="auto"/>
        <w:bottom w:val="none" w:sz="0" w:space="0" w:color="auto"/>
        <w:right w:val="none" w:sz="0" w:space="0" w:color="auto"/>
      </w:divBdr>
    </w:div>
    <w:div w:id="798837229">
      <w:bodyDiv w:val="1"/>
      <w:marLeft w:val="0"/>
      <w:marRight w:val="0"/>
      <w:marTop w:val="0"/>
      <w:marBottom w:val="0"/>
      <w:divBdr>
        <w:top w:val="none" w:sz="0" w:space="0" w:color="auto"/>
        <w:left w:val="none" w:sz="0" w:space="0" w:color="auto"/>
        <w:bottom w:val="none" w:sz="0" w:space="0" w:color="auto"/>
        <w:right w:val="none" w:sz="0" w:space="0" w:color="auto"/>
      </w:divBdr>
    </w:div>
    <w:div w:id="800613253">
      <w:bodyDiv w:val="1"/>
      <w:marLeft w:val="0"/>
      <w:marRight w:val="0"/>
      <w:marTop w:val="0"/>
      <w:marBottom w:val="0"/>
      <w:divBdr>
        <w:top w:val="none" w:sz="0" w:space="0" w:color="auto"/>
        <w:left w:val="none" w:sz="0" w:space="0" w:color="auto"/>
        <w:bottom w:val="none" w:sz="0" w:space="0" w:color="auto"/>
        <w:right w:val="none" w:sz="0" w:space="0" w:color="auto"/>
      </w:divBdr>
    </w:div>
    <w:div w:id="806901820">
      <w:bodyDiv w:val="1"/>
      <w:marLeft w:val="0"/>
      <w:marRight w:val="0"/>
      <w:marTop w:val="0"/>
      <w:marBottom w:val="0"/>
      <w:divBdr>
        <w:top w:val="none" w:sz="0" w:space="0" w:color="auto"/>
        <w:left w:val="none" w:sz="0" w:space="0" w:color="auto"/>
        <w:bottom w:val="none" w:sz="0" w:space="0" w:color="auto"/>
        <w:right w:val="none" w:sz="0" w:space="0" w:color="auto"/>
      </w:divBdr>
    </w:div>
    <w:div w:id="855116664">
      <w:bodyDiv w:val="1"/>
      <w:marLeft w:val="0"/>
      <w:marRight w:val="0"/>
      <w:marTop w:val="0"/>
      <w:marBottom w:val="0"/>
      <w:divBdr>
        <w:top w:val="none" w:sz="0" w:space="0" w:color="auto"/>
        <w:left w:val="none" w:sz="0" w:space="0" w:color="auto"/>
        <w:bottom w:val="none" w:sz="0" w:space="0" w:color="auto"/>
        <w:right w:val="none" w:sz="0" w:space="0" w:color="auto"/>
      </w:divBdr>
    </w:div>
    <w:div w:id="868221699">
      <w:bodyDiv w:val="1"/>
      <w:marLeft w:val="0"/>
      <w:marRight w:val="0"/>
      <w:marTop w:val="0"/>
      <w:marBottom w:val="0"/>
      <w:divBdr>
        <w:top w:val="none" w:sz="0" w:space="0" w:color="auto"/>
        <w:left w:val="none" w:sz="0" w:space="0" w:color="auto"/>
        <w:bottom w:val="none" w:sz="0" w:space="0" w:color="auto"/>
        <w:right w:val="none" w:sz="0" w:space="0" w:color="auto"/>
      </w:divBdr>
    </w:div>
    <w:div w:id="897670893">
      <w:bodyDiv w:val="1"/>
      <w:marLeft w:val="0"/>
      <w:marRight w:val="0"/>
      <w:marTop w:val="0"/>
      <w:marBottom w:val="0"/>
      <w:divBdr>
        <w:top w:val="none" w:sz="0" w:space="0" w:color="auto"/>
        <w:left w:val="none" w:sz="0" w:space="0" w:color="auto"/>
        <w:bottom w:val="none" w:sz="0" w:space="0" w:color="auto"/>
        <w:right w:val="none" w:sz="0" w:space="0" w:color="auto"/>
      </w:divBdr>
    </w:div>
    <w:div w:id="928807755">
      <w:bodyDiv w:val="1"/>
      <w:marLeft w:val="0"/>
      <w:marRight w:val="0"/>
      <w:marTop w:val="0"/>
      <w:marBottom w:val="0"/>
      <w:divBdr>
        <w:top w:val="none" w:sz="0" w:space="0" w:color="auto"/>
        <w:left w:val="none" w:sz="0" w:space="0" w:color="auto"/>
        <w:bottom w:val="none" w:sz="0" w:space="0" w:color="auto"/>
        <w:right w:val="none" w:sz="0" w:space="0" w:color="auto"/>
      </w:divBdr>
    </w:div>
    <w:div w:id="972563320">
      <w:bodyDiv w:val="1"/>
      <w:marLeft w:val="0"/>
      <w:marRight w:val="0"/>
      <w:marTop w:val="0"/>
      <w:marBottom w:val="0"/>
      <w:divBdr>
        <w:top w:val="none" w:sz="0" w:space="0" w:color="auto"/>
        <w:left w:val="none" w:sz="0" w:space="0" w:color="auto"/>
        <w:bottom w:val="none" w:sz="0" w:space="0" w:color="auto"/>
        <w:right w:val="none" w:sz="0" w:space="0" w:color="auto"/>
      </w:divBdr>
    </w:div>
    <w:div w:id="1017849403">
      <w:bodyDiv w:val="1"/>
      <w:marLeft w:val="0"/>
      <w:marRight w:val="0"/>
      <w:marTop w:val="0"/>
      <w:marBottom w:val="0"/>
      <w:divBdr>
        <w:top w:val="none" w:sz="0" w:space="0" w:color="auto"/>
        <w:left w:val="none" w:sz="0" w:space="0" w:color="auto"/>
        <w:bottom w:val="none" w:sz="0" w:space="0" w:color="auto"/>
        <w:right w:val="none" w:sz="0" w:space="0" w:color="auto"/>
      </w:divBdr>
    </w:div>
    <w:div w:id="1092117656">
      <w:bodyDiv w:val="1"/>
      <w:marLeft w:val="0"/>
      <w:marRight w:val="0"/>
      <w:marTop w:val="0"/>
      <w:marBottom w:val="0"/>
      <w:divBdr>
        <w:top w:val="none" w:sz="0" w:space="0" w:color="auto"/>
        <w:left w:val="none" w:sz="0" w:space="0" w:color="auto"/>
        <w:bottom w:val="none" w:sz="0" w:space="0" w:color="auto"/>
        <w:right w:val="none" w:sz="0" w:space="0" w:color="auto"/>
      </w:divBdr>
    </w:div>
    <w:div w:id="1110320541">
      <w:bodyDiv w:val="1"/>
      <w:marLeft w:val="0"/>
      <w:marRight w:val="0"/>
      <w:marTop w:val="0"/>
      <w:marBottom w:val="0"/>
      <w:divBdr>
        <w:top w:val="none" w:sz="0" w:space="0" w:color="auto"/>
        <w:left w:val="none" w:sz="0" w:space="0" w:color="auto"/>
        <w:bottom w:val="none" w:sz="0" w:space="0" w:color="auto"/>
        <w:right w:val="none" w:sz="0" w:space="0" w:color="auto"/>
      </w:divBdr>
    </w:div>
    <w:div w:id="1121266595">
      <w:bodyDiv w:val="1"/>
      <w:marLeft w:val="0"/>
      <w:marRight w:val="0"/>
      <w:marTop w:val="0"/>
      <w:marBottom w:val="0"/>
      <w:divBdr>
        <w:top w:val="none" w:sz="0" w:space="0" w:color="auto"/>
        <w:left w:val="none" w:sz="0" w:space="0" w:color="auto"/>
        <w:bottom w:val="none" w:sz="0" w:space="0" w:color="auto"/>
        <w:right w:val="none" w:sz="0" w:space="0" w:color="auto"/>
      </w:divBdr>
    </w:div>
    <w:div w:id="1218781578">
      <w:bodyDiv w:val="1"/>
      <w:marLeft w:val="0"/>
      <w:marRight w:val="0"/>
      <w:marTop w:val="0"/>
      <w:marBottom w:val="0"/>
      <w:divBdr>
        <w:top w:val="none" w:sz="0" w:space="0" w:color="auto"/>
        <w:left w:val="none" w:sz="0" w:space="0" w:color="auto"/>
        <w:bottom w:val="none" w:sz="0" w:space="0" w:color="auto"/>
        <w:right w:val="none" w:sz="0" w:space="0" w:color="auto"/>
      </w:divBdr>
    </w:div>
    <w:div w:id="1225025107">
      <w:bodyDiv w:val="1"/>
      <w:marLeft w:val="0"/>
      <w:marRight w:val="0"/>
      <w:marTop w:val="0"/>
      <w:marBottom w:val="0"/>
      <w:divBdr>
        <w:top w:val="none" w:sz="0" w:space="0" w:color="auto"/>
        <w:left w:val="none" w:sz="0" w:space="0" w:color="auto"/>
        <w:bottom w:val="none" w:sz="0" w:space="0" w:color="auto"/>
        <w:right w:val="none" w:sz="0" w:space="0" w:color="auto"/>
      </w:divBdr>
    </w:div>
    <w:div w:id="1337882279">
      <w:bodyDiv w:val="1"/>
      <w:marLeft w:val="0"/>
      <w:marRight w:val="0"/>
      <w:marTop w:val="0"/>
      <w:marBottom w:val="0"/>
      <w:divBdr>
        <w:top w:val="none" w:sz="0" w:space="0" w:color="auto"/>
        <w:left w:val="none" w:sz="0" w:space="0" w:color="auto"/>
        <w:bottom w:val="none" w:sz="0" w:space="0" w:color="auto"/>
        <w:right w:val="none" w:sz="0" w:space="0" w:color="auto"/>
      </w:divBdr>
    </w:div>
    <w:div w:id="1349139227">
      <w:bodyDiv w:val="1"/>
      <w:marLeft w:val="0"/>
      <w:marRight w:val="0"/>
      <w:marTop w:val="0"/>
      <w:marBottom w:val="0"/>
      <w:divBdr>
        <w:top w:val="none" w:sz="0" w:space="0" w:color="auto"/>
        <w:left w:val="none" w:sz="0" w:space="0" w:color="auto"/>
        <w:bottom w:val="none" w:sz="0" w:space="0" w:color="auto"/>
        <w:right w:val="none" w:sz="0" w:space="0" w:color="auto"/>
      </w:divBdr>
    </w:div>
    <w:div w:id="1412777478">
      <w:bodyDiv w:val="1"/>
      <w:marLeft w:val="0"/>
      <w:marRight w:val="0"/>
      <w:marTop w:val="0"/>
      <w:marBottom w:val="0"/>
      <w:divBdr>
        <w:top w:val="none" w:sz="0" w:space="0" w:color="auto"/>
        <w:left w:val="none" w:sz="0" w:space="0" w:color="auto"/>
        <w:bottom w:val="none" w:sz="0" w:space="0" w:color="auto"/>
        <w:right w:val="none" w:sz="0" w:space="0" w:color="auto"/>
      </w:divBdr>
    </w:div>
    <w:div w:id="1478910819">
      <w:bodyDiv w:val="1"/>
      <w:marLeft w:val="0"/>
      <w:marRight w:val="0"/>
      <w:marTop w:val="0"/>
      <w:marBottom w:val="0"/>
      <w:divBdr>
        <w:top w:val="none" w:sz="0" w:space="0" w:color="auto"/>
        <w:left w:val="none" w:sz="0" w:space="0" w:color="auto"/>
        <w:bottom w:val="none" w:sz="0" w:space="0" w:color="auto"/>
        <w:right w:val="none" w:sz="0" w:space="0" w:color="auto"/>
      </w:divBdr>
    </w:div>
    <w:div w:id="1490706701">
      <w:bodyDiv w:val="1"/>
      <w:marLeft w:val="0"/>
      <w:marRight w:val="0"/>
      <w:marTop w:val="0"/>
      <w:marBottom w:val="0"/>
      <w:divBdr>
        <w:top w:val="none" w:sz="0" w:space="0" w:color="auto"/>
        <w:left w:val="none" w:sz="0" w:space="0" w:color="auto"/>
        <w:bottom w:val="none" w:sz="0" w:space="0" w:color="auto"/>
        <w:right w:val="none" w:sz="0" w:space="0" w:color="auto"/>
      </w:divBdr>
    </w:div>
    <w:div w:id="1517234987">
      <w:bodyDiv w:val="1"/>
      <w:marLeft w:val="0"/>
      <w:marRight w:val="0"/>
      <w:marTop w:val="0"/>
      <w:marBottom w:val="0"/>
      <w:divBdr>
        <w:top w:val="none" w:sz="0" w:space="0" w:color="auto"/>
        <w:left w:val="none" w:sz="0" w:space="0" w:color="auto"/>
        <w:bottom w:val="none" w:sz="0" w:space="0" w:color="auto"/>
        <w:right w:val="none" w:sz="0" w:space="0" w:color="auto"/>
      </w:divBdr>
    </w:div>
    <w:div w:id="1586186135">
      <w:bodyDiv w:val="1"/>
      <w:marLeft w:val="0"/>
      <w:marRight w:val="0"/>
      <w:marTop w:val="0"/>
      <w:marBottom w:val="0"/>
      <w:divBdr>
        <w:top w:val="none" w:sz="0" w:space="0" w:color="auto"/>
        <w:left w:val="none" w:sz="0" w:space="0" w:color="auto"/>
        <w:bottom w:val="none" w:sz="0" w:space="0" w:color="auto"/>
        <w:right w:val="none" w:sz="0" w:space="0" w:color="auto"/>
      </w:divBdr>
    </w:div>
    <w:div w:id="1600724193">
      <w:bodyDiv w:val="1"/>
      <w:marLeft w:val="0"/>
      <w:marRight w:val="0"/>
      <w:marTop w:val="0"/>
      <w:marBottom w:val="0"/>
      <w:divBdr>
        <w:top w:val="none" w:sz="0" w:space="0" w:color="auto"/>
        <w:left w:val="none" w:sz="0" w:space="0" w:color="auto"/>
        <w:bottom w:val="none" w:sz="0" w:space="0" w:color="auto"/>
        <w:right w:val="none" w:sz="0" w:space="0" w:color="auto"/>
      </w:divBdr>
    </w:div>
    <w:div w:id="1641619183">
      <w:bodyDiv w:val="1"/>
      <w:marLeft w:val="0"/>
      <w:marRight w:val="0"/>
      <w:marTop w:val="0"/>
      <w:marBottom w:val="0"/>
      <w:divBdr>
        <w:top w:val="none" w:sz="0" w:space="0" w:color="auto"/>
        <w:left w:val="none" w:sz="0" w:space="0" w:color="auto"/>
        <w:bottom w:val="none" w:sz="0" w:space="0" w:color="auto"/>
        <w:right w:val="none" w:sz="0" w:space="0" w:color="auto"/>
      </w:divBdr>
    </w:div>
    <w:div w:id="1663848686">
      <w:bodyDiv w:val="1"/>
      <w:marLeft w:val="0"/>
      <w:marRight w:val="0"/>
      <w:marTop w:val="0"/>
      <w:marBottom w:val="0"/>
      <w:divBdr>
        <w:top w:val="none" w:sz="0" w:space="0" w:color="auto"/>
        <w:left w:val="none" w:sz="0" w:space="0" w:color="auto"/>
        <w:bottom w:val="none" w:sz="0" w:space="0" w:color="auto"/>
        <w:right w:val="none" w:sz="0" w:space="0" w:color="auto"/>
      </w:divBdr>
    </w:div>
    <w:div w:id="1737050911">
      <w:bodyDiv w:val="1"/>
      <w:marLeft w:val="0"/>
      <w:marRight w:val="0"/>
      <w:marTop w:val="0"/>
      <w:marBottom w:val="0"/>
      <w:divBdr>
        <w:top w:val="none" w:sz="0" w:space="0" w:color="auto"/>
        <w:left w:val="none" w:sz="0" w:space="0" w:color="auto"/>
        <w:bottom w:val="none" w:sz="0" w:space="0" w:color="auto"/>
        <w:right w:val="none" w:sz="0" w:space="0" w:color="auto"/>
      </w:divBdr>
    </w:div>
    <w:div w:id="1757507803">
      <w:bodyDiv w:val="1"/>
      <w:marLeft w:val="0"/>
      <w:marRight w:val="0"/>
      <w:marTop w:val="0"/>
      <w:marBottom w:val="0"/>
      <w:divBdr>
        <w:top w:val="none" w:sz="0" w:space="0" w:color="auto"/>
        <w:left w:val="none" w:sz="0" w:space="0" w:color="auto"/>
        <w:bottom w:val="none" w:sz="0" w:space="0" w:color="auto"/>
        <w:right w:val="none" w:sz="0" w:space="0" w:color="auto"/>
      </w:divBdr>
    </w:div>
    <w:div w:id="1757556902">
      <w:bodyDiv w:val="1"/>
      <w:marLeft w:val="0"/>
      <w:marRight w:val="0"/>
      <w:marTop w:val="0"/>
      <w:marBottom w:val="0"/>
      <w:divBdr>
        <w:top w:val="none" w:sz="0" w:space="0" w:color="auto"/>
        <w:left w:val="none" w:sz="0" w:space="0" w:color="auto"/>
        <w:bottom w:val="none" w:sz="0" w:space="0" w:color="auto"/>
        <w:right w:val="none" w:sz="0" w:space="0" w:color="auto"/>
      </w:divBdr>
    </w:div>
    <w:div w:id="1760783623">
      <w:bodyDiv w:val="1"/>
      <w:marLeft w:val="0"/>
      <w:marRight w:val="0"/>
      <w:marTop w:val="0"/>
      <w:marBottom w:val="0"/>
      <w:divBdr>
        <w:top w:val="none" w:sz="0" w:space="0" w:color="auto"/>
        <w:left w:val="none" w:sz="0" w:space="0" w:color="auto"/>
        <w:bottom w:val="none" w:sz="0" w:space="0" w:color="auto"/>
        <w:right w:val="none" w:sz="0" w:space="0" w:color="auto"/>
      </w:divBdr>
    </w:div>
    <w:div w:id="1780757686">
      <w:bodyDiv w:val="1"/>
      <w:marLeft w:val="0"/>
      <w:marRight w:val="0"/>
      <w:marTop w:val="0"/>
      <w:marBottom w:val="0"/>
      <w:divBdr>
        <w:top w:val="none" w:sz="0" w:space="0" w:color="auto"/>
        <w:left w:val="none" w:sz="0" w:space="0" w:color="auto"/>
        <w:bottom w:val="none" w:sz="0" w:space="0" w:color="auto"/>
        <w:right w:val="none" w:sz="0" w:space="0" w:color="auto"/>
      </w:divBdr>
    </w:div>
    <w:div w:id="1786148361">
      <w:bodyDiv w:val="1"/>
      <w:marLeft w:val="0"/>
      <w:marRight w:val="0"/>
      <w:marTop w:val="0"/>
      <w:marBottom w:val="0"/>
      <w:divBdr>
        <w:top w:val="none" w:sz="0" w:space="0" w:color="auto"/>
        <w:left w:val="none" w:sz="0" w:space="0" w:color="auto"/>
        <w:bottom w:val="none" w:sz="0" w:space="0" w:color="auto"/>
        <w:right w:val="none" w:sz="0" w:space="0" w:color="auto"/>
      </w:divBdr>
    </w:div>
    <w:div w:id="1786462605">
      <w:bodyDiv w:val="1"/>
      <w:marLeft w:val="0"/>
      <w:marRight w:val="0"/>
      <w:marTop w:val="0"/>
      <w:marBottom w:val="0"/>
      <w:divBdr>
        <w:top w:val="none" w:sz="0" w:space="0" w:color="auto"/>
        <w:left w:val="none" w:sz="0" w:space="0" w:color="auto"/>
        <w:bottom w:val="none" w:sz="0" w:space="0" w:color="auto"/>
        <w:right w:val="none" w:sz="0" w:space="0" w:color="auto"/>
      </w:divBdr>
    </w:div>
    <w:div w:id="1956057446">
      <w:bodyDiv w:val="1"/>
      <w:marLeft w:val="0"/>
      <w:marRight w:val="0"/>
      <w:marTop w:val="0"/>
      <w:marBottom w:val="0"/>
      <w:divBdr>
        <w:top w:val="none" w:sz="0" w:space="0" w:color="auto"/>
        <w:left w:val="none" w:sz="0" w:space="0" w:color="auto"/>
        <w:bottom w:val="none" w:sz="0" w:space="0" w:color="auto"/>
        <w:right w:val="none" w:sz="0" w:space="0" w:color="auto"/>
      </w:divBdr>
    </w:div>
    <w:div w:id="1978297717">
      <w:bodyDiv w:val="1"/>
      <w:marLeft w:val="0"/>
      <w:marRight w:val="0"/>
      <w:marTop w:val="0"/>
      <w:marBottom w:val="0"/>
      <w:divBdr>
        <w:top w:val="none" w:sz="0" w:space="0" w:color="auto"/>
        <w:left w:val="none" w:sz="0" w:space="0" w:color="auto"/>
        <w:bottom w:val="none" w:sz="0" w:space="0" w:color="auto"/>
        <w:right w:val="none" w:sz="0" w:space="0" w:color="auto"/>
      </w:divBdr>
    </w:div>
    <w:div w:id="2003122910">
      <w:bodyDiv w:val="1"/>
      <w:marLeft w:val="0"/>
      <w:marRight w:val="0"/>
      <w:marTop w:val="0"/>
      <w:marBottom w:val="0"/>
      <w:divBdr>
        <w:top w:val="none" w:sz="0" w:space="0" w:color="auto"/>
        <w:left w:val="none" w:sz="0" w:space="0" w:color="auto"/>
        <w:bottom w:val="none" w:sz="0" w:space="0" w:color="auto"/>
        <w:right w:val="none" w:sz="0" w:space="0" w:color="auto"/>
      </w:divBdr>
    </w:div>
    <w:div w:id="2006735666">
      <w:bodyDiv w:val="1"/>
      <w:marLeft w:val="0"/>
      <w:marRight w:val="0"/>
      <w:marTop w:val="0"/>
      <w:marBottom w:val="0"/>
      <w:divBdr>
        <w:top w:val="none" w:sz="0" w:space="0" w:color="auto"/>
        <w:left w:val="none" w:sz="0" w:space="0" w:color="auto"/>
        <w:bottom w:val="none" w:sz="0" w:space="0" w:color="auto"/>
        <w:right w:val="none" w:sz="0" w:space="0" w:color="auto"/>
      </w:divBdr>
    </w:div>
    <w:div w:id="20689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2900</Words>
  <Characters>15954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 Ricardo Cachón Pérez</dc:creator>
  <cp:lastModifiedBy>Alvar Ricardo Cachón Pérez</cp:lastModifiedBy>
  <cp:revision>8</cp:revision>
  <cp:lastPrinted>2018-03-16T18:19:00Z</cp:lastPrinted>
  <dcterms:created xsi:type="dcterms:W3CDTF">2018-02-22T20:19:00Z</dcterms:created>
  <dcterms:modified xsi:type="dcterms:W3CDTF">2018-03-16T18:19:00Z</dcterms:modified>
</cp:coreProperties>
</file>