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D7" w:rsidRPr="006C18A8" w:rsidRDefault="00DA7DA6" w:rsidP="00BC7BD7">
      <w:pPr>
        <w:spacing w:line="240" w:lineRule="auto"/>
        <w:jc w:val="center"/>
        <w:rPr>
          <w:rFonts w:cs="Arial"/>
          <w:b/>
          <w:sz w:val="20"/>
          <w:szCs w:val="20"/>
        </w:rPr>
      </w:pPr>
      <w:r>
        <w:rPr>
          <w:rFonts w:cs="Arial"/>
          <w:b/>
          <w:sz w:val="20"/>
          <w:szCs w:val="20"/>
        </w:rPr>
        <w:t>Cuenta Pública 2017</w:t>
      </w:r>
    </w:p>
    <w:p w:rsidR="00BC7BD7" w:rsidRPr="006C18A8" w:rsidRDefault="00BC7BD7" w:rsidP="00BC7BD7">
      <w:pPr>
        <w:spacing w:line="240" w:lineRule="auto"/>
        <w:jc w:val="center"/>
        <w:rPr>
          <w:rFonts w:cs="Arial"/>
          <w:b/>
          <w:sz w:val="20"/>
          <w:szCs w:val="20"/>
        </w:rPr>
      </w:pPr>
      <w:r w:rsidRPr="006C18A8">
        <w:rPr>
          <w:rFonts w:cs="Arial"/>
          <w:b/>
          <w:sz w:val="20"/>
          <w:szCs w:val="20"/>
        </w:rPr>
        <w:t>Notas a los Estados Financieros</w:t>
      </w:r>
    </w:p>
    <w:p w:rsidR="00BC7BD7" w:rsidRPr="006C18A8" w:rsidRDefault="00DA7DA6" w:rsidP="00BC7BD7">
      <w:pPr>
        <w:spacing w:line="240" w:lineRule="auto"/>
        <w:jc w:val="center"/>
        <w:rPr>
          <w:rFonts w:cs="Arial"/>
          <w:b/>
          <w:sz w:val="20"/>
          <w:szCs w:val="20"/>
        </w:rPr>
      </w:pPr>
      <w:r>
        <w:rPr>
          <w:rFonts w:cs="Arial"/>
          <w:b/>
          <w:sz w:val="20"/>
          <w:szCs w:val="20"/>
        </w:rPr>
        <w:t>Al 31 de Diciembre de 2017</w:t>
      </w:r>
    </w:p>
    <w:p w:rsidR="00BC7BD7" w:rsidRPr="006C18A8" w:rsidRDefault="00BC7BD7" w:rsidP="00BC7BD7">
      <w:pPr>
        <w:spacing w:line="240" w:lineRule="auto"/>
        <w:jc w:val="center"/>
        <w:rPr>
          <w:rFonts w:cs="Arial"/>
          <w:b/>
          <w:sz w:val="20"/>
          <w:szCs w:val="20"/>
        </w:rPr>
      </w:pPr>
      <w:r w:rsidRPr="006C18A8">
        <w:rPr>
          <w:rFonts w:cs="Arial"/>
          <w:b/>
          <w:sz w:val="20"/>
          <w:szCs w:val="20"/>
        </w:rPr>
        <w:t>(Pesos)</w:t>
      </w:r>
    </w:p>
    <w:p w:rsidR="00BC7BD7" w:rsidRPr="006C18A8" w:rsidRDefault="00BC7BD7" w:rsidP="00BC7BD7">
      <w:pPr>
        <w:spacing w:line="240" w:lineRule="auto"/>
        <w:rPr>
          <w:rFonts w:cs="Arial"/>
          <w:b/>
          <w:sz w:val="20"/>
          <w:szCs w:val="20"/>
        </w:rPr>
      </w:pPr>
    </w:p>
    <w:p w:rsidR="00BC7BD7" w:rsidRPr="006C18A8" w:rsidRDefault="00BC7BD7" w:rsidP="00BC7BD7">
      <w:pPr>
        <w:spacing w:line="240" w:lineRule="auto"/>
        <w:rPr>
          <w:rFonts w:cs="Arial"/>
          <w:b/>
          <w:sz w:val="20"/>
          <w:szCs w:val="20"/>
        </w:rPr>
      </w:pPr>
      <w:r w:rsidRPr="006C18A8">
        <w:rPr>
          <w:rFonts w:cs="Arial"/>
          <w:b/>
          <w:sz w:val="20"/>
          <w:szCs w:val="20"/>
        </w:rPr>
        <w:t>Ente Público</w:t>
      </w:r>
      <w:proofErr w:type="gramStart"/>
      <w:r w:rsidRPr="006C18A8">
        <w:rPr>
          <w:rFonts w:cs="Arial"/>
          <w:b/>
          <w:sz w:val="20"/>
          <w:szCs w:val="20"/>
        </w:rPr>
        <w:t>:  FIDEICOMISO</w:t>
      </w:r>
      <w:proofErr w:type="gramEnd"/>
      <w:r w:rsidRPr="006C18A8">
        <w:rPr>
          <w:rFonts w:cs="Arial"/>
          <w:b/>
          <w:sz w:val="20"/>
          <w:szCs w:val="20"/>
        </w:rPr>
        <w:t xml:space="preserve"> </w:t>
      </w:r>
      <w:r w:rsidR="00DC75F8" w:rsidRPr="006C18A8">
        <w:rPr>
          <w:rFonts w:cs="Arial"/>
          <w:b/>
          <w:sz w:val="20"/>
          <w:szCs w:val="20"/>
        </w:rPr>
        <w:t>FONDO PARA LA CONSOLIDACIÓN Y FOMENTO DEL EMPLEO PERMANENTE EN EL ESTADO DE YUCATÁN</w:t>
      </w:r>
    </w:p>
    <w:p w:rsidR="00DC75F8" w:rsidRPr="006C18A8" w:rsidRDefault="00DC75F8" w:rsidP="00DC75F8">
      <w:pPr>
        <w:spacing w:after="0" w:line="240" w:lineRule="auto"/>
        <w:rPr>
          <w:rFonts w:eastAsia="Times New Roman" w:cs="Arial"/>
          <w:b/>
          <w:bCs/>
          <w:sz w:val="24"/>
          <w:szCs w:val="24"/>
          <w:lang w:eastAsia="es-MX"/>
        </w:rPr>
      </w:pPr>
      <w:r w:rsidRPr="006C18A8">
        <w:rPr>
          <w:rFonts w:eastAsia="Times New Roman" w:cs="Arial"/>
          <w:b/>
          <w:bCs/>
          <w:sz w:val="24"/>
          <w:szCs w:val="24"/>
          <w:lang w:eastAsia="es-MX"/>
        </w:rPr>
        <w:t>NOTAS AL ESTADO DE SITUACIÓN FINANCIERA</w:t>
      </w:r>
    </w:p>
    <w:p w:rsidR="00DC75F8" w:rsidRPr="006C18A8" w:rsidRDefault="00DC75F8" w:rsidP="00BC7BD7">
      <w:pPr>
        <w:spacing w:line="240" w:lineRule="auto"/>
        <w:rPr>
          <w:rFonts w:cs="Arial"/>
          <w:b/>
          <w:sz w:val="20"/>
          <w:szCs w:val="20"/>
        </w:rPr>
      </w:pPr>
    </w:p>
    <w:tbl>
      <w:tblPr>
        <w:tblW w:w="13620" w:type="dxa"/>
        <w:tblInd w:w="55" w:type="dxa"/>
        <w:tblCellMar>
          <w:left w:w="70" w:type="dxa"/>
          <w:right w:w="70" w:type="dxa"/>
        </w:tblCellMar>
        <w:tblLook w:val="04A0" w:firstRow="1" w:lastRow="0" w:firstColumn="1" w:lastColumn="0" w:noHBand="0" w:noVBand="1"/>
      </w:tblPr>
      <w:tblGrid>
        <w:gridCol w:w="13620"/>
      </w:tblGrid>
      <w:tr w:rsidR="00DC75F8" w:rsidRPr="006C18A8" w:rsidTr="00DC75F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C75F8" w:rsidRPr="006C18A8" w:rsidRDefault="00DC75F8" w:rsidP="00DC75F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NOTA 1</w:t>
            </w:r>
          </w:p>
        </w:tc>
      </w:tr>
      <w:tr w:rsidR="00DC75F8" w:rsidRPr="006C18A8" w:rsidTr="00DC75F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C75F8" w:rsidRPr="006C18A8" w:rsidRDefault="00DC75F8" w:rsidP="00DC75F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EFECTIVO Y EQUIVALENTES</w:t>
            </w:r>
          </w:p>
        </w:tc>
      </w:tr>
    </w:tbl>
    <w:p w:rsidR="00DC75F8" w:rsidRPr="006C18A8" w:rsidRDefault="00DC75F8" w:rsidP="00BC7BD7">
      <w:pPr>
        <w:spacing w:line="240" w:lineRule="auto"/>
        <w:rPr>
          <w:rFonts w:cs="Arial"/>
          <w:b/>
          <w:sz w:val="20"/>
          <w:szCs w:val="20"/>
        </w:rPr>
      </w:pPr>
    </w:p>
    <w:p w:rsidR="00DC75F8" w:rsidRPr="006C18A8" w:rsidRDefault="00DC75F8" w:rsidP="00DC75F8">
      <w:pPr>
        <w:spacing w:after="0" w:line="240" w:lineRule="auto"/>
        <w:rPr>
          <w:rFonts w:eastAsia="Times New Roman" w:cs="Arial"/>
          <w:sz w:val="20"/>
          <w:szCs w:val="20"/>
          <w:lang w:eastAsia="es-MX"/>
        </w:rPr>
      </w:pPr>
      <w:r w:rsidRPr="006C18A8">
        <w:rPr>
          <w:rFonts w:eastAsia="Times New Roman" w:cs="Arial"/>
          <w:sz w:val="20"/>
          <w:szCs w:val="20"/>
          <w:lang w:eastAsia="es-MX"/>
        </w:rPr>
        <w:t>Este rubro está integrado por las cuentas bancarias del Fondo para la Consolidación y Fomento del Empleo Permanente en el Estado de Yucatán se desglosa de la siguiente manera:</w:t>
      </w:r>
    </w:p>
    <w:p w:rsidR="00DC75F8" w:rsidRPr="006C18A8" w:rsidRDefault="00DC75F8" w:rsidP="00DC75F8">
      <w:pPr>
        <w:spacing w:after="0" w:line="240" w:lineRule="auto"/>
        <w:rPr>
          <w:rFonts w:eastAsia="Times New Roman" w:cs="Arial"/>
          <w:sz w:val="20"/>
          <w:szCs w:val="20"/>
          <w:lang w:eastAsia="es-MX"/>
        </w:rPr>
      </w:pPr>
    </w:p>
    <w:tbl>
      <w:tblPr>
        <w:tblW w:w="11934" w:type="dxa"/>
        <w:tblInd w:w="55" w:type="dxa"/>
        <w:tblCellMar>
          <w:left w:w="70" w:type="dxa"/>
          <w:right w:w="70" w:type="dxa"/>
        </w:tblCellMar>
        <w:tblLook w:val="04A0" w:firstRow="1" w:lastRow="0" w:firstColumn="1" w:lastColumn="0" w:noHBand="0" w:noVBand="1"/>
      </w:tblPr>
      <w:tblGrid>
        <w:gridCol w:w="1505"/>
        <w:gridCol w:w="2165"/>
        <w:gridCol w:w="3051"/>
        <w:gridCol w:w="780"/>
        <w:gridCol w:w="776"/>
        <w:gridCol w:w="494"/>
        <w:gridCol w:w="3163"/>
      </w:tblGrid>
      <w:tr w:rsidR="00DC75F8" w:rsidRPr="006C18A8" w:rsidTr="00DC75F8">
        <w:trPr>
          <w:trHeight w:val="221"/>
        </w:trPr>
        <w:tc>
          <w:tcPr>
            <w:tcW w:w="1505" w:type="dxa"/>
            <w:tcBorders>
              <w:top w:val="nil"/>
              <w:left w:val="nil"/>
              <w:bottom w:val="nil"/>
              <w:right w:val="nil"/>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p>
        </w:tc>
        <w:tc>
          <w:tcPr>
            <w:tcW w:w="10429"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C75F8" w:rsidRPr="006C18A8" w:rsidRDefault="00DC75F8" w:rsidP="00DC75F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CUENTAS DE CHEQUES</w:t>
            </w:r>
          </w:p>
        </w:tc>
      </w:tr>
      <w:tr w:rsidR="00DC75F8" w:rsidRPr="006C18A8" w:rsidTr="00DC75F8">
        <w:trPr>
          <w:trHeight w:val="221"/>
        </w:trPr>
        <w:tc>
          <w:tcPr>
            <w:tcW w:w="1505" w:type="dxa"/>
            <w:tcBorders>
              <w:top w:val="nil"/>
              <w:left w:val="nil"/>
              <w:bottom w:val="nil"/>
              <w:right w:val="nil"/>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p>
        </w:tc>
        <w:tc>
          <w:tcPr>
            <w:tcW w:w="2165" w:type="dxa"/>
            <w:tcBorders>
              <w:top w:val="nil"/>
              <w:left w:val="single" w:sz="8" w:space="0" w:color="auto"/>
              <w:bottom w:val="single" w:sz="8" w:space="0" w:color="auto"/>
              <w:right w:val="single" w:sz="8" w:space="0" w:color="auto"/>
            </w:tcBorders>
            <w:shd w:val="clear" w:color="auto" w:fill="auto"/>
            <w:noWrap/>
            <w:vAlign w:val="bottom"/>
            <w:hideMark/>
          </w:tcPr>
          <w:p w:rsidR="00DC75F8" w:rsidRPr="006C18A8" w:rsidRDefault="00DC75F8" w:rsidP="00DC75F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No. Cuenta</w:t>
            </w:r>
          </w:p>
        </w:tc>
        <w:tc>
          <w:tcPr>
            <w:tcW w:w="3051" w:type="dxa"/>
            <w:tcBorders>
              <w:top w:val="nil"/>
              <w:left w:val="nil"/>
              <w:bottom w:val="single" w:sz="8" w:space="0" w:color="auto"/>
              <w:right w:val="single" w:sz="8" w:space="0" w:color="auto"/>
            </w:tcBorders>
            <w:shd w:val="clear" w:color="auto" w:fill="auto"/>
            <w:noWrap/>
            <w:vAlign w:val="bottom"/>
            <w:hideMark/>
          </w:tcPr>
          <w:p w:rsidR="00DC75F8" w:rsidRPr="006C18A8" w:rsidRDefault="00DC75F8" w:rsidP="00DC75F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Banco</w:t>
            </w:r>
          </w:p>
        </w:tc>
        <w:tc>
          <w:tcPr>
            <w:tcW w:w="205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DC75F8" w:rsidRPr="006C18A8" w:rsidRDefault="00DC75F8" w:rsidP="00DC75F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Programa</w:t>
            </w:r>
          </w:p>
        </w:tc>
        <w:tc>
          <w:tcPr>
            <w:tcW w:w="3163" w:type="dxa"/>
            <w:tcBorders>
              <w:top w:val="nil"/>
              <w:left w:val="nil"/>
              <w:bottom w:val="single" w:sz="8" w:space="0" w:color="auto"/>
              <w:right w:val="single" w:sz="8" w:space="0" w:color="auto"/>
            </w:tcBorders>
            <w:shd w:val="clear" w:color="auto" w:fill="auto"/>
            <w:noWrap/>
            <w:vAlign w:val="bottom"/>
            <w:hideMark/>
          </w:tcPr>
          <w:p w:rsidR="00DC75F8" w:rsidRPr="006C18A8" w:rsidRDefault="00DC75F8" w:rsidP="00DC75F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Importe</w:t>
            </w:r>
          </w:p>
        </w:tc>
      </w:tr>
      <w:tr w:rsidR="00DC75F8" w:rsidRPr="006C18A8" w:rsidTr="00DC75F8">
        <w:trPr>
          <w:trHeight w:val="221"/>
        </w:trPr>
        <w:tc>
          <w:tcPr>
            <w:tcW w:w="1505" w:type="dxa"/>
            <w:tcBorders>
              <w:top w:val="nil"/>
              <w:left w:val="nil"/>
              <w:bottom w:val="nil"/>
              <w:right w:val="nil"/>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p>
        </w:tc>
        <w:tc>
          <w:tcPr>
            <w:tcW w:w="2165" w:type="dxa"/>
            <w:tcBorders>
              <w:top w:val="nil"/>
              <w:left w:val="single" w:sz="8" w:space="0" w:color="auto"/>
              <w:bottom w:val="single" w:sz="8" w:space="0" w:color="auto"/>
              <w:right w:val="single" w:sz="4" w:space="0" w:color="auto"/>
            </w:tcBorders>
            <w:shd w:val="clear" w:color="auto" w:fill="auto"/>
            <w:noWrap/>
            <w:vAlign w:val="bottom"/>
            <w:hideMark/>
          </w:tcPr>
          <w:p w:rsidR="00DC75F8" w:rsidRPr="006C18A8" w:rsidRDefault="00DC75F8" w:rsidP="00DC75F8">
            <w:pPr>
              <w:spacing w:after="0" w:line="240" w:lineRule="auto"/>
              <w:jc w:val="right"/>
              <w:rPr>
                <w:rFonts w:eastAsia="Times New Roman" w:cs="Arial"/>
                <w:sz w:val="20"/>
                <w:szCs w:val="20"/>
                <w:lang w:eastAsia="es-MX"/>
              </w:rPr>
            </w:pPr>
            <w:r w:rsidRPr="006C18A8">
              <w:rPr>
                <w:rFonts w:eastAsia="Times New Roman" w:cs="Arial"/>
                <w:sz w:val="20"/>
                <w:szCs w:val="20"/>
                <w:lang w:eastAsia="es-MX"/>
              </w:rPr>
              <w:t>137139667</w:t>
            </w:r>
          </w:p>
        </w:tc>
        <w:tc>
          <w:tcPr>
            <w:tcW w:w="3051" w:type="dxa"/>
            <w:tcBorders>
              <w:top w:val="nil"/>
              <w:left w:val="nil"/>
              <w:bottom w:val="single" w:sz="8" w:space="0" w:color="auto"/>
              <w:right w:val="single" w:sz="4" w:space="0" w:color="auto"/>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r w:rsidRPr="006C18A8">
              <w:rPr>
                <w:rFonts w:eastAsia="Times New Roman" w:cs="Arial"/>
                <w:sz w:val="20"/>
                <w:szCs w:val="20"/>
                <w:lang w:eastAsia="es-MX"/>
              </w:rPr>
              <w:t>BBVA Bancomer</w:t>
            </w:r>
          </w:p>
        </w:tc>
        <w:tc>
          <w:tcPr>
            <w:tcW w:w="1556" w:type="dxa"/>
            <w:gridSpan w:val="2"/>
            <w:tcBorders>
              <w:top w:val="single" w:sz="8" w:space="0" w:color="auto"/>
              <w:left w:val="single" w:sz="4" w:space="0" w:color="auto"/>
              <w:bottom w:val="single" w:sz="8" w:space="0" w:color="auto"/>
              <w:right w:val="nil"/>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r w:rsidRPr="006C18A8">
              <w:rPr>
                <w:rFonts w:eastAsia="Times New Roman" w:cs="Arial"/>
                <w:sz w:val="20"/>
                <w:szCs w:val="20"/>
                <w:lang w:eastAsia="es-MX"/>
              </w:rPr>
              <w:t>Fondo del Empleo</w:t>
            </w:r>
          </w:p>
        </w:tc>
        <w:tc>
          <w:tcPr>
            <w:tcW w:w="494" w:type="dxa"/>
            <w:tcBorders>
              <w:top w:val="nil"/>
              <w:left w:val="nil"/>
              <w:bottom w:val="single" w:sz="8" w:space="0" w:color="auto"/>
              <w:right w:val="single" w:sz="4" w:space="0" w:color="auto"/>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3163" w:type="dxa"/>
            <w:tcBorders>
              <w:top w:val="nil"/>
              <w:left w:val="nil"/>
              <w:bottom w:val="single" w:sz="8" w:space="0" w:color="auto"/>
              <w:right w:val="single" w:sz="8" w:space="0" w:color="auto"/>
            </w:tcBorders>
            <w:shd w:val="clear" w:color="000000" w:fill="FFFFFF"/>
            <w:noWrap/>
            <w:hideMark/>
          </w:tcPr>
          <w:p w:rsidR="00DC75F8" w:rsidRPr="006C18A8" w:rsidRDefault="00FD62E7" w:rsidP="00DC75F8">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1,027,846.73</w:t>
            </w:r>
          </w:p>
        </w:tc>
      </w:tr>
      <w:tr w:rsidR="00DC75F8" w:rsidRPr="006C18A8" w:rsidTr="00DC75F8">
        <w:trPr>
          <w:trHeight w:val="208"/>
        </w:trPr>
        <w:tc>
          <w:tcPr>
            <w:tcW w:w="1505" w:type="dxa"/>
            <w:tcBorders>
              <w:top w:val="nil"/>
              <w:left w:val="nil"/>
              <w:bottom w:val="nil"/>
              <w:right w:val="nil"/>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p>
        </w:tc>
        <w:tc>
          <w:tcPr>
            <w:tcW w:w="2165" w:type="dxa"/>
            <w:tcBorders>
              <w:top w:val="nil"/>
              <w:left w:val="nil"/>
              <w:bottom w:val="nil"/>
              <w:right w:val="nil"/>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p>
        </w:tc>
        <w:tc>
          <w:tcPr>
            <w:tcW w:w="3051" w:type="dxa"/>
            <w:tcBorders>
              <w:top w:val="nil"/>
              <w:left w:val="nil"/>
              <w:bottom w:val="nil"/>
              <w:right w:val="nil"/>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p>
        </w:tc>
        <w:tc>
          <w:tcPr>
            <w:tcW w:w="780" w:type="dxa"/>
            <w:tcBorders>
              <w:top w:val="nil"/>
              <w:left w:val="nil"/>
              <w:bottom w:val="nil"/>
              <w:right w:val="nil"/>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p>
        </w:tc>
        <w:tc>
          <w:tcPr>
            <w:tcW w:w="776" w:type="dxa"/>
            <w:tcBorders>
              <w:top w:val="nil"/>
              <w:left w:val="nil"/>
              <w:bottom w:val="nil"/>
              <w:right w:val="nil"/>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p>
        </w:tc>
        <w:tc>
          <w:tcPr>
            <w:tcW w:w="494" w:type="dxa"/>
            <w:tcBorders>
              <w:top w:val="nil"/>
              <w:left w:val="nil"/>
              <w:bottom w:val="nil"/>
              <w:right w:val="nil"/>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p>
        </w:tc>
        <w:tc>
          <w:tcPr>
            <w:tcW w:w="3163" w:type="dxa"/>
            <w:tcBorders>
              <w:top w:val="nil"/>
              <w:left w:val="nil"/>
              <w:bottom w:val="nil"/>
              <w:right w:val="nil"/>
            </w:tcBorders>
            <w:shd w:val="clear" w:color="auto" w:fill="auto"/>
            <w:noWrap/>
            <w:vAlign w:val="bottom"/>
            <w:hideMark/>
          </w:tcPr>
          <w:p w:rsidR="00DC75F8" w:rsidRPr="006C18A8" w:rsidRDefault="00DC75F8" w:rsidP="00FD62E7">
            <w:pPr>
              <w:spacing w:after="0" w:line="240" w:lineRule="auto"/>
              <w:rPr>
                <w:rFonts w:eastAsia="Times New Roman" w:cs="Arial"/>
                <w:b/>
                <w:bCs/>
                <w:sz w:val="20"/>
                <w:szCs w:val="20"/>
                <w:lang w:eastAsia="es-MX"/>
              </w:rPr>
            </w:pPr>
            <w:r w:rsidRPr="006C18A8">
              <w:rPr>
                <w:rFonts w:eastAsia="Times New Roman" w:cs="Arial"/>
                <w:b/>
                <w:bCs/>
                <w:sz w:val="20"/>
                <w:szCs w:val="20"/>
                <w:lang w:eastAsia="es-MX"/>
              </w:rPr>
              <w:t xml:space="preserve">          </w:t>
            </w:r>
            <w:r w:rsidR="00FD62E7">
              <w:rPr>
                <w:rFonts w:eastAsia="Times New Roman" w:cs="Arial"/>
                <w:b/>
                <w:bCs/>
                <w:sz w:val="20"/>
                <w:szCs w:val="20"/>
                <w:lang w:eastAsia="es-MX"/>
              </w:rPr>
              <w:t xml:space="preserve">                          1,027,846.73</w:t>
            </w:r>
            <w:r w:rsidRPr="006C18A8">
              <w:rPr>
                <w:rFonts w:eastAsia="Times New Roman" w:cs="Arial"/>
                <w:b/>
                <w:bCs/>
                <w:sz w:val="20"/>
                <w:szCs w:val="20"/>
                <w:lang w:eastAsia="es-MX"/>
              </w:rPr>
              <w:t xml:space="preserve"> </w:t>
            </w:r>
          </w:p>
        </w:tc>
      </w:tr>
    </w:tbl>
    <w:p w:rsidR="00DC75F8" w:rsidRPr="006C18A8" w:rsidRDefault="00DC75F8" w:rsidP="00BC7BD7">
      <w:pPr>
        <w:spacing w:line="240" w:lineRule="auto"/>
        <w:rPr>
          <w:rFonts w:cs="Arial"/>
          <w:b/>
          <w:sz w:val="20"/>
          <w:szCs w:val="20"/>
        </w:rPr>
      </w:pPr>
    </w:p>
    <w:p w:rsidR="00223388" w:rsidRDefault="00223388" w:rsidP="00BC7BD7">
      <w:pPr>
        <w:spacing w:line="240" w:lineRule="auto"/>
        <w:rPr>
          <w:rFonts w:cs="Arial"/>
          <w:b/>
          <w:sz w:val="20"/>
          <w:szCs w:val="20"/>
        </w:rPr>
      </w:pPr>
    </w:p>
    <w:p w:rsidR="006C18A8" w:rsidRPr="006C18A8" w:rsidRDefault="006C18A8" w:rsidP="00BC7BD7">
      <w:pPr>
        <w:spacing w:line="240" w:lineRule="auto"/>
        <w:rPr>
          <w:rFonts w:cs="Arial"/>
          <w:b/>
          <w:sz w:val="20"/>
          <w:szCs w:val="20"/>
        </w:rPr>
      </w:pPr>
    </w:p>
    <w:tbl>
      <w:tblPr>
        <w:tblW w:w="13976" w:type="dxa"/>
        <w:tblInd w:w="55" w:type="dxa"/>
        <w:tblCellMar>
          <w:left w:w="70" w:type="dxa"/>
          <w:right w:w="70" w:type="dxa"/>
        </w:tblCellMar>
        <w:tblLook w:val="04A0" w:firstRow="1" w:lastRow="0" w:firstColumn="1" w:lastColumn="0" w:noHBand="0" w:noVBand="1"/>
      </w:tblPr>
      <w:tblGrid>
        <w:gridCol w:w="2304"/>
        <w:gridCol w:w="1899"/>
        <w:gridCol w:w="1350"/>
        <w:gridCol w:w="1350"/>
        <w:gridCol w:w="854"/>
        <w:gridCol w:w="3312"/>
        <w:gridCol w:w="2907"/>
      </w:tblGrid>
      <w:tr w:rsidR="00DC75F8" w:rsidRPr="006C18A8" w:rsidTr="00DC75F8">
        <w:trPr>
          <w:trHeight w:val="270"/>
        </w:trPr>
        <w:tc>
          <w:tcPr>
            <w:tcW w:w="13976"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C75F8" w:rsidRPr="006C18A8" w:rsidRDefault="00DC75F8" w:rsidP="00DC75F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lastRenderedPageBreak/>
              <w:t>CUENTAS DE INVERSION</w:t>
            </w:r>
          </w:p>
        </w:tc>
      </w:tr>
      <w:tr w:rsidR="00DC75F8" w:rsidRPr="006C18A8" w:rsidTr="00DC75F8">
        <w:trPr>
          <w:trHeight w:val="270"/>
        </w:trPr>
        <w:tc>
          <w:tcPr>
            <w:tcW w:w="2304" w:type="dxa"/>
            <w:tcBorders>
              <w:top w:val="nil"/>
              <w:left w:val="single" w:sz="8" w:space="0" w:color="auto"/>
              <w:bottom w:val="single" w:sz="8" w:space="0" w:color="auto"/>
              <w:right w:val="single" w:sz="8" w:space="0" w:color="auto"/>
            </w:tcBorders>
            <w:shd w:val="clear" w:color="auto" w:fill="auto"/>
            <w:noWrap/>
            <w:vAlign w:val="bottom"/>
            <w:hideMark/>
          </w:tcPr>
          <w:p w:rsidR="00DC75F8" w:rsidRPr="006C18A8" w:rsidRDefault="00DC75F8" w:rsidP="00DC75F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No. Cuenta</w:t>
            </w:r>
          </w:p>
        </w:tc>
        <w:tc>
          <w:tcPr>
            <w:tcW w:w="1899" w:type="dxa"/>
            <w:tcBorders>
              <w:top w:val="nil"/>
              <w:left w:val="nil"/>
              <w:bottom w:val="single" w:sz="8" w:space="0" w:color="auto"/>
              <w:right w:val="single" w:sz="8" w:space="0" w:color="auto"/>
            </w:tcBorders>
            <w:shd w:val="clear" w:color="auto" w:fill="auto"/>
            <w:noWrap/>
            <w:vAlign w:val="bottom"/>
            <w:hideMark/>
          </w:tcPr>
          <w:p w:rsidR="00DC75F8" w:rsidRPr="006C18A8" w:rsidRDefault="00DC75F8" w:rsidP="00DC75F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Banco</w:t>
            </w:r>
          </w:p>
        </w:tc>
        <w:tc>
          <w:tcPr>
            <w:tcW w:w="3554" w:type="dxa"/>
            <w:gridSpan w:val="3"/>
            <w:tcBorders>
              <w:top w:val="single" w:sz="8" w:space="0" w:color="auto"/>
              <w:left w:val="nil"/>
              <w:bottom w:val="single" w:sz="8" w:space="0" w:color="auto"/>
              <w:right w:val="single" w:sz="8" w:space="0" w:color="000000"/>
            </w:tcBorders>
            <w:shd w:val="clear" w:color="auto" w:fill="auto"/>
            <w:noWrap/>
            <w:vAlign w:val="bottom"/>
            <w:hideMark/>
          </w:tcPr>
          <w:p w:rsidR="00DC75F8" w:rsidRPr="006C18A8" w:rsidRDefault="00DC75F8" w:rsidP="00DC75F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Programa</w:t>
            </w:r>
          </w:p>
        </w:tc>
        <w:tc>
          <w:tcPr>
            <w:tcW w:w="3312" w:type="dxa"/>
            <w:tcBorders>
              <w:top w:val="nil"/>
              <w:left w:val="nil"/>
              <w:bottom w:val="single" w:sz="8" w:space="0" w:color="auto"/>
              <w:right w:val="single" w:sz="8" w:space="0" w:color="auto"/>
            </w:tcBorders>
            <w:shd w:val="clear" w:color="auto" w:fill="auto"/>
            <w:noWrap/>
            <w:vAlign w:val="bottom"/>
            <w:hideMark/>
          </w:tcPr>
          <w:p w:rsidR="00DC75F8" w:rsidRPr="006C18A8" w:rsidRDefault="00DC75F8" w:rsidP="00DC75F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Importe</w:t>
            </w:r>
          </w:p>
        </w:tc>
        <w:tc>
          <w:tcPr>
            <w:tcW w:w="2907" w:type="dxa"/>
            <w:tcBorders>
              <w:top w:val="nil"/>
              <w:left w:val="nil"/>
              <w:bottom w:val="single" w:sz="8" w:space="0" w:color="auto"/>
              <w:right w:val="single" w:sz="8" w:space="0" w:color="auto"/>
            </w:tcBorders>
            <w:shd w:val="clear" w:color="auto" w:fill="auto"/>
            <w:noWrap/>
            <w:vAlign w:val="bottom"/>
            <w:hideMark/>
          </w:tcPr>
          <w:p w:rsidR="00DC75F8" w:rsidRPr="006C18A8" w:rsidRDefault="00DC75F8" w:rsidP="00DC75F8">
            <w:pPr>
              <w:spacing w:after="0" w:line="240" w:lineRule="auto"/>
              <w:rPr>
                <w:rFonts w:eastAsia="Times New Roman" w:cs="Arial"/>
                <w:b/>
                <w:bCs/>
                <w:sz w:val="20"/>
                <w:szCs w:val="20"/>
                <w:lang w:eastAsia="es-MX"/>
              </w:rPr>
            </w:pPr>
            <w:r w:rsidRPr="006C18A8">
              <w:rPr>
                <w:rFonts w:eastAsia="Times New Roman" w:cs="Arial"/>
                <w:b/>
                <w:bCs/>
                <w:sz w:val="20"/>
                <w:szCs w:val="20"/>
                <w:lang w:eastAsia="es-MX"/>
              </w:rPr>
              <w:t>Tipo</w:t>
            </w:r>
          </w:p>
        </w:tc>
      </w:tr>
      <w:tr w:rsidR="00DC75F8" w:rsidRPr="006C18A8" w:rsidTr="00DC75F8">
        <w:trPr>
          <w:trHeight w:val="270"/>
        </w:trPr>
        <w:tc>
          <w:tcPr>
            <w:tcW w:w="2304" w:type="dxa"/>
            <w:tcBorders>
              <w:top w:val="nil"/>
              <w:left w:val="single" w:sz="8" w:space="0" w:color="auto"/>
              <w:bottom w:val="single" w:sz="8" w:space="0" w:color="auto"/>
              <w:right w:val="single" w:sz="4" w:space="0" w:color="auto"/>
            </w:tcBorders>
            <w:shd w:val="clear" w:color="auto" w:fill="auto"/>
            <w:noWrap/>
            <w:vAlign w:val="bottom"/>
            <w:hideMark/>
          </w:tcPr>
          <w:p w:rsidR="00DC75F8" w:rsidRPr="006C18A8" w:rsidRDefault="00DC75F8" w:rsidP="00DC75F8">
            <w:pPr>
              <w:spacing w:after="0" w:line="240" w:lineRule="auto"/>
              <w:jc w:val="right"/>
              <w:rPr>
                <w:rFonts w:eastAsia="Times New Roman" w:cs="Arial"/>
                <w:color w:val="000000"/>
                <w:sz w:val="20"/>
                <w:szCs w:val="20"/>
                <w:lang w:eastAsia="es-MX"/>
              </w:rPr>
            </w:pPr>
            <w:r w:rsidRPr="006C18A8">
              <w:rPr>
                <w:rFonts w:eastAsia="Times New Roman" w:cs="Arial"/>
                <w:color w:val="000000"/>
                <w:sz w:val="20"/>
                <w:szCs w:val="20"/>
                <w:lang w:eastAsia="es-MX"/>
              </w:rPr>
              <w:t>2028439516</w:t>
            </w:r>
          </w:p>
        </w:tc>
        <w:tc>
          <w:tcPr>
            <w:tcW w:w="1899" w:type="dxa"/>
            <w:tcBorders>
              <w:top w:val="nil"/>
              <w:left w:val="nil"/>
              <w:bottom w:val="single" w:sz="8" w:space="0" w:color="auto"/>
              <w:right w:val="single" w:sz="4" w:space="0" w:color="auto"/>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r w:rsidRPr="006C18A8">
              <w:rPr>
                <w:rFonts w:eastAsia="Times New Roman" w:cs="Arial"/>
                <w:sz w:val="20"/>
                <w:szCs w:val="20"/>
                <w:lang w:eastAsia="es-MX"/>
              </w:rPr>
              <w:t>Bancomer</w:t>
            </w:r>
          </w:p>
        </w:tc>
        <w:tc>
          <w:tcPr>
            <w:tcW w:w="2700" w:type="dxa"/>
            <w:gridSpan w:val="2"/>
            <w:tcBorders>
              <w:top w:val="single" w:sz="8" w:space="0" w:color="auto"/>
              <w:left w:val="single" w:sz="4" w:space="0" w:color="auto"/>
              <w:bottom w:val="single" w:sz="8" w:space="0" w:color="auto"/>
              <w:right w:val="nil"/>
            </w:tcBorders>
            <w:shd w:val="clear" w:color="auto" w:fill="auto"/>
            <w:noWrap/>
            <w:vAlign w:val="bottom"/>
            <w:hideMark/>
          </w:tcPr>
          <w:p w:rsidR="00DC75F8" w:rsidRPr="006C18A8" w:rsidRDefault="00DC75F8" w:rsidP="00DC75F8">
            <w:pPr>
              <w:spacing w:after="0" w:line="240" w:lineRule="auto"/>
              <w:rPr>
                <w:rFonts w:eastAsia="Times New Roman" w:cs="Arial"/>
                <w:color w:val="000000"/>
                <w:sz w:val="20"/>
                <w:szCs w:val="20"/>
                <w:lang w:eastAsia="es-MX"/>
              </w:rPr>
            </w:pPr>
            <w:r w:rsidRPr="006C18A8">
              <w:rPr>
                <w:rFonts w:eastAsia="Times New Roman" w:cs="Arial"/>
                <w:color w:val="000000"/>
                <w:sz w:val="20"/>
                <w:szCs w:val="20"/>
                <w:lang w:eastAsia="es-MX"/>
              </w:rPr>
              <w:t>Fondo del Empleo</w:t>
            </w:r>
          </w:p>
        </w:tc>
        <w:tc>
          <w:tcPr>
            <w:tcW w:w="854" w:type="dxa"/>
            <w:tcBorders>
              <w:top w:val="nil"/>
              <w:left w:val="nil"/>
              <w:bottom w:val="single" w:sz="8" w:space="0" w:color="auto"/>
              <w:right w:val="single" w:sz="4" w:space="0" w:color="auto"/>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3312" w:type="dxa"/>
            <w:tcBorders>
              <w:top w:val="nil"/>
              <w:left w:val="nil"/>
              <w:bottom w:val="single" w:sz="8" w:space="0" w:color="auto"/>
              <w:right w:val="single" w:sz="4" w:space="0" w:color="auto"/>
            </w:tcBorders>
            <w:shd w:val="clear" w:color="auto" w:fill="auto"/>
            <w:noWrap/>
            <w:vAlign w:val="bottom"/>
            <w:hideMark/>
          </w:tcPr>
          <w:p w:rsidR="00DC75F8" w:rsidRPr="006C18A8" w:rsidRDefault="00DC75F8" w:rsidP="00FD62E7">
            <w:pPr>
              <w:spacing w:after="0" w:line="240" w:lineRule="auto"/>
              <w:rPr>
                <w:rFonts w:eastAsia="Times New Roman" w:cs="Arial"/>
                <w:color w:val="000000"/>
                <w:sz w:val="20"/>
                <w:szCs w:val="20"/>
                <w:lang w:eastAsia="es-MX"/>
              </w:rPr>
            </w:pPr>
            <w:r w:rsidRPr="006C18A8">
              <w:rPr>
                <w:rFonts w:eastAsia="Times New Roman" w:cs="Arial"/>
                <w:color w:val="000000"/>
                <w:sz w:val="20"/>
                <w:szCs w:val="20"/>
                <w:lang w:eastAsia="es-MX"/>
              </w:rPr>
              <w:t xml:space="preserve">        </w:t>
            </w:r>
            <w:r w:rsidR="00FD62E7">
              <w:rPr>
                <w:rFonts w:eastAsia="Times New Roman" w:cs="Arial"/>
                <w:color w:val="000000"/>
                <w:sz w:val="20"/>
                <w:szCs w:val="20"/>
                <w:lang w:eastAsia="es-MX"/>
              </w:rPr>
              <w:t xml:space="preserve">                              9,249,453.94</w:t>
            </w:r>
            <w:r w:rsidRPr="006C18A8">
              <w:rPr>
                <w:rFonts w:eastAsia="Times New Roman" w:cs="Arial"/>
                <w:color w:val="000000"/>
                <w:sz w:val="20"/>
                <w:szCs w:val="20"/>
                <w:lang w:eastAsia="es-MX"/>
              </w:rPr>
              <w:t xml:space="preserve"> </w:t>
            </w:r>
          </w:p>
        </w:tc>
        <w:tc>
          <w:tcPr>
            <w:tcW w:w="2907" w:type="dxa"/>
            <w:tcBorders>
              <w:top w:val="nil"/>
              <w:left w:val="nil"/>
              <w:bottom w:val="single" w:sz="8" w:space="0" w:color="auto"/>
              <w:right w:val="single" w:sz="8" w:space="0" w:color="auto"/>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r w:rsidRPr="006C18A8">
              <w:rPr>
                <w:rFonts w:eastAsia="Times New Roman" w:cs="Arial"/>
                <w:sz w:val="20"/>
                <w:szCs w:val="20"/>
                <w:lang w:eastAsia="es-MX"/>
              </w:rPr>
              <w:t>Mesa de Dinero</w:t>
            </w:r>
          </w:p>
        </w:tc>
      </w:tr>
      <w:tr w:rsidR="00DC75F8" w:rsidRPr="006C18A8" w:rsidTr="00DC75F8">
        <w:trPr>
          <w:trHeight w:val="255"/>
        </w:trPr>
        <w:tc>
          <w:tcPr>
            <w:tcW w:w="2304" w:type="dxa"/>
            <w:tcBorders>
              <w:top w:val="nil"/>
              <w:left w:val="nil"/>
              <w:bottom w:val="nil"/>
              <w:right w:val="nil"/>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p>
        </w:tc>
        <w:tc>
          <w:tcPr>
            <w:tcW w:w="1899" w:type="dxa"/>
            <w:tcBorders>
              <w:top w:val="nil"/>
              <w:left w:val="nil"/>
              <w:bottom w:val="nil"/>
              <w:right w:val="nil"/>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p>
        </w:tc>
        <w:tc>
          <w:tcPr>
            <w:tcW w:w="1350" w:type="dxa"/>
            <w:tcBorders>
              <w:top w:val="nil"/>
              <w:left w:val="nil"/>
              <w:bottom w:val="nil"/>
              <w:right w:val="nil"/>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p>
        </w:tc>
        <w:tc>
          <w:tcPr>
            <w:tcW w:w="1350" w:type="dxa"/>
            <w:tcBorders>
              <w:top w:val="nil"/>
              <w:left w:val="nil"/>
              <w:bottom w:val="nil"/>
              <w:right w:val="nil"/>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p>
        </w:tc>
        <w:tc>
          <w:tcPr>
            <w:tcW w:w="854" w:type="dxa"/>
            <w:tcBorders>
              <w:top w:val="nil"/>
              <w:left w:val="nil"/>
              <w:bottom w:val="nil"/>
              <w:right w:val="nil"/>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p>
        </w:tc>
        <w:tc>
          <w:tcPr>
            <w:tcW w:w="3312" w:type="dxa"/>
            <w:tcBorders>
              <w:top w:val="nil"/>
              <w:left w:val="nil"/>
              <w:bottom w:val="nil"/>
              <w:right w:val="nil"/>
            </w:tcBorders>
            <w:shd w:val="clear" w:color="auto" w:fill="auto"/>
            <w:noWrap/>
            <w:vAlign w:val="bottom"/>
            <w:hideMark/>
          </w:tcPr>
          <w:p w:rsidR="00DC75F8" w:rsidRPr="006C18A8" w:rsidRDefault="00DC75F8" w:rsidP="00FD62E7">
            <w:pPr>
              <w:spacing w:after="0" w:line="240" w:lineRule="auto"/>
              <w:rPr>
                <w:rFonts w:eastAsia="Times New Roman" w:cs="Arial"/>
                <w:b/>
                <w:bCs/>
                <w:sz w:val="20"/>
                <w:szCs w:val="20"/>
                <w:lang w:eastAsia="es-MX"/>
              </w:rPr>
            </w:pPr>
            <w:r w:rsidRPr="006C18A8">
              <w:rPr>
                <w:rFonts w:eastAsia="Times New Roman" w:cs="Arial"/>
                <w:b/>
                <w:bCs/>
                <w:sz w:val="20"/>
                <w:szCs w:val="20"/>
                <w:lang w:eastAsia="es-MX"/>
              </w:rPr>
              <w:t xml:space="preserve">        </w:t>
            </w:r>
            <w:r w:rsidR="00FD62E7">
              <w:rPr>
                <w:rFonts w:eastAsia="Times New Roman" w:cs="Arial"/>
                <w:b/>
                <w:bCs/>
                <w:sz w:val="20"/>
                <w:szCs w:val="20"/>
                <w:lang w:eastAsia="es-MX"/>
              </w:rPr>
              <w:t xml:space="preserve">                              9,249,453.94</w:t>
            </w:r>
            <w:r w:rsidRPr="006C18A8">
              <w:rPr>
                <w:rFonts w:eastAsia="Times New Roman" w:cs="Arial"/>
                <w:b/>
                <w:bCs/>
                <w:sz w:val="20"/>
                <w:szCs w:val="20"/>
                <w:lang w:eastAsia="es-MX"/>
              </w:rPr>
              <w:t xml:space="preserve"> </w:t>
            </w:r>
          </w:p>
        </w:tc>
        <w:tc>
          <w:tcPr>
            <w:tcW w:w="2907" w:type="dxa"/>
            <w:tcBorders>
              <w:top w:val="nil"/>
              <w:left w:val="nil"/>
              <w:bottom w:val="nil"/>
              <w:right w:val="nil"/>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p>
        </w:tc>
      </w:tr>
      <w:tr w:rsidR="00DC75F8" w:rsidRPr="006C18A8" w:rsidTr="00DC75F8">
        <w:trPr>
          <w:trHeight w:val="255"/>
        </w:trPr>
        <w:tc>
          <w:tcPr>
            <w:tcW w:w="2304" w:type="dxa"/>
            <w:tcBorders>
              <w:top w:val="nil"/>
              <w:left w:val="nil"/>
              <w:bottom w:val="nil"/>
              <w:right w:val="nil"/>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p>
        </w:tc>
        <w:tc>
          <w:tcPr>
            <w:tcW w:w="1899" w:type="dxa"/>
            <w:tcBorders>
              <w:top w:val="nil"/>
              <w:left w:val="nil"/>
              <w:bottom w:val="nil"/>
              <w:right w:val="nil"/>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p>
        </w:tc>
        <w:tc>
          <w:tcPr>
            <w:tcW w:w="3554" w:type="dxa"/>
            <w:gridSpan w:val="3"/>
            <w:tcBorders>
              <w:top w:val="nil"/>
              <w:left w:val="nil"/>
              <w:bottom w:val="nil"/>
              <w:right w:val="nil"/>
            </w:tcBorders>
            <w:shd w:val="clear" w:color="auto" w:fill="auto"/>
            <w:noWrap/>
            <w:vAlign w:val="bottom"/>
            <w:hideMark/>
          </w:tcPr>
          <w:p w:rsidR="00DC75F8" w:rsidRPr="006C18A8" w:rsidRDefault="00DC75F8" w:rsidP="00DC75F8">
            <w:pPr>
              <w:spacing w:after="0" w:line="240" w:lineRule="auto"/>
              <w:rPr>
                <w:rFonts w:eastAsia="Times New Roman" w:cs="Arial"/>
                <w:b/>
                <w:bCs/>
                <w:sz w:val="20"/>
                <w:szCs w:val="20"/>
                <w:lang w:eastAsia="es-MX"/>
              </w:rPr>
            </w:pPr>
            <w:r w:rsidRPr="006C18A8">
              <w:rPr>
                <w:rFonts w:eastAsia="Times New Roman" w:cs="Arial"/>
                <w:b/>
                <w:bCs/>
                <w:sz w:val="20"/>
                <w:szCs w:val="20"/>
                <w:lang w:eastAsia="es-MX"/>
              </w:rPr>
              <w:t>TOTAL EFECTIVO Y EQUIVALENTES</w:t>
            </w:r>
          </w:p>
        </w:tc>
        <w:tc>
          <w:tcPr>
            <w:tcW w:w="3312" w:type="dxa"/>
            <w:tcBorders>
              <w:top w:val="nil"/>
              <w:left w:val="nil"/>
              <w:bottom w:val="nil"/>
              <w:right w:val="nil"/>
            </w:tcBorders>
            <w:shd w:val="clear" w:color="auto" w:fill="auto"/>
            <w:noWrap/>
            <w:vAlign w:val="bottom"/>
            <w:hideMark/>
          </w:tcPr>
          <w:p w:rsidR="00DC75F8" w:rsidRPr="006C18A8" w:rsidRDefault="00DC75F8" w:rsidP="00FD62E7">
            <w:pPr>
              <w:spacing w:after="0" w:line="240" w:lineRule="auto"/>
              <w:rPr>
                <w:rFonts w:eastAsia="Times New Roman" w:cs="Arial"/>
                <w:b/>
                <w:bCs/>
                <w:sz w:val="20"/>
                <w:szCs w:val="20"/>
                <w:lang w:eastAsia="es-MX"/>
              </w:rPr>
            </w:pPr>
            <w:r w:rsidRPr="006C18A8">
              <w:rPr>
                <w:rFonts w:eastAsia="Times New Roman" w:cs="Arial"/>
                <w:b/>
                <w:bCs/>
                <w:sz w:val="20"/>
                <w:szCs w:val="20"/>
                <w:lang w:eastAsia="es-MX"/>
              </w:rPr>
              <w:t xml:space="preserve"> </w:t>
            </w:r>
            <w:r w:rsidR="00FD62E7">
              <w:rPr>
                <w:rFonts w:eastAsia="Times New Roman" w:cs="Arial"/>
                <w:b/>
                <w:bCs/>
                <w:sz w:val="20"/>
                <w:szCs w:val="20"/>
                <w:lang w:eastAsia="es-MX"/>
              </w:rPr>
              <w:t xml:space="preserve">                            </w:t>
            </w:r>
            <w:r w:rsidRPr="006C18A8">
              <w:rPr>
                <w:rFonts w:eastAsia="Times New Roman" w:cs="Arial"/>
                <w:b/>
                <w:bCs/>
                <w:sz w:val="20"/>
                <w:szCs w:val="20"/>
                <w:lang w:eastAsia="es-MX"/>
              </w:rPr>
              <w:t xml:space="preserve">$     </w:t>
            </w:r>
            <w:r w:rsidR="00FD62E7">
              <w:rPr>
                <w:rFonts w:eastAsia="Times New Roman" w:cs="Arial"/>
                <w:b/>
                <w:bCs/>
                <w:sz w:val="20"/>
                <w:szCs w:val="20"/>
                <w:lang w:eastAsia="es-MX"/>
              </w:rPr>
              <w:t>10,277,300.67</w:t>
            </w:r>
            <w:r w:rsidRPr="006C18A8">
              <w:rPr>
                <w:rFonts w:eastAsia="Times New Roman" w:cs="Arial"/>
                <w:b/>
                <w:bCs/>
                <w:sz w:val="20"/>
                <w:szCs w:val="20"/>
                <w:lang w:eastAsia="es-MX"/>
              </w:rPr>
              <w:t xml:space="preserve"> </w:t>
            </w:r>
          </w:p>
        </w:tc>
        <w:tc>
          <w:tcPr>
            <w:tcW w:w="2907" w:type="dxa"/>
            <w:tcBorders>
              <w:top w:val="nil"/>
              <w:left w:val="nil"/>
              <w:bottom w:val="nil"/>
              <w:right w:val="nil"/>
            </w:tcBorders>
            <w:shd w:val="clear" w:color="auto" w:fill="auto"/>
            <w:noWrap/>
            <w:vAlign w:val="bottom"/>
            <w:hideMark/>
          </w:tcPr>
          <w:p w:rsidR="00DC75F8" w:rsidRPr="006C18A8" w:rsidRDefault="00DC75F8" w:rsidP="00DC75F8">
            <w:pPr>
              <w:spacing w:after="0" w:line="240" w:lineRule="auto"/>
              <w:rPr>
                <w:rFonts w:eastAsia="Times New Roman" w:cs="Arial"/>
                <w:sz w:val="20"/>
                <w:szCs w:val="20"/>
                <w:lang w:eastAsia="es-MX"/>
              </w:rPr>
            </w:pPr>
          </w:p>
        </w:tc>
      </w:tr>
    </w:tbl>
    <w:p w:rsidR="00DC75F8" w:rsidRPr="006C18A8" w:rsidRDefault="00DC75F8" w:rsidP="00BC7BD7">
      <w:pPr>
        <w:spacing w:line="240" w:lineRule="auto"/>
        <w:rPr>
          <w:rFonts w:cs="Arial"/>
          <w:b/>
          <w:sz w:val="20"/>
          <w:szCs w:val="20"/>
        </w:rPr>
      </w:pPr>
    </w:p>
    <w:tbl>
      <w:tblPr>
        <w:tblW w:w="13620" w:type="dxa"/>
        <w:tblInd w:w="55" w:type="dxa"/>
        <w:tblCellMar>
          <w:left w:w="70" w:type="dxa"/>
          <w:right w:w="70" w:type="dxa"/>
        </w:tblCellMar>
        <w:tblLook w:val="04A0" w:firstRow="1" w:lastRow="0" w:firstColumn="1" w:lastColumn="0" w:noHBand="0" w:noVBand="1"/>
      </w:tblPr>
      <w:tblGrid>
        <w:gridCol w:w="13620"/>
      </w:tblGrid>
      <w:tr w:rsidR="00DC75F8" w:rsidRPr="006C18A8" w:rsidTr="00DC75F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C75F8" w:rsidRPr="006C18A8" w:rsidRDefault="00DC75F8" w:rsidP="00DC75F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NOTA 2</w:t>
            </w:r>
          </w:p>
        </w:tc>
      </w:tr>
      <w:tr w:rsidR="00DC75F8" w:rsidRPr="006C18A8" w:rsidTr="00DC75F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C75F8" w:rsidRPr="006C18A8" w:rsidRDefault="00DC75F8" w:rsidP="00DC75F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DERECHOS A RECIBIR EFECTIVO Y EQUIVALENTES Y BIENES O SERVICIOS A RECIBIR</w:t>
            </w:r>
          </w:p>
        </w:tc>
      </w:tr>
    </w:tbl>
    <w:p w:rsidR="00DC75F8" w:rsidRPr="006C18A8" w:rsidRDefault="00DC75F8" w:rsidP="00BC7BD7">
      <w:pPr>
        <w:spacing w:line="240" w:lineRule="auto"/>
        <w:rPr>
          <w:rFonts w:cs="Arial"/>
          <w:b/>
          <w:sz w:val="20"/>
          <w:szCs w:val="20"/>
        </w:rPr>
      </w:pPr>
    </w:p>
    <w:p w:rsidR="00DC75F8" w:rsidRPr="006C18A8" w:rsidRDefault="00DC75F8" w:rsidP="00DC75F8">
      <w:pPr>
        <w:spacing w:after="0" w:line="240" w:lineRule="auto"/>
        <w:rPr>
          <w:rFonts w:eastAsia="Times New Roman" w:cs="Arial"/>
          <w:sz w:val="20"/>
          <w:szCs w:val="20"/>
          <w:lang w:eastAsia="es-MX"/>
        </w:rPr>
      </w:pPr>
      <w:r w:rsidRPr="006C18A8">
        <w:rPr>
          <w:rFonts w:eastAsia="Times New Roman" w:cs="Arial"/>
          <w:sz w:val="20"/>
          <w:szCs w:val="20"/>
          <w:lang w:eastAsia="es-MX"/>
        </w:rPr>
        <w:t xml:space="preserve">Este rubro es integrado por </w:t>
      </w:r>
      <w:proofErr w:type="gramStart"/>
      <w:r w:rsidRPr="006C18A8">
        <w:rPr>
          <w:rFonts w:eastAsia="Times New Roman" w:cs="Arial"/>
          <w:sz w:val="20"/>
          <w:szCs w:val="20"/>
          <w:lang w:eastAsia="es-MX"/>
        </w:rPr>
        <w:t>las cuenta</w:t>
      </w:r>
      <w:proofErr w:type="gramEnd"/>
      <w:r w:rsidRPr="006C18A8">
        <w:rPr>
          <w:rFonts w:eastAsia="Times New Roman" w:cs="Arial"/>
          <w:sz w:val="20"/>
          <w:szCs w:val="20"/>
          <w:lang w:eastAsia="es-MX"/>
        </w:rPr>
        <w:t xml:space="preserve"> en las que se registran todos los </w:t>
      </w:r>
      <w:r w:rsidR="00FC5485" w:rsidRPr="006C18A8">
        <w:rPr>
          <w:rFonts w:eastAsia="Times New Roman" w:cs="Arial"/>
          <w:sz w:val="20"/>
          <w:szCs w:val="20"/>
          <w:lang w:eastAsia="es-MX"/>
        </w:rPr>
        <w:t>préstamos</w:t>
      </w:r>
      <w:r w:rsidRPr="006C18A8">
        <w:rPr>
          <w:rFonts w:eastAsia="Times New Roman" w:cs="Arial"/>
          <w:sz w:val="20"/>
          <w:szCs w:val="20"/>
          <w:lang w:eastAsia="es-MX"/>
        </w:rPr>
        <w:t xml:space="preserve">, </w:t>
      </w:r>
      <w:r w:rsidR="00FC5485" w:rsidRPr="006C18A8">
        <w:rPr>
          <w:rFonts w:eastAsia="Times New Roman" w:cs="Arial"/>
          <w:sz w:val="20"/>
          <w:szCs w:val="20"/>
          <w:lang w:eastAsia="es-MX"/>
        </w:rPr>
        <w:t>créditos</w:t>
      </w:r>
      <w:r w:rsidRPr="006C18A8">
        <w:rPr>
          <w:rFonts w:eastAsia="Times New Roman" w:cs="Arial"/>
          <w:sz w:val="20"/>
          <w:szCs w:val="20"/>
          <w:lang w:eastAsia="es-MX"/>
        </w:rPr>
        <w:t xml:space="preserve"> y adelantos que se les da a terceros integrado de la siguiente manera:</w:t>
      </w:r>
    </w:p>
    <w:p w:rsidR="00FC5485" w:rsidRPr="006C18A8" w:rsidRDefault="00FC5485" w:rsidP="00DC75F8">
      <w:pPr>
        <w:spacing w:after="0" w:line="240" w:lineRule="auto"/>
        <w:rPr>
          <w:rFonts w:eastAsia="Times New Roman" w:cs="Arial"/>
          <w:sz w:val="20"/>
          <w:szCs w:val="20"/>
          <w:lang w:eastAsia="es-MX"/>
        </w:rPr>
      </w:pPr>
    </w:p>
    <w:tbl>
      <w:tblPr>
        <w:tblW w:w="11786" w:type="dxa"/>
        <w:tblInd w:w="55" w:type="dxa"/>
        <w:tblCellMar>
          <w:left w:w="70" w:type="dxa"/>
          <w:right w:w="70" w:type="dxa"/>
        </w:tblCellMar>
        <w:tblLook w:val="04A0" w:firstRow="1" w:lastRow="0" w:firstColumn="1" w:lastColumn="0" w:noHBand="0" w:noVBand="1"/>
      </w:tblPr>
      <w:tblGrid>
        <w:gridCol w:w="3935"/>
        <w:gridCol w:w="1321"/>
        <w:gridCol w:w="1321"/>
        <w:gridCol w:w="277"/>
        <w:gridCol w:w="277"/>
        <w:gridCol w:w="4655"/>
      </w:tblGrid>
      <w:tr w:rsidR="00FC5485" w:rsidRPr="006C18A8" w:rsidTr="00FC5485">
        <w:trPr>
          <w:trHeight w:val="270"/>
        </w:trPr>
        <w:tc>
          <w:tcPr>
            <w:tcW w:w="1178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C5485" w:rsidRPr="006C18A8" w:rsidRDefault="00FC5485" w:rsidP="00FC5485">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CUENTAS DE CHEQUES</w:t>
            </w:r>
          </w:p>
        </w:tc>
      </w:tr>
      <w:tr w:rsidR="00FC5485" w:rsidRPr="006C18A8" w:rsidTr="00FC5485">
        <w:trPr>
          <w:trHeight w:val="270"/>
        </w:trPr>
        <w:tc>
          <w:tcPr>
            <w:tcW w:w="3935" w:type="dxa"/>
            <w:tcBorders>
              <w:top w:val="nil"/>
              <w:left w:val="single" w:sz="8" w:space="0" w:color="auto"/>
              <w:bottom w:val="single" w:sz="8" w:space="0" w:color="auto"/>
              <w:right w:val="single" w:sz="8" w:space="0" w:color="auto"/>
            </w:tcBorders>
            <w:shd w:val="clear" w:color="auto" w:fill="auto"/>
            <w:noWrap/>
            <w:vAlign w:val="bottom"/>
            <w:hideMark/>
          </w:tcPr>
          <w:p w:rsidR="00FC5485" w:rsidRPr="006C18A8" w:rsidRDefault="00FC5485" w:rsidP="00FC5485">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No. Cuenta</w:t>
            </w:r>
          </w:p>
        </w:tc>
        <w:tc>
          <w:tcPr>
            <w:tcW w:w="319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FC5485" w:rsidRPr="006C18A8" w:rsidRDefault="00FC5485" w:rsidP="00FC5485">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Nombre</w:t>
            </w:r>
          </w:p>
        </w:tc>
        <w:tc>
          <w:tcPr>
            <w:tcW w:w="4655" w:type="dxa"/>
            <w:tcBorders>
              <w:top w:val="nil"/>
              <w:left w:val="nil"/>
              <w:bottom w:val="single" w:sz="8" w:space="0" w:color="auto"/>
              <w:right w:val="single" w:sz="8" w:space="0" w:color="auto"/>
            </w:tcBorders>
            <w:shd w:val="clear" w:color="auto" w:fill="auto"/>
            <w:noWrap/>
            <w:vAlign w:val="bottom"/>
            <w:hideMark/>
          </w:tcPr>
          <w:p w:rsidR="00FC5485" w:rsidRPr="006C18A8" w:rsidRDefault="00FC5485" w:rsidP="00FC5485">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Importe</w:t>
            </w:r>
          </w:p>
        </w:tc>
      </w:tr>
      <w:tr w:rsidR="00FC5485" w:rsidRPr="006C18A8" w:rsidTr="00FC5485">
        <w:trPr>
          <w:trHeight w:val="300"/>
        </w:trPr>
        <w:tc>
          <w:tcPr>
            <w:tcW w:w="3935" w:type="dxa"/>
            <w:tcBorders>
              <w:top w:val="nil"/>
              <w:left w:val="single" w:sz="8" w:space="0" w:color="auto"/>
              <w:bottom w:val="single" w:sz="4" w:space="0" w:color="auto"/>
              <w:right w:val="single" w:sz="4" w:space="0" w:color="auto"/>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1-1-2-6-00-0000</w:t>
            </w:r>
          </w:p>
        </w:tc>
        <w:tc>
          <w:tcPr>
            <w:tcW w:w="2642" w:type="dxa"/>
            <w:gridSpan w:val="2"/>
            <w:tcBorders>
              <w:top w:val="single" w:sz="8" w:space="0" w:color="auto"/>
              <w:left w:val="single" w:sz="4" w:space="0" w:color="auto"/>
              <w:bottom w:val="single" w:sz="4" w:space="0" w:color="auto"/>
              <w:right w:val="nil"/>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PRESTAMOS OTORGADOS</w:t>
            </w:r>
          </w:p>
        </w:tc>
        <w:tc>
          <w:tcPr>
            <w:tcW w:w="277" w:type="dxa"/>
            <w:tcBorders>
              <w:top w:val="nil"/>
              <w:left w:val="nil"/>
              <w:bottom w:val="single" w:sz="4" w:space="0" w:color="auto"/>
              <w:right w:val="nil"/>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277" w:type="dxa"/>
            <w:tcBorders>
              <w:top w:val="nil"/>
              <w:left w:val="nil"/>
              <w:bottom w:val="single" w:sz="4" w:space="0" w:color="auto"/>
              <w:right w:val="single" w:sz="4" w:space="0" w:color="auto"/>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4655" w:type="dxa"/>
            <w:tcBorders>
              <w:top w:val="nil"/>
              <w:left w:val="nil"/>
              <w:bottom w:val="single" w:sz="4" w:space="0" w:color="auto"/>
              <w:right w:val="single" w:sz="8" w:space="0" w:color="auto"/>
            </w:tcBorders>
            <w:shd w:val="clear" w:color="auto" w:fill="auto"/>
            <w:noWrap/>
            <w:vAlign w:val="bottom"/>
            <w:hideMark/>
          </w:tcPr>
          <w:p w:rsidR="00FC5485" w:rsidRPr="006C18A8" w:rsidRDefault="00FC5485" w:rsidP="00FD62E7">
            <w:pPr>
              <w:spacing w:after="0" w:line="240" w:lineRule="auto"/>
              <w:jc w:val="right"/>
              <w:rPr>
                <w:rFonts w:eastAsia="Times New Roman" w:cs="Arial"/>
                <w:color w:val="000000"/>
                <w:lang w:eastAsia="es-MX"/>
              </w:rPr>
            </w:pPr>
            <w:r w:rsidRPr="006C18A8">
              <w:rPr>
                <w:rFonts w:eastAsia="Times New Roman" w:cs="Arial"/>
                <w:color w:val="000000"/>
                <w:lang w:eastAsia="es-MX"/>
              </w:rPr>
              <w:t xml:space="preserve">          </w:t>
            </w:r>
            <w:r w:rsidR="00FD62E7">
              <w:rPr>
                <w:rFonts w:eastAsia="Times New Roman" w:cs="Arial"/>
                <w:color w:val="000000"/>
                <w:lang w:eastAsia="es-MX"/>
              </w:rPr>
              <w:t xml:space="preserve">                                                                             </w:t>
            </w:r>
            <w:r w:rsidRPr="006C18A8">
              <w:rPr>
                <w:rFonts w:eastAsia="Times New Roman" w:cs="Arial"/>
                <w:color w:val="000000"/>
                <w:lang w:eastAsia="es-MX"/>
              </w:rPr>
              <w:t xml:space="preserve"> </w:t>
            </w:r>
            <w:r w:rsidR="00FD62E7">
              <w:rPr>
                <w:rFonts w:eastAsia="Times New Roman" w:cs="Arial"/>
                <w:color w:val="000000"/>
                <w:lang w:eastAsia="es-MX"/>
              </w:rPr>
              <w:t xml:space="preserve">                       6,065,019.79</w:t>
            </w:r>
          </w:p>
        </w:tc>
      </w:tr>
      <w:tr w:rsidR="00FC5485" w:rsidRPr="006C18A8" w:rsidTr="00FC5485">
        <w:trPr>
          <w:trHeight w:val="270"/>
        </w:trPr>
        <w:tc>
          <w:tcPr>
            <w:tcW w:w="3935" w:type="dxa"/>
            <w:tcBorders>
              <w:top w:val="nil"/>
              <w:left w:val="single" w:sz="8" w:space="0" w:color="auto"/>
              <w:bottom w:val="single" w:sz="8" w:space="0" w:color="auto"/>
              <w:right w:val="single" w:sz="4" w:space="0" w:color="auto"/>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1-1-2-3-00-0000</w:t>
            </w:r>
          </w:p>
        </w:tc>
        <w:tc>
          <w:tcPr>
            <w:tcW w:w="2642" w:type="dxa"/>
            <w:gridSpan w:val="2"/>
            <w:tcBorders>
              <w:top w:val="single" w:sz="4" w:space="0" w:color="auto"/>
              <w:left w:val="single" w:sz="4" w:space="0" w:color="auto"/>
              <w:bottom w:val="single" w:sz="8" w:space="0" w:color="auto"/>
              <w:right w:val="nil"/>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DEUDORES DIVERSOS</w:t>
            </w:r>
          </w:p>
        </w:tc>
        <w:tc>
          <w:tcPr>
            <w:tcW w:w="277" w:type="dxa"/>
            <w:tcBorders>
              <w:top w:val="nil"/>
              <w:left w:val="nil"/>
              <w:bottom w:val="single" w:sz="8" w:space="0" w:color="auto"/>
              <w:right w:val="nil"/>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277" w:type="dxa"/>
            <w:tcBorders>
              <w:top w:val="nil"/>
              <w:left w:val="nil"/>
              <w:bottom w:val="single" w:sz="8" w:space="0" w:color="auto"/>
              <w:right w:val="single" w:sz="4" w:space="0" w:color="auto"/>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4655" w:type="dxa"/>
            <w:tcBorders>
              <w:top w:val="nil"/>
              <w:left w:val="nil"/>
              <w:bottom w:val="single" w:sz="8" w:space="0" w:color="auto"/>
              <w:right w:val="single" w:sz="8" w:space="0" w:color="auto"/>
            </w:tcBorders>
            <w:shd w:val="clear" w:color="auto" w:fill="auto"/>
            <w:noWrap/>
            <w:vAlign w:val="bottom"/>
            <w:hideMark/>
          </w:tcPr>
          <w:p w:rsidR="00FC5485" w:rsidRPr="006C18A8" w:rsidRDefault="00FD62E7" w:rsidP="00FC5485">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31,582,862.03</w:t>
            </w:r>
            <w:r w:rsidR="00FC5485" w:rsidRPr="006C18A8">
              <w:rPr>
                <w:rFonts w:eastAsia="Times New Roman" w:cs="Arial"/>
                <w:color w:val="000000"/>
                <w:sz w:val="20"/>
                <w:szCs w:val="20"/>
                <w:lang w:eastAsia="es-MX"/>
              </w:rPr>
              <w:t xml:space="preserve"> </w:t>
            </w:r>
          </w:p>
        </w:tc>
      </w:tr>
      <w:tr w:rsidR="00FC5485" w:rsidRPr="006C18A8" w:rsidTr="00FC5485">
        <w:trPr>
          <w:trHeight w:val="255"/>
        </w:trPr>
        <w:tc>
          <w:tcPr>
            <w:tcW w:w="3935" w:type="dxa"/>
            <w:tcBorders>
              <w:top w:val="nil"/>
              <w:left w:val="nil"/>
              <w:bottom w:val="nil"/>
              <w:right w:val="nil"/>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p>
        </w:tc>
        <w:tc>
          <w:tcPr>
            <w:tcW w:w="1321" w:type="dxa"/>
            <w:tcBorders>
              <w:top w:val="nil"/>
              <w:left w:val="nil"/>
              <w:bottom w:val="nil"/>
              <w:right w:val="nil"/>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p>
        </w:tc>
        <w:tc>
          <w:tcPr>
            <w:tcW w:w="1321" w:type="dxa"/>
            <w:tcBorders>
              <w:top w:val="nil"/>
              <w:left w:val="nil"/>
              <w:bottom w:val="nil"/>
              <w:right w:val="nil"/>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p>
        </w:tc>
        <w:tc>
          <w:tcPr>
            <w:tcW w:w="277" w:type="dxa"/>
            <w:tcBorders>
              <w:top w:val="nil"/>
              <w:left w:val="nil"/>
              <w:bottom w:val="nil"/>
              <w:right w:val="nil"/>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p>
        </w:tc>
        <w:tc>
          <w:tcPr>
            <w:tcW w:w="277" w:type="dxa"/>
            <w:tcBorders>
              <w:top w:val="nil"/>
              <w:left w:val="nil"/>
              <w:bottom w:val="nil"/>
              <w:right w:val="nil"/>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p>
        </w:tc>
        <w:tc>
          <w:tcPr>
            <w:tcW w:w="4655" w:type="dxa"/>
            <w:tcBorders>
              <w:top w:val="nil"/>
              <w:left w:val="nil"/>
              <w:bottom w:val="nil"/>
              <w:right w:val="nil"/>
            </w:tcBorders>
            <w:shd w:val="clear" w:color="auto" w:fill="auto"/>
            <w:noWrap/>
            <w:vAlign w:val="bottom"/>
            <w:hideMark/>
          </w:tcPr>
          <w:p w:rsidR="00FC5485" w:rsidRPr="006C18A8" w:rsidRDefault="00FC5485" w:rsidP="00FD62E7">
            <w:pPr>
              <w:spacing w:after="0" w:line="240" w:lineRule="auto"/>
              <w:rPr>
                <w:rFonts w:eastAsia="Times New Roman" w:cs="Arial"/>
                <w:b/>
                <w:bCs/>
                <w:sz w:val="20"/>
                <w:szCs w:val="20"/>
                <w:lang w:eastAsia="es-MX"/>
              </w:rPr>
            </w:pPr>
            <w:r w:rsidRPr="006C18A8">
              <w:rPr>
                <w:rFonts w:eastAsia="Times New Roman" w:cs="Arial"/>
                <w:b/>
                <w:bCs/>
                <w:sz w:val="20"/>
                <w:szCs w:val="20"/>
                <w:lang w:eastAsia="es-MX"/>
              </w:rPr>
              <w:t xml:space="preserve">      </w:t>
            </w:r>
            <w:r w:rsidR="00FD62E7">
              <w:rPr>
                <w:rFonts w:eastAsia="Times New Roman" w:cs="Arial"/>
                <w:b/>
                <w:bCs/>
                <w:sz w:val="20"/>
                <w:szCs w:val="20"/>
                <w:lang w:eastAsia="es-MX"/>
              </w:rPr>
              <w:t xml:space="preserve">                                                                   37,647,881.82</w:t>
            </w:r>
            <w:r w:rsidRPr="006C18A8">
              <w:rPr>
                <w:rFonts w:eastAsia="Times New Roman" w:cs="Arial"/>
                <w:b/>
                <w:bCs/>
                <w:sz w:val="20"/>
                <w:szCs w:val="20"/>
                <w:lang w:eastAsia="es-MX"/>
              </w:rPr>
              <w:t xml:space="preserve"> </w:t>
            </w:r>
          </w:p>
        </w:tc>
      </w:tr>
    </w:tbl>
    <w:p w:rsidR="00FC5485" w:rsidRPr="006C18A8" w:rsidRDefault="00FC5485" w:rsidP="00FC5485">
      <w:pPr>
        <w:spacing w:after="0" w:line="240" w:lineRule="auto"/>
        <w:rPr>
          <w:rFonts w:eastAsia="Times New Roman" w:cs="Arial"/>
          <w:sz w:val="20"/>
          <w:szCs w:val="20"/>
          <w:lang w:eastAsia="es-MX"/>
        </w:rPr>
      </w:pPr>
    </w:p>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El importe de la cartera de créditos otorgados (1-1-2-6-00-0000) el 76% está integrado por todos los créditos entregados antes del ejercicio 2002, todos ellos ya con más de 13 años vencidos, con una recaudación muy baja y todos realizando abonos parciales a sus adeudos. El 24% restante está integrado por 4 créditos que se entregaron en los meses de noviembre y diciembre de 2016, de esta manera se reactivó el Fondo por lo que a la entrega de créditos se refiere, después de más de 14 años sin otorgarlos.</w:t>
      </w:r>
    </w:p>
    <w:p w:rsidR="00DC75F8" w:rsidRPr="006C18A8" w:rsidRDefault="00DC75F8" w:rsidP="00BC7BD7">
      <w:pPr>
        <w:spacing w:line="240" w:lineRule="auto"/>
        <w:rPr>
          <w:rFonts w:cs="Arial"/>
          <w:b/>
          <w:sz w:val="20"/>
          <w:szCs w:val="20"/>
        </w:rPr>
      </w:pPr>
    </w:p>
    <w:p w:rsidR="00FC5485" w:rsidRPr="006C18A8" w:rsidRDefault="00FC5485" w:rsidP="00BC7BD7">
      <w:pPr>
        <w:spacing w:line="240" w:lineRule="auto"/>
        <w:rPr>
          <w:rFonts w:cs="Arial"/>
          <w:b/>
          <w:sz w:val="20"/>
          <w:szCs w:val="20"/>
        </w:rPr>
      </w:pPr>
    </w:p>
    <w:p w:rsidR="00223388" w:rsidRPr="006C18A8" w:rsidRDefault="00223388" w:rsidP="00FC5485">
      <w:pPr>
        <w:spacing w:after="0" w:line="240" w:lineRule="auto"/>
        <w:rPr>
          <w:rFonts w:cs="Arial"/>
          <w:b/>
          <w:sz w:val="20"/>
          <w:szCs w:val="20"/>
        </w:rPr>
      </w:pPr>
    </w:p>
    <w:p w:rsidR="006C18A8" w:rsidRDefault="006C18A8" w:rsidP="00FC5485">
      <w:pPr>
        <w:spacing w:after="0" w:line="240" w:lineRule="auto"/>
        <w:rPr>
          <w:rFonts w:eastAsia="Times New Roman" w:cs="Arial"/>
          <w:sz w:val="20"/>
          <w:szCs w:val="20"/>
          <w:lang w:eastAsia="es-MX"/>
        </w:rPr>
      </w:pPr>
    </w:p>
    <w:p w:rsidR="006C18A8" w:rsidRDefault="006C18A8" w:rsidP="00FC5485">
      <w:pPr>
        <w:spacing w:after="0" w:line="240" w:lineRule="auto"/>
        <w:rPr>
          <w:rFonts w:eastAsia="Times New Roman" w:cs="Arial"/>
          <w:sz w:val="20"/>
          <w:szCs w:val="20"/>
          <w:lang w:eastAsia="es-MX"/>
        </w:rPr>
      </w:pPr>
    </w:p>
    <w:p w:rsidR="00FC5485"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 xml:space="preserve">El saldo de $ 31'582,862.03, que se presenta en la cuenta 1-1-2-3-00-0000 de Deudores Diversos </w:t>
      </w:r>
      <w:r w:rsidR="006C18A8" w:rsidRPr="006C18A8">
        <w:rPr>
          <w:rFonts w:eastAsia="Times New Roman" w:cs="Arial"/>
          <w:sz w:val="20"/>
          <w:szCs w:val="20"/>
          <w:lang w:eastAsia="es-MX"/>
        </w:rPr>
        <w:t>está</w:t>
      </w:r>
      <w:r w:rsidRPr="006C18A8">
        <w:rPr>
          <w:rFonts w:eastAsia="Times New Roman" w:cs="Arial"/>
          <w:sz w:val="20"/>
          <w:szCs w:val="20"/>
          <w:lang w:eastAsia="es-MX"/>
        </w:rPr>
        <w:t xml:space="preserve"> </w:t>
      </w:r>
      <w:proofErr w:type="gramStart"/>
      <w:r w:rsidRPr="006C18A8">
        <w:rPr>
          <w:rFonts w:eastAsia="Times New Roman" w:cs="Arial"/>
          <w:sz w:val="20"/>
          <w:szCs w:val="20"/>
          <w:lang w:eastAsia="es-MX"/>
        </w:rPr>
        <w:t>integrada</w:t>
      </w:r>
      <w:proofErr w:type="gramEnd"/>
      <w:r w:rsidRPr="006C18A8">
        <w:rPr>
          <w:rFonts w:eastAsia="Times New Roman" w:cs="Arial"/>
          <w:sz w:val="20"/>
          <w:szCs w:val="20"/>
          <w:lang w:eastAsia="es-MX"/>
        </w:rPr>
        <w:t xml:space="preserve"> de la siguiente manera:</w:t>
      </w:r>
    </w:p>
    <w:p w:rsidR="006C18A8" w:rsidRPr="006C18A8" w:rsidRDefault="006C18A8" w:rsidP="00FC5485">
      <w:pPr>
        <w:spacing w:after="0" w:line="240" w:lineRule="auto"/>
        <w:rPr>
          <w:rFonts w:eastAsia="Times New Roman" w:cs="Arial"/>
          <w:sz w:val="20"/>
          <w:szCs w:val="20"/>
          <w:lang w:eastAsia="es-MX"/>
        </w:rPr>
      </w:pPr>
    </w:p>
    <w:p w:rsidR="00FC5485" w:rsidRPr="006C18A8" w:rsidRDefault="00FC5485" w:rsidP="00BC7BD7">
      <w:pPr>
        <w:spacing w:line="240" w:lineRule="auto"/>
        <w:rPr>
          <w:rFonts w:cs="Arial"/>
          <w:b/>
          <w:sz w:val="20"/>
          <w:szCs w:val="20"/>
        </w:rPr>
      </w:pPr>
    </w:p>
    <w:tbl>
      <w:tblPr>
        <w:tblW w:w="9855" w:type="dxa"/>
        <w:tblInd w:w="55" w:type="dxa"/>
        <w:tblCellMar>
          <w:left w:w="70" w:type="dxa"/>
          <w:right w:w="70" w:type="dxa"/>
        </w:tblCellMar>
        <w:tblLook w:val="04A0" w:firstRow="1" w:lastRow="0" w:firstColumn="1" w:lastColumn="0" w:noHBand="0" w:noVBand="1"/>
      </w:tblPr>
      <w:tblGrid>
        <w:gridCol w:w="1587"/>
        <w:gridCol w:w="1177"/>
        <w:gridCol w:w="1177"/>
        <w:gridCol w:w="2087"/>
        <w:gridCol w:w="2087"/>
        <w:gridCol w:w="1740"/>
      </w:tblGrid>
      <w:tr w:rsidR="00FC5485" w:rsidRPr="006C18A8" w:rsidTr="00FC5485">
        <w:trPr>
          <w:trHeight w:val="270"/>
        </w:trPr>
        <w:tc>
          <w:tcPr>
            <w:tcW w:w="15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5485" w:rsidRPr="006C18A8" w:rsidRDefault="00FC5485" w:rsidP="00FC5485">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No. Cuenta</w:t>
            </w:r>
          </w:p>
        </w:tc>
        <w:tc>
          <w:tcPr>
            <w:tcW w:w="652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FC5485" w:rsidRPr="006C18A8" w:rsidRDefault="00FC5485" w:rsidP="00FC5485">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Nombre</w:t>
            </w:r>
          </w:p>
        </w:tc>
        <w:tc>
          <w:tcPr>
            <w:tcW w:w="1740" w:type="dxa"/>
            <w:tcBorders>
              <w:top w:val="single" w:sz="8" w:space="0" w:color="auto"/>
              <w:left w:val="nil"/>
              <w:bottom w:val="single" w:sz="8" w:space="0" w:color="auto"/>
              <w:right w:val="single" w:sz="8" w:space="0" w:color="auto"/>
            </w:tcBorders>
            <w:shd w:val="clear" w:color="auto" w:fill="auto"/>
            <w:noWrap/>
            <w:vAlign w:val="bottom"/>
            <w:hideMark/>
          </w:tcPr>
          <w:p w:rsidR="00FC5485" w:rsidRPr="006C18A8" w:rsidRDefault="00FC5485" w:rsidP="00FC5485">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Importe</w:t>
            </w:r>
          </w:p>
        </w:tc>
      </w:tr>
      <w:tr w:rsidR="00FC5485" w:rsidRPr="006C18A8" w:rsidTr="00FC5485">
        <w:trPr>
          <w:trHeight w:val="300"/>
        </w:trPr>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1-1-2-3-01-00001</w:t>
            </w:r>
          </w:p>
        </w:tc>
        <w:tc>
          <w:tcPr>
            <w:tcW w:w="2354" w:type="dxa"/>
            <w:gridSpan w:val="2"/>
            <w:tcBorders>
              <w:top w:val="single" w:sz="8" w:space="0" w:color="auto"/>
              <w:left w:val="single" w:sz="4" w:space="0" w:color="auto"/>
              <w:bottom w:val="single" w:sz="4" w:space="0" w:color="auto"/>
              <w:right w:val="nil"/>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proofErr w:type="spellStart"/>
            <w:r w:rsidRPr="006C18A8">
              <w:rPr>
                <w:rFonts w:eastAsia="Times New Roman" w:cs="Arial"/>
                <w:sz w:val="20"/>
                <w:szCs w:val="20"/>
                <w:lang w:eastAsia="es-MX"/>
              </w:rPr>
              <w:t>Nafin</w:t>
            </w:r>
            <w:proofErr w:type="spellEnd"/>
            <w:r w:rsidRPr="006C18A8">
              <w:rPr>
                <w:rFonts w:eastAsia="Times New Roman" w:cs="Arial"/>
                <w:sz w:val="20"/>
                <w:szCs w:val="20"/>
                <w:lang w:eastAsia="es-MX"/>
              </w:rPr>
              <w:t>, S.A. ( FIDEY ) *</w:t>
            </w:r>
          </w:p>
        </w:tc>
        <w:tc>
          <w:tcPr>
            <w:tcW w:w="2087" w:type="dxa"/>
            <w:tcBorders>
              <w:top w:val="nil"/>
              <w:left w:val="nil"/>
              <w:bottom w:val="single" w:sz="4" w:space="0" w:color="auto"/>
              <w:right w:val="nil"/>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2087" w:type="dxa"/>
            <w:tcBorders>
              <w:top w:val="nil"/>
              <w:left w:val="nil"/>
              <w:bottom w:val="single" w:sz="4" w:space="0" w:color="auto"/>
              <w:right w:val="single" w:sz="4" w:space="0" w:color="auto"/>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1740" w:type="dxa"/>
            <w:tcBorders>
              <w:top w:val="nil"/>
              <w:left w:val="nil"/>
              <w:bottom w:val="single" w:sz="4" w:space="0" w:color="auto"/>
              <w:right w:val="single" w:sz="8" w:space="0" w:color="auto"/>
            </w:tcBorders>
            <w:shd w:val="clear" w:color="auto" w:fill="auto"/>
            <w:noWrap/>
            <w:vAlign w:val="bottom"/>
            <w:hideMark/>
          </w:tcPr>
          <w:p w:rsidR="00FC5485" w:rsidRPr="006C18A8" w:rsidRDefault="00FC5485" w:rsidP="00DA7DA6">
            <w:pPr>
              <w:spacing w:after="0" w:line="240" w:lineRule="auto"/>
              <w:jc w:val="right"/>
              <w:rPr>
                <w:rFonts w:eastAsia="Times New Roman" w:cs="Arial"/>
                <w:color w:val="000000"/>
                <w:lang w:eastAsia="es-MX"/>
              </w:rPr>
            </w:pPr>
            <w:r w:rsidRPr="006C18A8">
              <w:rPr>
                <w:rFonts w:eastAsia="Times New Roman" w:cs="Arial"/>
                <w:color w:val="000000"/>
                <w:lang w:eastAsia="es-MX"/>
              </w:rPr>
              <w:t xml:space="preserve">        </w:t>
            </w:r>
            <w:r w:rsidR="00DA7DA6">
              <w:rPr>
                <w:rFonts w:eastAsia="Times New Roman" w:cs="Arial"/>
                <w:color w:val="000000"/>
                <w:lang w:eastAsia="es-MX"/>
              </w:rPr>
              <w:t xml:space="preserve">  </w:t>
            </w:r>
            <w:r w:rsidRPr="006C18A8">
              <w:rPr>
                <w:rFonts w:eastAsia="Times New Roman" w:cs="Arial"/>
                <w:color w:val="000000"/>
                <w:lang w:eastAsia="es-MX"/>
              </w:rPr>
              <w:t xml:space="preserve">24,867,142.55 </w:t>
            </w:r>
          </w:p>
        </w:tc>
      </w:tr>
      <w:tr w:rsidR="00FC5485" w:rsidRPr="006C18A8" w:rsidTr="00FC5485">
        <w:trPr>
          <w:trHeight w:val="300"/>
        </w:trPr>
        <w:tc>
          <w:tcPr>
            <w:tcW w:w="1587" w:type="dxa"/>
            <w:tcBorders>
              <w:top w:val="nil"/>
              <w:left w:val="single" w:sz="8" w:space="0" w:color="auto"/>
              <w:bottom w:val="single" w:sz="4" w:space="0" w:color="auto"/>
              <w:right w:val="single" w:sz="4" w:space="0" w:color="auto"/>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1-1-2-3-01-00002</w:t>
            </w:r>
          </w:p>
        </w:tc>
        <w:tc>
          <w:tcPr>
            <w:tcW w:w="4441" w:type="dxa"/>
            <w:gridSpan w:val="3"/>
            <w:tcBorders>
              <w:top w:val="single" w:sz="4" w:space="0" w:color="auto"/>
              <w:left w:val="single" w:sz="4" w:space="0" w:color="auto"/>
              <w:bottom w:val="single" w:sz="4" w:space="0" w:color="auto"/>
              <w:right w:val="nil"/>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 xml:space="preserve">Casa de Bolsa </w:t>
            </w:r>
            <w:proofErr w:type="spellStart"/>
            <w:r w:rsidRPr="006C18A8">
              <w:rPr>
                <w:rFonts w:eastAsia="Times New Roman" w:cs="Arial"/>
                <w:sz w:val="20"/>
                <w:szCs w:val="20"/>
                <w:lang w:eastAsia="es-MX"/>
              </w:rPr>
              <w:t>Actinver</w:t>
            </w:r>
            <w:proofErr w:type="spellEnd"/>
            <w:r w:rsidRPr="006C18A8">
              <w:rPr>
                <w:rFonts w:eastAsia="Times New Roman" w:cs="Arial"/>
                <w:sz w:val="20"/>
                <w:szCs w:val="20"/>
                <w:lang w:eastAsia="es-MX"/>
              </w:rPr>
              <w:t>, S.A. de C.V. **</w:t>
            </w:r>
          </w:p>
        </w:tc>
        <w:tc>
          <w:tcPr>
            <w:tcW w:w="2087" w:type="dxa"/>
            <w:tcBorders>
              <w:top w:val="nil"/>
              <w:left w:val="nil"/>
              <w:bottom w:val="single" w:sz="4" w:space="0" w:color="auto"/>
              <w:right w:val="single" w:sz="4" w:space="0" w:color="auto"/>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1740" w:type="dxa"/>
            <w:tcBorders>
              <w:top w:val="nil"/>
              <w:left w:val="nil"/>
              <w:bottom w:val="single" w:sz="4" w:space="0" w:color="auto"/>
              <w:right w:val="single" w:sz="8" w:space="0" w:color="auto"/>
            </w:tcBorders>
            <w:shd w:val="clear" w:color="auto" w:fill="auto"/>
            <w:noWrap/>
            <w:vAlign w:val="bottom"/>
            <w:hideMark/>
          </w:tcPr>
          <w:p w:rsidR="00FC5485" w:rsidRPr="006C18A8" w:rsidRDefault="00FC5485" w:rsidP="00FC5485">
            <w:pPr>
              <w:spacing w:after="0" w:line="240" w:lineRule="auto"/>
              <w:jc w:val="right"/>
              <w:rPr>
                <w:rFonts w:eastAsia="Times New Roman" w:cs="Arial"/>
                <w:color w:val="000000"/>
                <w:lang w:eastAsia="es-MX"/>
              </w:rPr>
            </w:pPr>
            <w:r w:rsidRPr="006C18A8">
              <w:rPr>
                <w:rFonts w:eastAsia="Times New Roman" w:cs="Arial"/>
                <w:color w:val="000000"/>
                <w:lang w:eastAsia="es-MX"/>
              </w:rPr>
              <w:t xml:space="preserve">6,715,485.44 </w:t>
            </w:r>
          </w:p>
        </w:tc>
      </w:tr>
      <w:tr w:rsidR="00FC5485" w:rsidRPr="006C18A8" w:rsidTr="00FC5485">
        <w:trPr>
          <w:trHeight w:val="315"/>
        </w:trPr>
        <w:tc>
          <w:tcPr>
            <w:tcW w:w="1587" w:type="dxa"/>
            <w:tcBorders>
              <w:top w:val="nil"/>
              <w:left w:val="single" w:sz="8" w:space="0" w:color="auto"/>
              <w:bottom w:val="single" w:sz="8" w:space="0" w:color="auto"/>
              <w:right w:val="single" w:sz="4" w:space="0" w:color="auto"/>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1-1-2-3-00-00000</w:t>
            </w:r>
          </w:p>
        </w:tc>
        <w:tc>
          <w:tcPr>
            <w:tcW w:w="2354" w:type="dxa"/>
            <w:gridSpan w:val="2"/>
            <w:tcBorders>
              <w:top w:val="single" w:sz="4" w:space="0" w:color="auto"/>
              <w:left w:val="single" w:sz="4" w:space="0" w:color="auto"/>
              <w:bottom w:val="single" w:sz="8" w:space="0" w:color="auto"/>
              <w:right w:val="nil"/>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Deudores Diversos Varios</w:t>
            </w:r>
          </w:p>
        </w:tc>
        <w:tc>
          <w:tcPr>
            <w:tcW w:w="2087" w:type="dxa"/>
            <w:tcBorders>
              <w:top w:val="nil"/>
              <w:left w:val="nil"/>
              <w:bottom w:val="single" w:sz="8" w:space="0" w:color="auto"/>
              <w:right w:val="nil"/>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2087" w:type="dxa"/>
            <w:tcBorders>
              <w:top w:val="nil"/>
              <w:left w:val="nil"/>
              <w:bottom w:val="single" w:sz="8" w:space="0" w:color="auto"/>
              <w:right w:val="single" w:sz="4" w:space="0" w:color="auto"/>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1740" w:type="dxa"/>
            <w:tcBorders>
              <w:top w:val="nil"/>
              <w:left w:val="nil"/>
              <w:bottom w:val="single" w:sz="8" w:space="0" w:color="auto"/>
              <w:right w:val="single" w:sz="8" w:space="0" w:color="auto"/>
            </w:tcBorders>
            <w:shd w:val="clear" w:color="auto" w:fill="auto"/>
            <w:noWrap/>
            <w:vAlign w:val="bottom"/>
            <w:hideMark/>
          </w:tcPr>
          <w:p w:rsidR="00FC5485" w:rsidRPr="006C18A8" w:rsidRDefault="00FC5485" w:rsidP="00FC5485">
            <w:pPr>
              <w:spacing w:after="0" w:line="240" w:lineRule="auto"/>
              <w:jc w:val="right"/>
              <w:rPr>
                <w:rFonts w:eastAsia="Times New Roman" w:cs="Arial"/>
                <w:color w:val="000000"/>
                <w:lang w:eastAsia="es-MX"/>
              </w:rPr>
            </w:pPr>
            <w:r w:rsidRPr="006C18A8">
              <w:rPr>
                <w:rFonts w:eastAsia="Times New Roman" w:cs="Arial"/>
                <w:color w:val="000000"/>
                <w:lang w:eastAsia="es-MX"/>
              </w:rPr>
              <w:t xml:space="preserve">1,500.04 </w:t>
            </w:r>
          </w:p>
        </w:tc>
      </w:tr>
      <w:tr w:rsidR="00FC5485" w:rsidRPr="006C18A8" w:rsidTr="00FC5485">
        <w:trPr>
          <w:trHeight w:val="270"/>
        </w:trPr>
        <w:tc>
          <w:tcPr>
            <w:tcW w:w="1587" w:type="dxa"/>
            <w:tcBorders>
              <w:top w:val="nil"/>
              <w:left w:val="nil"/>
              <w:bottom w:val="nil"/>
              <w:right w:val="nil"/>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TOTAL</w:t>
            </w:r>
          </w:p>
        </w:tc>
        <w:tc>
          <w:tcPr>
            <w:tcW w:w="1177" w:type="dxa"/>
            <w:tcBorders>
              <w:top w:val="nil"/>
              <w:left w:val="nil"/>
              <w:bottom w:val="nil"/>
              <w:right w:val="nil"/>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p>
        </w:tc>
        <w:tc>
          <w:tcPr>
            <w:tcW w:w="1177" w:type="dxa"/>
            <w:tcBorders>
              <w:top w:val="nil"/>
              <w:left w:val="nil"/>
              <w:bottom w:val="nil"/>
              <w:right w:val="nil"/>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p>
        </w:tc>
        <w:tc>
          <w:tcPr>
            <w:tcW w:w="2087" w:type="dxa"/>
            <w:tcBorders>
              <w:top w:val="nil"/>
              <w:left w:val="nil"/>
              <w:bottom w:val="nil"/>
              <w:right w:val="nil"/>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p>
        </w:tc>
        <w:tc>
          <w:tcPr>
            <w:tcW w:w="2087" w:type="dxa"/>
            <w:tcBorders>
              <w:top w:val="nil"/>
              <w:left w:val="nil"/>
              <w:bottom w:val="nil"/>
              <w:right w:val="nil"/>
            </w:tcBorders>
            <w:shd w:val="clear" w:color="auto" w:fill="auto"/>
            <w:noWrap/>
            <w:vAlign w:val="bottom"/>
            <w:hideMark/>
          </w:tcPr>
          <w:p w:rsidR="00FC5485" w:rsidRPr="006C18A8" w:rsidRDefault="00FC5485" w:rsidP="00FC5485">
            <w:pPr>
              <w:spacing w:after="0" w:line="240" w:lineRule="auto"/>
              <w:rPr>
                <w:rFonts w:eastAsia="Times New Roman" w:cs="Arial"/>
                <w:sz w:val="20"/>
                <w:szCs w:val="20"/>
                <w:lang w:eastAsia="es-MX"/>
              </w:rPr>
            </w:pPr>
          </w:p>
        </w:tc>
        <w:tc>
          <w:tcPr>
            <w:tcW w:w="1740" w:type="dxa"/>
            <w:tcBorders>
              <w:top w:val="nil"/>
              <w:left w:val="nil"/>
              <w:bottom w:val="double" w:sz="6" w:space="0" w:color="auto"/>
              <w:right w:val="nil"/>
            </w:tcBorders>
            <w:shd w:val="clear" w:color="auto" w:fill="auto"/>
            <w:noWrap/>
            <w:vAlign w:val="bottom"/>
            <w:hideMark/>
          </w:tcPr>
          <w:p w:rsidR="00FC5485" w:rsidRPr="006C18A8" w:rsidRDefault="00FC5485" w:rsidP="00DA7DA6">
            <w:pPr>
              <w:spacing w:after="0" w:line="240" w:lineRule="auto"/>
              <w:jc w:val="right"/>
              <w:rPr>
                <w:rFonts w:eastAsia="Times New Roman" w:cs="Arial"/>
                <w:b/>
                <w:bCs/>
                <w:sz w:val="20"/>
                <w:szCs w:val="20"/>
                <w:lang w:eastAsia="es-MX"/>
              </w:rPr>
            </w:pPr>
            <w:r w:rsidRPr="006C18A8">
              <w:rPr>
                <w:rFonts w:eastAsia="Times New Roman" w:cs="Arial"/>
                <w:b/>
                <w:bCs/>
                <w:sz w:val="20"/>
                <w:szCs w:val="20"/>
                <w:lang w:eastAsia="es-MX"/>
              </w:rPr>
              <w:t xml:space="preserve">      31,5</w:t>
            </w:r>
            <w:r w:rsidR="00DA7DA6">
              <w:rPr>
                <w:rFonts w:eastAsia="Times New Roman" w:cs="Arial"/>
                <w:b/>
                <w:bCs/>
                <w:sz w:val="20"/>
                <w:szCs w:val="20"/>
                <w:lang w:eastAsia="es-MX"/>
              </w:rPr>
              <w:t>82,862</w:t>
            </w:r>
            <w:r w:rsidRPr="006C18A8">
              <w:rPr>
                <w:rFonts w:eastAsia="Times New Roman" w:cs="Arial"/>
                <w:b/>
                <w:bCs/>
                <w:sz w:val="20"/>
                <w:szCs w:val="20"/>
                <w:lang w:eastAsia="es-MX"/>
              </w:rPr>
              <w:t xml:space="preserve">.03 </w:t>
            </w:r>
          </w:p>
        </w:tc>
      </w:tr>
    </w:tbl>
    <w:p w:rsidR="00FC5485" w:rsidRPr="006C18A8" w:rsidRDefault="00FC5485" w:rsidP="00BC7BD7">
      <w:pPr>
        <w:spacing w:line="240" w:lineRule="auto"/>
        <w:rPr>
          <w:rFonts w:cs="Arial"/>
          <w:b/>
          <w:sz w:val="20"/>
          <w:szCs w:val="20"/>
        </w:rPr>
      </w:pPr>
    </w:p>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 El importe que se muestra en esta cuenta, es por la aportación que se dio para la creación del FIDEY, la cual, según el registro contable es en calidad de préstamo. En la sesión de comité de fecha 18 de marzo del 2002, está autorizado el traspaso de los recursos al FIDEY, pero no se aclara si fue donativo o préstamo, razón por la cual se manejó como préstamo hasta que se sesione y se defina esta situación.</w:t>
      </w:r>
    </w:p>
    <w:p w:rsidR="00FC5485" w:rsidRPr="006C18A8" w:rsidRDefault="00FC5485" w:rsidP="00BC7BD7">
      <w:pPr>
        <w:spacing w:line="240" w:lineRule="auto"/>
        <w:rPr>
          <w:rFonts w:cs="Arial"/>
          <w:b/>
          <w:sz w:val="20"/>
          <w:szCs w:val="20"/>
        </w:rPr>
      </w:pPr>
    </w:p>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 xml:space="preserve">** este importe se generó, debido a una demanda que se interpuso a la Casa de Bolsa </w:t>
      </w:r>
      <w:proofErr w:type="spellStart"/>
      <w:r w:rsidRPr="006C18A8">
        <w:rPr>
          <w:rFonts w:eastAsia="Times New Roman" w:cs="Arial"/>
          <w:sz w:val="20"/>
          <w:szCs w:val="20"/>
          <w:lang w:eastAsia="es-MX"/>
        </w:rPr>
        <w:t>Actinver</w:t>
      </w:r>
      <w:proofErr w:type="spellEnd"/>
      <w:r w:rsidRPr="006C18A8">
        <w:rPr>
          <w:rFonts w:eastAsia="Times New Roman" w:cs="Arial"/>
          <w:sz w:val="20"/>
          <w:szCs w:val="20"/>
          <w:lang w:eastAsia="es-MX"/>
        </w:rPr>
        <w:t>, S.A. de C.V. por el retiro de los fondos que se tenían invertidos en dicha casa, dicha demanda aún está en proceso, por lo que se está a la espera del veredicto para luego poder realizar el registro pertinente en esta cuenta.</w:t>
      </w:r>
    </w:p>
    <w:p w:rsidR="00FC5485" w:rsidRPr="006C18A8" w:rsidRDefault="00FC5485" w:rsidP="00BC7BD7">
      <w:pPr>
        <w:spacing w:line="240" w:lineRule="auto"/>
        <w:rPr>
          <w:rFonts w:cs="Arial"/>
          <w:b/>
          <w:sz w:val="20"/>
          <w:szCs w:val="20"/>
        </w:rPr>
      </w:pPr>
    </w:p>
    <w:p w:rsidR="00FC5485" w:rsidRPr="006C18A8" w:rsidRDefault="00FC5485" w:rsidP="00BC7BD7">
      <w:pPr>
        <w:spacing w:line="240" w:lineRule="auto"/>
        <w:rPr>
          <w:rFonts w:cs="Arial"/>
          <w:b/>
          <w:sz w:val="20"/>
          <w:szCs w:val="20"/>
        </w:rPr>
      </w:pPr>
    </w:p>
    <w:p w:rsidR="00FC5485" w:rsidRPr="006C18A8" w:rsidRDefault="00FC5485" w:rsidP="00BC7BD7">
      <w:pPr>
        <w:spacing w:line="240" w:lineRule="auto"/>
        <w:rPr>
          <w:rFonts w:cs="Arial"/>
          <w:b/>
          <w:sz w:val="20"/>
          <w:szCs w:val="20"/>
        </w:rPr>
      </w:pPr>
    </w:p>
    <w:p w:rsidR="00223388" w:rsidRPr="006C18A8" w:rsidRDefault="00223388" w:rsidP="00BC7BD7">
      <w:pPr>
        <w:spacing w:line="240" w:lineRule="auto"/>
        <w:rPr>
          <w:rFonts w:cs="Arial"/>
          <w:b/>
          <w:sz w:val="20"/>
          <w:szCs w:val="20"/>
        </w:rPr>
      </w:pPr>
    </w:p>
    <w:p w:rsidR="006C18A8" w:rsidRPr="006C18A8" w:rsidRDefault="006C18A8" w:rsidP="00BC7BD7">
      <w:pPr>
        <w:spacing w:line="240" w:lineRule="auto"/>
        <w:rPr>
          <w:rFonts w:cs="Arial"/>
          <w:b/>
          <w:sz w:val="20"/>
          <w:szCs w:val="20"/>
        </w:rPr>
      </w:pPr>
    </w:p>
    <w:p w:rsidR="00FC5485" w:rsidRPr="006C18A8" w:rsidRDefault="00FC5485" w:rsidP="00BC7BD7">
      <w:pPr>
        <w:spacing w:line="240" w:lineRule="auto"/>
        <w:rPr>
          <w:rFonts w:cs="Arial"/>
          <w:b/>
          <w:sz w:val="20"/>
          <w:szCs w:val="20"/>
        </w:rPr>
      </w:pPr>
    </w:p>
    <w:tbl>
      <w:tblPr>
        <w:tblW w:w="13620" w:type="dxa"/>
        <w:tblInd w:w="55" w:type="dxa"/>
        <w:tblCellMar>
          <w:left w:w="70" w:type="dxa"/>
          <w:right w:w="70" w:type="dxa"/>
        </w:tblCellMar>
        <w:tblLook w:val="04A0" w:firstRow="1" w:lastRow="0" w:firstColumn="1" w:lastColumn="0" w:noHBand="0" w:noVBand="1"/>
      </w:tblPr>
      <w:tblGrid>
        <w:gridCol w:w="13620"/>
      </w:tblGrid>
      <w:tr w:rsidR="00FC5485" w:rsidRPr="006C18A8" w:rsidTr="00FC5485">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C5485" w:rsidRPr="006C18A8" w:rsidRDefault="00FC5485" w:rsidP="00FC5485">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lastRenderedPageBreak/>
              <w:t>NOTA 3</w:t>
            </w:r>
          </w:p>
        </w:tc>
      </w:tr>
      <w:tr w:rsidR="00FC5485" w:rsidRPr="006C18A8" w:rsidTr="00FC5485">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C5485" w:rsidRPr="006C18A8" w:rsidRDefault="00FC5485" w:rsidP="00FC5485">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Bienes Muebles, Inmuebles e Intangibles</w:t>
            </w:r>
          </w:p>
        </w:tc>
      </w:tr>
    </w:tbl>
    <w:p w:rsidR="00FC5485" w:rsidRPr="006C18A8" w:rsidRDefault="00FC5485" w:rsidP="00BC7BD7">
      <w:pPr>
        <w:spacing w:line="240" w:lineRule="auto"/>
        <w:rPr>
          <w:rFonts w:cs="Arial"/>
          <w:b/>
          <w:sz w:val="20"/>
          <w:szCs w:val="20"/>
        </w:rPr>
      </w:pPr>
    </w:p>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El Fondo para la Consolidación y Fomento del Empleo Permanente en el Estado de Yucatán no cuenta con Activos Fijos por lo que no se presenta información alguna al respecto.</w:t>
      </w:r>
    </w:p>
    <w:p w:rsidR="00FC5485" w:rsidRPr="006C18A8" w:rsidRDefault="00FC5485" w:rsidP="00BC7BD7">
      <w:pPr>
        <w:spacing w:line="240" w:lineRule="auto"/>
        <w:rPr>
          <w:rFonts w:cs="Arial"/>
          <w:b/>
          <w:sz w:val="20"/>
          <w:szCs w:val="20"/>
        </w:rPr>
      </w:pPr>
    </w:p>
    <w:tbl>
      <w:tblPr>
        <w:tblW w:w="13620" w:type="dxa"/>
        <w:tblInd w:w="55" w:type="dxa"/>
        <w:tblCellMar>
          <w:left w:w="70" w:type="dxa"/>
          <w:right w:w="70" w:type="dxa"/>
        </w:tblCellMar>
        <w:tblLook w:val="04A0" w:firstRow="1" w:lastRow="0" w:firstColumn="1" w:lastColumn="0" w:noHBand="0" w:noVBand="1"/>
      </w:tblPr>
      <w:tblGrid>
        <w:gridCol w:w="13620"/>
      </w:tblGrid>
      <w:tr w:rsidR="00FC5485" w:rsidRPr="006C18A8" w:rsidTr="00FC5485">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0891" w:rsidRPr="006C18A8" w:rsidRDefault="003B0891" w:rsidP="00FC5485">
            <w:pPr>
              <w:spacing w:after="0" w:line="240" w:lineRule="auto"/>
              <w:jc w:val="center"/>
              <w:rPr>
                <w:rFonts w:eastAsia="Times New Roman" w:cs="Arial"/>
                <w:b/>
                <w:bCs/>
                <w:sz w:val="20"/>
                <w:szCs w:val="20"/>
                <w:lang w:eastAsia="es-MX"/>
              </w:rPr>
            </w:pPr>
          </w:p>
          <w:p w:rsidR="00FC5485" w:rsidRPr="006C18A8" w:rsidRDefault="00FC5485" w:rsidP="00FC5485">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NOTA 4</w:t>
            </w:r>
          </w:p>
        </w:tc>
      </w:tr>
      <w:tr w:rsidR="00FC5485" w:rsidRPr="006C18A8" w:rsidTr="00FC5485">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C5485" w:rsidRPr="006C18A8" w:rsidRDefault="00FC5485" w:rsidP="00FC5485">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ESTIMACIONES POR PERDIDA O DETERIORO DE ACTIVOS CIRCULANTES</w:t>
            </w:r>
          </w:p>
        </w:tc>
      </w:tr>
    </w:tbl>
    <w:p w:rsidR="00FC5485" w:rsidRPr="006C18A8" w:rsidRDefault="00FC5485" w:rsidP="00BC7BD7">
      <w:pPr>
        <w:spacing w:line="240" w:lineRule="auto"/>
        <w:rPr>
          <w:rFonts w:cs="Arial"/>
          <w:b/>
          <w:sz w:val="20"/>
          <w:szCs w:val="20"/>
        </w:rPr>
      </w:pPr>
    </w:p>
    <w:p w:rsidR="00FC5485" w:rsidRPr="006C18A8" w:rsidRDefault="00FC5485" w:rsidP="00FC5485">
      <w:pPr>
        <w:spacing w:after="0" w:line="240" w:lineRule="auto"/>
        <w:rPr>
          <w:rFonts w:eastAsia="Times New Roman" w:cs="Arial"/>
          <w:sz w:val="20"/>
          <w:szCs w:val="20"/>
          <w:lang w:eastAsia="es-MX"/>
        </w:rPr>
      </w:pPr>
      <w:r w:rsidRPr="006C18A8">
        <w:rPr>
          <w:rFonts w:eastAsia="Times New Roman" w:cs="Arial"/>
          <w:sz w:val="20"/>
          <w:szCs w:val="20"/>
          <w:lang w:eastAsia="es-MX"/>
        </w:rPr>
        <w:t xml:space="preserve">El Fondo para la Consolidación y Fomento del Empleo Permanente en el Estado de Yucatán no cuenta con </w:t>
      </w:r>
      <w:r w:rsidR="00B4303B" w:rsidRPr="006C18A8">
        <w:rPr>
          <w:rFonts w:eastAsia="Times New Roman" w:cs="Arial"/>
          <w:sz w:val="20"/>
          <w:szCs w:val="20"/>
          <w:lang w:eastAsia="es-MX"/>
        </w:rPr>
        <w:t>algún</w:t>
      </w:r>
      <w:r w:rsidRPr="006C18A8">
        <w:rPr>
          <w:rFonts w:eastAsia="Times New Roman" w:cs="Arial"/>
          <w:sz w:val="20"/>
          <w:szCs w:val="20"/>
          <w:lang w:eastAsia="es-MX"/>
        </w:rPr>
        <w:t xml:space="preserve"> registro en este rubro.</w:t>
      </w:r>
    </w:p>
    <w:p w:rsidR="00FC5485" w:rsidRPr="006C18A8" w:rsidRDefault="00FC5485" w:rsidP="00BC7BD7">
      <w:pPr>
        <w:spacing w:line="240" w:lineRule="auto"/>
        <w:rPr>
          <w:rFonts w:cs="Arial"/>
          <w:b/>
          <w:sz w:val="20"/>
          <w:szCs w:val="20"/>
        </w:rPr>
      </w:pPr>
    </w:p>
    <w:p w:rsidR="003B0891" w:rsidRPr="006C18A8" w:rsidRDefault="003B0891" w:rsidP="00BC7BD7">
      <w:pPr>
        <w:spacing w:line="240" w:lineRule="auto"/>
        <w:rPr>
          <w:rFonts w:cs="Arial"/>
          <w:b/>
          <w:sz w:val="20"/>
          <w:szCs w:val="20"/>
        </w:rPr>
      </w:pPr>
    </w:p>
    <w:p w:rsidR="00FC5485" w:rsidRPr="006C18A8" w:rsidRDefault="00FC5485" w:rsidP="00FC5485">
      <w:pPr>
        <w:spacing w:after="0" w:line="240" w:lineRule="auto"/>
        <w:rPr>
          <w:rFonts w:eastAsia="Times New Roman" w:cs="Arial"/>
          <w:b/>
          <w:bCs/>
          <w:sz w:val="24"/>
          <w:szCs w:val="24"/>
          <w:lang w:eastAsia="es-MX"/>
        </w:rPr>
      </w:pPr>
      <w:r w:rsidRPr="006C18A8">
        <w:rPr>
          <w:rFonts w:eastAsia="Times New Roman" w:cs="Arial"/>
          <w:b/>
          <w:bCs/>
          <w:sz w:val="24"/>
          <w:szCs w:val="24"/>
          <w:lang w:eastAsia="es-MX"/>
        </w:rPr>
        <w:t>NOTAS AL ESTADO DE VARIACIONES EN LA HACIENDA PUBLICA/PATRIMONIO</w:t>
      </w:r>
    </w:p>
    <w:p w:rsidR="00B4303B" w:rsidRPr="006C18A8" w:rsidRDefault="00B4303B" w:rsidP="00FC5485">
      <w:pPr>
        <w:spacing w:after="0" w:line="240" w:lineRule="auto"/>
        <w:rPr>
          <w:rFonts w:eastAsia="Times New Roman" w:cs="Arial"/>
          <w:b/>
          <w:bCs/>
          <w:sz w:val="24"/>
          <w:szCs w:val="24"/>
          <w:lang w:eastAsia="es-MX"/>
        </w:rPr>
      </w:pPr>
    </w:p>
    <w:tbl>
      <w:tblPr>
        <w:tblW w:w="13620" w:type="dxa"/>
        <w:tblInd w:w="55" w:type="dxa"/>
        <w:tblCellMar>
          <w:left w:w="70" w:type="dxa"/>
          <w:right w:w="70" w:type="dxa"/>
        </w:tblCellMar>
        <w:tblLook w:val="04A0" w:firstRow="1" w:lastRow="0" w:firstColumn="1" w:lastColumn="0" w:noHBand="0" w:noVBand="1"/>
      </w:tblPr>
      <w:tblGrid>
        <w:gridCol w:w="13620"/>
      </w:tblGrid>
      <w:tr w:rsidR="00FC5485" w:rsidRPr="006C18A8" w:rsidTr="00FC5485">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C5485" w:rsidRPr="006C18A8" w:rsidRDefault="00FC5485" w:rsidP="00FC5485">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NOTA 1</w:t>
            </w:r>
          </w:p>
        </w:tc>
      </w:tr>
      <w:tr w:rsidR="00FC5485" w:rsidRPr="006C18A8" w:rsidTr="00FC5485">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C5485" w:rsidRPr="006C18A8" w:rsidRDefault="00FC5485" w:rsidP="00FC5485">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PROCEDENCIA DE LOS RECURSOS QUE MODIFICAN AL PATRIMONIO GENERADO</w:t>
            </w:r>
          </w:p>
        </w:tc>
      </w:tr>
    </w:tbl>
    <w:p w:rsidR="00FC5485" w:rsidRPr="006C18A8" w:rsidRDefault="00FC5485" w:rsidP="00BC7BD7">
      <w:pPr>
        <w:spacing w:line="240" w:lineRule="auto"/>
        <w:rPr>
          <w:rFonts w:cs="Arial"/>
          <w:b/>
          <w:sz w:val="20"/>
          <w:szCs w:val="20"/>
        </w:rPr>
      </w:pPr>
    </w:p>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 xml:space="preserve">En este período el Patrimonio se modifica debido a los ingresos por intereses cobrados en los créditos otorgados, por los intereses generados por la cuenta de cheques así como también por la ganancia en la inversión que se tiene en el período, estos registros hacen un importe de $ 378,460.41, lo cual genera un ahorro que se refleja tanto en el Estado de Situación Financiera así como en el Estado de Variaciones de la Hacienda </w:t>
      </w:r>
      <w:r w:rsidR="006C18A8" w:rsidRPr="006C18A8">
        <w:rPr>
          <w:rFonts w:eastAsia="Times New Roman" w:cs="Arial"/>
          <w:sz w:val="20"/>
          <w:szCs w:val="20"/>
          <w:lang w:eastAsia="es-MX"/>
        </w:rPr>
        <w:t>Pública</w:t>
      </w:r>
      <w:r w:rsidRPr="006C18A8">
        <w:rPr>
          <w:rFonts w:eastAsia="Times New Roman" w:cs="Arial"/>
          <w:sz w:val="20"/>
          <w:szCs w:val="20"/>
          <w:lang w:eastAsia="es-MX"/>
        </w:rPr>
        <w:t xml:space="preserve">/Patrimonio por el mismo importe. </w:t>
      </w:r>
    </w:p>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sz w:val="20"/>
          <w:szCs w:val="20"/>
          <w:lang w:eastAsia="es-MX"/>
        </w:rPr>
      </w:pPr>
    </w:p>
    <w:p w:rsidR="006C18A8" w:rsidRDefault="006C18A8"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b/>
          <w:bCs/>
          <w:sz w:val="24"/>
          <w:szCs w:val="24"/>
          <w:lang w:eastAsia="es-MX"/>
        </w:rPr>
      </w:pPr>
      <w:r w:rsidRPr="006C18A8">
        <w:rPr>
          <w:rFonts w:eastAsia="Times New Roman" w:cs="Arial"/>
          <w:b/>
          <w:bCs/>
          <w:sz w:val="24"/>
          <w:szCs w:val="24"/>
          <w:lang w:eastAsia="es-MX"/>
        </w:rPr>
        <w:lastRenderedPageBreak/>
        <w:t>NOTAS AL ESTADO DE ACTIVIDADES</w:t>
      </w:r>
    </w:p>
    <w:p w:rsidR="00B4303B" w:rsidRPr="006C18A8" w:rsidRDefault="00B4303B" w:rsidP="00B4303B">
      <w:pPr>
        <w:spacing w:after="0" w:line="240" w:lineRule="auto"/>
        <w:rPr>
          <w:rFonts w:eastAsia="Times New Roman" w:cs="Arial"/>
          <w:sz w:val="20"/>
          <w:szCs w:val="20"/>
          <w:lang w:eastAsia="es-MX"/>
        </w:rPr>
      </w:pPr>
    </w:p>
    <w:tbl>
      <w:tblPr>
        <w:tblW w:w="13620" w:type="dxa"/>
        <w:tblInd w:w="55" w:type="dxa"/>
        <w:tblCellMar>
          <w:left w:w="70" w:type="dxa"/>
          <w:right w:w="70" w:type="dxa"/>
        </w:tblCellMar>
        <w:tblLook w:val="04A0" w:firstRow="1" w:lastRow="0" w:firstColumn="1" w:lastColumn="0" w:noHBand="0" w:noVBand="1"/>
      </w:tblPr>
      <w:tblGrid>
        <w:gridCol w:w="13620"/>
      </w:tblGrid>
      <w:tr w:rsidR="00B4303B" w:rsidRPr="006C18A8" w:rsidTr="00B4303B">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303B" w:rsidRPr="006C18A8" w:rsidRDefault="00B4303B" w:rsidP="00B4303B">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NOTA 1</w:t>
            </w:r>
          </w:p>
        </w:tc>
      </w:tr>
      <w:tr w:rsidR="00B4303B" w:rsidRPr="006C18A8" w:rsidTr="00B4303B">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303B" w:rsidRPr="006C18A8" w:rsidRDefault="00B4303B" w:rsidP="00B4303B">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OTROS INGRESOS Y BENEFICIOS</w:t>
            </w:r>
          </w:p>
        </w:tc>
      </w:tr>
    </w:tbl>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 xml:space="preserve">El Fondo Para la Consolidación y Fomento del Empleo Permanente en el Estado de Yucatán tiene ingresos por la generación de intereses de la cuenta de cheques e inversión en papel gobierno que tiene con </w:t>
      </w:r>
      <w:proofErr w:type="spellStart"/>
      <w:r w:rsidRPr="006C18A8">
        <w:rPr>
          <w:rFonts w:eastAsia="Times New Roman" w:cs="Arial"/>
          <w:sz w:val="20"/>
          <w:szCs w:val="20"/>
          <w:lang w:eastAsia="es-MX"/>
        </w:rPr>
        <w:t>bancomer</w:t>
      </w:r>
      <w:proofErr w:type="spellEnd"/>
      <w:r w:rsidRPr="006C18A8">
        <w:rPr>
          <w:rFonts w:eastAsia="Times New Roman" w:cs="Arial"/>
          <w:sz w:val="20"/>
          <w:szCs w:val="20"/>
          <w:lang w:eastAsia="es-MX"/>
        </w:rPr>
        <w:t>, así como también por los intereses que se generan por los créditos otorgados y las diferencias en depósitos bancarios.</w:t>
      </w:r>
    </w:p>
    <w:p w:rsidR="003B0891" w:rsidRDefault="003B0891" w:rsidP="00B4303B">
      <w:pPr>
        <w:spacing w:after="0" w:line="240" w:lineRule="auto"/>
        <w:rPr>
          <w:rFonts w:eastAsia="Times New Roman" w:cs="Arial"/>
          <w:sz w:val="20"/>
          <w:szCs w:val="20"/>
          <w:lang w:eastAsia="es-MX"/>
        </w:rPr>
      </w:pPr>
    </w:p>
    <w:p w:rsidR="006C18A8" w:rsidRPr="006C18A8" w:rsidRDefault="006C18A8" w:rsidP="00B4303B">
      <w:pPr>
        <w:spacing w:after="0" w:line="240" w:lineRule="auto"/>
        <w:rPr>
          <w:rFonts w:eastAsia="Times New Roman" w:cs="Arial"/>
          <w:sz w:val="20"/>
          <w:szCs w:val="20"/>
          <w:lang w:eastAsia="es-MX"/>
        </w:rPr>
      </w:pPr>
    </w:p>
    <w:p w:rsidR="003B0891" w:rsidRPr="006C18A8" w:rsidRDefault="003B0891"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sz w:val="20"/>
          <w:szCs w:val="20"/>
          <w:lang w:eastAsia="es-MX"/>
        </w:rPr>
      </w:pPr>
    </w:p>
    <w:tbl>
      <w:tblPr>
        <w:tblW w:w="11031" w:type="dxa"/>
        <w:tblInd w:w="55" w:type="dxa"/>
        <w:tblCellMar>
          <w:left w:w="70" w:type="dxa"/>
          <w:right w:w="70" w:type="dxa"/>
        </w:tblCellMar>
        <w:tblLook w:val="04A0" w:firstRow="1" w:lastRow="0" w:firstColumn="1" w:lastColumn="0" w:noHBand="0" w:noVBand="1"/>
      </w:tblPr>
      <w:tblGrid>
        <w:gridCol w:w="2324"/>
        <w:gridCol w:w="2618"/>
        <w:gridCol w:w="1765"/>
        <w:gridCol w:w="2177"/>
        <w:gridCol w:w="2147"/>
      </w:tblGrid>
      <w:tr w:rsidR="00B4303B" w:rsidRPr="006C18A8" w:rsidTr="00B4303B">
        <w:trPr>
          <w:trHeight w:val="253"/>
        </w:trPr>
        <w:tc>
          <w:tcPr>
            <w:tcW w:w="2324" w:type="dxa"/>
            <w:tcBorders>
              <w:top w:val="single" w:sz="4" w:space="0" w:color="auto"/>
              <w:left w:val="single" w:sz="4" w:space="0" w:color="auto"/>
              <w:bottom w:val="single" w:sz="4" w:space="0" w:color="auto"/>
              <w:right w:val="nil"/>
            </w:tcBorders>
            <w:shd w:val="clear" w:color="auto" w:fill="auto"/>
            <w:noWrap/>
            <w:vAlign w:val="bottom"/>
            <w:hideMark/>
          </w:tcPr>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Concepto</w:t>
            </w:r>
          </w:p>
        </w:tc>
        <w:tc>
          <w:tcPr>
            <w:tcW w:w="2618" w:type="dxa"/>
            <w:tcBorders>
              <w:top w:val="single" w:sz="4" w:space="0" w:color="auto"/>
              <w:left w:val="nil"/>
              <w:bottom w:val="single" w:sz="4" w:space="0" w:color="auto"/>
              <w:right w:val="nil"/>
            </w:tcBorders>
            <w:shd w:val="clear" w:color="auto" w:fill="auto"/>
            <w:noWrap/>
            <w:vAlign w:val="bottom"/>
            <w:hideMark/>
          </w:tcPr>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1765" w:type="dxa"/>
            <w:tcBorders>
              <w:top w:val="single" w:sz="4" w:space="0" w:color="auto"/>
              <w:left w:val="nil"/>
              <w:bottom w:val="single" w:sz="4" w:space="0" w:color="auto"/>
              <w:right w:val="nil"/>
            </w:tcBorders>
            <w:shd w:val="clear" w:color="auto" w:fill="auto"/>
            <w:noWrap/>
            <w:vAlign w:val="bottom"/>
            <w:hideMark/>
          </w:tcPr>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2177" w:type="dxa"/>
            <w:tcBorders>
              <w:top w:val="single" w:sz="4" w:space="0" w:color="auto"/>
              <w:left w:val="nil"/>
              <w:bottom w:val="single" w:sz="4" w:space="0" w:color="auto"/>
              <w:right w:val="nil"/>
            </w:tcBorders>
            <w:shd w:val="clear" w:color="auto" w:fill="auto"/>
            <w:noWrap/>
            <w:vAlign w:val="bottom"/>
            <w:hideMark/>
          </w:tcPr>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Ganancia</w:t>
            </w:r>
          </w:p>
        </w:tc>
      </w:tr>
      <w:tr w:rsidR="00B4303B" w:rsidRPr="006C18A8" w:rsidTr="00B4303B">
        <w:trPr>
          <w:trHeight w:val="253"/>
        </w:trPr>
        <w:tc>
          <w:tcPr>
            <w:tcW w:w="4942" w:type="dxa"/>
            <w:gridSpan w:val="2"/>
            <w:tcBorders>
              <w:top w:val="nil"/>
              <w:left w:val="single" w:sz="8" w:space="0" w:color="auto"/>
              <w:bottom w:val="single" w:sz="4" w:space="0" w:color="auto"/>
              <w:right w:val="nil"/>
            </w:tcBorders>
            <w:shd w:val="clear" w:color="auto" w:fill="auto"/>
            <w:noWrap/>
            <w:vAlign w:val="bottom"/>
            <w:hideMark/>
          </w:tcPr>
          <w:p w:rsidR="00B4303B" w:rsidRPr="006C18A8" w:rsidRDefault="00B4303B" w:rsidP="00B4303B">
            <w:pPr>
              <w:spacing w:after="0" w:line="240" w:lineRule="auto"/>
              <w:rPr>
                <w:rFonts w:eastAsia="Times New Roman" w:cs="Arial"/>
                <w:sz w:val="18"/>
                <w:szCs w:val="18"/>
                <w:lang w:eastAsia="es-MX"/>
              </w:rPr>
            </w:pPr>
            <w:r w:rsidRPr="006C18A8">
              <w:rPr>
                <w:rFonts w:eastAsia="Times New Roman" w:cs="Arial"/>
                <w:sz w:val="18"/>
                <w:szCs w:val="18"/>
                <w:lang w:eastAsia="es-MX"/>
              </w:rPr>
              <w:t>Intereses en Cuenta de Cheques</w:t>
            </w:r>
          </w:p>
        </w:tc>
        <w:tc>
          <w:tcPr>
            <w:tcW w:w="1765" w:type="dxa"/>
            <w:tcBorders>
              <w:top w:val="nil"/>
              <w:left w:val="nil"/>
              <w:bottom w:val="single" w:sz="4" w:space="0" w:color="auto"/>
              <w:right w:val="nil"/>
            </w:tcBorders>
            <w:shd w:val="clear" w:color="auto" w:fill="auto"/>
            <w:noWrap/>
            <w:vAlign w:val="bottom"/>
            <w:hideMark/>
          </w:tcPr>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2177" w:type="dxa"/>
            <w:tcBorders>
              <w:top w:val="nil"/>
              <w:left w:val="nil"/>
              <w:bottom w:val="single" w:sz="4" w:space="0" w:color="auto"/>
              <w:right w:val="nil"/>
            </w:tcBorders>
            <w:shd w:val="clear" w:color="auto" w:fill="auto"/>
            <w:noWrap/>
            <w:vAlign w:val="bottom"/>
            <w:hideMark/>
          </w:tcPr>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2147" w:type="dxa"/>
            <w:tcBorders>
              <w:top w:val="nil"/>
              <w:left w:val="single" w:sz="8" w:space="0" w:color="auto"/>
              <w:bottom w:val="single" w:sz="4" w:space="0" w:color="auto"/>
              <w:right w:val="single" w:sz="8" w:space="0" w:color="auto"/>
            </w:tcBorders>
            <w:shd w:val="clear" w:color="auto" w:fill="auto"/>
            <w:noWrap/>
            <w:vAlign w:val="bottom"/>
            <w:hideMark/>
          </w:tcPr>
          <w:p w:rsidR="00B4303B" w:rsidRPr="006C18A8" w:rsidRDefault="00B4303B" w:rsidP="00DA7DA6">
            <w:pPr>
              <w:spacing w:after="0" w:line="240" w:lineRule="auto"/>
              <w:jc w:val="right"/>
              <w:rPr>
                <w:rFonts w:eastAsia="Times New Roman" w:cs="Arial"/>
                <w:sz w:val="18"/>
                <w:szCs w:val="18"/>
                <w:lang w:eastAsia="es-MX"/>
              </w:rPr>
            </w:pPr>
            <w:r w:rsidRPr="006C18A8">
              <w:rPr>
                <w:rFonts w:eastAsia="Times New Roman" w:cs="Arial"/>
                <w:sz w:val="18"/>
                <w:szCs w:val="18"/>
                <w:lang w:eastAsia="es-MX"/>
              </w:rPr>
              <w:t xml:space="preserve">                   </w:t>
            </w:r>
            <w:r w:rsidR="00DA7DA6">
              <w:rPr>
                <w:rFonts w:eastAsia="Times New Roman" w:cs="Arial"/>
                <w:sz w:val="18"/>
                <w:szCs w:val="18"/>
                <w:lang w:eastAsia="es-MX"/>
              </w:rPr>
              <w:t>53.60</w:t>
            </w:r>
            <w:r w:rsidRPr="006C18A8">
              <w:rPr>
                <w:rFonts w:eastAsia="Times New Roman" w:cs="Arial"/>
                <w:sz w:val="18"/>
                <w:szCs w:val="18"/>
                <w:lang w:eastAsia="es-MX"/>
              </w:rPr>
              <w:t xml:space="preserve"> </w:t>
            </w:r>
          </w:p>
        </w:tc>
      </w:tr>
      <w:tr w:rsidR="00B4303B" w:rsidRPr="006C18A8" w:rsidTr="00B4303B">
        <w:trPr>
          <w:trHeight w:val="268"/>
        </w:trPr>
        <w:tc>
          <w:tcPr>
            <w:tcW w:w="8884" w:type="dxa"/>
            <w:gridSpan w:val="4"/>
            <w:tcBorders>
              <w:top w:val="single" w:sz="4" w:space="0" w:color="auto"/>
              <w:left w:val="single" w:sz="8" w:space="0" w:color="auto"/>
              <w:bottom w:val="single" w:sz="8" w:space="0" w:color="auto"/>
              <w:right w:val="nil"/>
            </w:tcBorders>
            <w:shd w:val="clear" w:color="auto" w:fill="auto"/>
            <w:noWrap/>
            <w:vAlign w:val="bottom"/>
            <w:hideMark/>
          </w:tcPr>
          <w:p w:rsidR="00B4303B" w:rsidRPr="006C18A8" w:rsidRDefault="00B4303B" w:rsidP="00B4303B">
            <w:pPr>
              <w:spacing w:after="0" w:line="240" w:lineRule="auto"/>
              <w:rPr>
                <w:rFonts w:eastAsia="Times New Roman" w:cs="Arial"/>
                <w:sz w:val="18"/>
                <w:szCs w:val="18"/>
                <w:lang w:eastAsia="es-MX"/>
              </w:rPr>
            </w:pPr>
            <w:r w:rsidRPr="006C18A8">
              <w:rPr>
                <w:rFonts w:eastAsia="Times New Roman" w:cs="Arial"/>
                <w:sz w:val="18"/>
                <w:szCs w:val="18"/>
                <w:lang w:eastAsia="es-MX"/>
              </w:rPr>
              <w:t>Ganancia en Inversiones Temporales (Hasta 3 Meses)</w:t>
            </w:r>
          </w:p>
        </w:tc>
        <w:tc>
          <w:tcPr>
            <w:tcW w:w="2147" w:type="dxa"/>
            <w:tcBorders>
              <w:top w:val="nil"/>
              <w:left w:val="single" w:sz="8" w:space="0" w:color="auto"/>
              <w:bottom w:val="single" w:sz="8" w:space="0" w:color="auto"/>
              <w:right w:val="single" w:sz="8" w:space="0" w:color="auto"/>
            </w:tcBorders>
            <w:shd w:val="clear" w:color="auto" w:fill="auto"/>
            <w:noWrap/>
            <w:vAlign w:val="bottom"/>
            <w:hideMark/>
          </w:tcPr>
          <w:p w:rsidR="00B4303B" w:rsidRPr="006C18A8" w:rsidRDefault="00B4303B" w:rsidP="00DA7DA6">
            <w:pPr>
              <w:spacing w:after="0" w:line="240" w:lineRule="auto"/>
              <w:jc w:val="right"/>
              <w:rPr>
                <w:rFonts w:eastAsia="Times New Roman" w:cs="Arial"/>
                <w:sz w:val="18"/>
                <w:szCs w:val="18"/>
                <w:lang w:eastAsia="es-MX"/>
              </w:rPr>
            </w:pPr>
            <w:r w:rsidRPr="006C18A8">
              <w:rPr>
                <w:rFonts w:eastAsia="Times New Roman" w:cs="Arial"/>
                <w:sz w:val="18"/>
                <w:szCs w:val="18"/>
                <w:lang w:eastAsia="es-MX"/>
              </w:rPr>
              <w:t xml:space="preserve">         </w:t>
            </w:r>
            <w:r w:rsidR="00DA7DA6">
              <w:rPr>
                <w:rFonts w:eastAsia="Times New Roman" w:cs="Arial"/>
                <w:sz w:val="18"/>
                <w:szCs w:val="18"/>
                <w:lang w:eastAsia="es-MX"/>
              </w:rPr>
              <w:t>591,178.99</w:t>
            </w:r>
            <w:r w:rsidRPr="006C18A8">
              <w:rPr>
                <w:rFonts w:eastAsia="Times New Roman" w:cs="Arial"/>
                <w:sz w:val="18"/>
                <w:szCs w:val="18"/>
                <w:lang w:eastAsia="es-MX"/>
              </w:rPr>
              <w:t xml:space="preserve"> </w:t>
            </w:r>
          </w:p>
        </w:tc>
      </w:tr>
      <w:tr w:rsidR="00B4303B" w:rsidRPr="006C18A8" w:rsidTr="00B4303B">
        <w:trPr>
          <w:trHeight w:val="253"/>
        </w:trPr>
        <w:tc>
          <w:tcPr>
            <w:tcW w:w="4942" w:type="dxa"/>
            <w:gridSpan w:val="2"/>
            <w:tcBorders>
              <w:top w:val="nil"/>
              <w:left w:val="single" w:sz="8" w:space="0" w:color="auto"/>
              <w:bottom w:val="single" w:sz="4" w:space="0" w:color="auto"/>
              <w:right w:val="nil"/>
            </w:tcBorders>
            <w:shd w:val="clear" w:color="auto" w:fill="auto"/>
            <w:noWrap/>
            <w:vAlign w:val="bottom"/>
            <w:hideMark/>
          </w:tcPr>
          <w:p w:rsidR="00B4303B" w:rsidRPr="006C18A8" w:rsidRDefault="00B4303B" w:rsidP="00B4303B">
            <w:pPr>
              <w:spacing w:after="0" w:line="240" w:lineRule="auto"/>
              <w:outlineLvl w:val="0"/>
              <w:rPr>
                <w:rFonts w:eastAsia="Times New Roman" w:cs="Arial"/>
                <w:sz w:val="18"/>
                <w:szCs w:val="18"/>
                <w:lang w:eastAsia="es-MX"/>
              </w:rPr>
            </w:pPr>
            <w:r w:rsidRPr="006C18A8">
              <w:rPr>
                <w:rFonts w:eastAsia="Times New Roman" w:cs="Arial"/>
                <w:sz w:val="18"/>
                <w:szCs w:val="18"/>
                <w:lang w:eastAsia="es-MX"/>
              </w:rPr>
              <w:t>Intereses por Créditos Otorgados</w:t>
            </w:r>
          </w:p>
        </w:tc>
        <w:tc>
          <w:tcPr>
            <w:tcW w:w="1765" w:type="dxa"/>
            <w:tcBorders>
              <w:top w:val="nil"/>
              <w:left w:val="nil"/>
              <w:bottom w:val="single" w:sz="4" w:space="0" w:color="auto"/>
              <w:right w:val="nil"/>
            </w:tcBorders>
            <w:shd w:val="clear" w:color="auto" w:fill="auto"/>
            <w:noWrap/>
            <w:vAlign w:val="bottom"/>
            <w:hideMark/>
          </w:tcPr>
          <w:p w:rsidR="00B4303B" w:rsidRPr="006C18A8" w:rsidRDefault="00B4303B" w:rsidP="00B4303B">
            <w:pPr>
              <w:spacing w:after="0" w:line="240" w:lineRule="auto"/>
              <w:outlineLvl w:val="0"/>
              <w:rPr>
                <w:rFonts w:eastAsia="Times New Roman" w:cs="Arial"/>
                <w:sz w:val="20"/>
                <w:szCs w:val="20"/>
                <w:lang w:eastAsia="es-MX"/>
              </w:rPr>
            </w:pPr>
            <w:r w:rsidRPr="006C18A8">
              <w:rPr>
                <w:rFonts w:eastAsia="Times New Roman" w:cs="Arial"/>
                <w:sz w:val="20"/>
                <w:szCs w:val="20"/>
                <w:lang w:eastAsia="es-MX"/>
              </w:rPr>
              <w:t> </w:t>
            </w:r>
          </w:p>
        </w:tc>
        <w:tc>
          <w:tcPr>
            <w:tcW w:w="2177" w:type="dxa"/>
            <w:tcBorders>
              <w:top w:val="nil"/>
              <w:left w:val="nil"/>
              <w:bottom w:val="single" w:sz="4" w:space="0" w:color="auto"/>
              <w:right w:val="nil"/>
            </w:tcBorders>
            <w:shd w:val="clear" w:color="auto" w:fill="auto"/>
            <w:noWrap/>
            <w:vAlign w:val="bottom"/>
            <w:hideMark/>
          </w:tcPr>
          <w:p w:rsidR="00B4303B" w:rsidRPr="006C18A8" w:rsidRDefault="00B4303B" w:rsidP="00B4303B">
            <w:pPr>
              <w:spacing w:after="0" w:line="240" w:lineRule="auto"/>
              <w:outlineLvl w:val="0"/>
              <w:rPr>
                <w:rFonts w:eastAsia="Times New Roman" w:cs="Arial"/>
                <w:sz w:val="20"/>
                <w:szCs w:val="20"/>
                <w:lang w:eastAsia="es-MX"/>
              </w:rPr>
            </w:pPr>
            <w:r w:rsidRPr="006C18A8">
              <w:rPr>
                <w:rFonts w:eastAsia="Times New Roman" w:cs="Arial"/>
                <w:sz w:val="20"/>
                <w:szCs w:val="20"/>
                <w:lang w:eastAsia="es-MX"/>
              </w:rPr>
              <w:t> </w:t>
            </w:r>
          </w:p>
        </w:tc>
        <w:tc>
          <w:tcPr>
            <w:tcW w:w="2147" w:type="dxa"/>
            <w:tcBorders>
              <w:top w:val="nil"/>
              <w:left w:val="single" w:sz="8" w:space="0" w:color="auto"/>
              <w:bottom w:val="single" w:sz="4" w:space="0" w:color="auto"/>
              <w:right w:val="single" w:sz="8" w:space="0" w:color="auto"/>
            </w:tcBorders>
            <w:shd w:val="clear" w:color="auto" w:fill="auto"/>
            <w:noWrap/>
            <w:vAlign w:val="bottom"/>
            <w:hideMark/>
          </w:tcPr>
          <w:p w:rsidR="00B4303B" w:rsidRPr="006C18A8" w:rsidRDefault="00B4303B" w:rsidP="00DA7DA6">
            <w:pPr>
              <w:spacing w:after="0" w:line="240" w:lineRule="auto"/>
              <w:jc w:val="right"/>
              <w:outlineLvl w:val="0"/>
              <w:rPr>
                <w:rFonts w:eastAsia="Times New Roman" w:cs="Arial"/>
                <w:sz w:val="18"/>
                <w:szCs w:val="18"/>
                <w:lang w:eastAsia="es-MX"/>
              </w:rPr>
            </w:pPr>
            <w:r w:rsidRPr="006C18A8">
              <w:rPr>
                <w:rFonts w:eastAsia="Times New Roman" w:cs="Arial"/>
                <w:sz w:val="18"/>
                <w:szCs w:val="18"/>
                <w:lang w:eastAsia="es-MX"/>
              </w:rPr>
              <w:t xml:space="preserve">           </w:t>
            </w:r>
            <w:r w:rsidR="00DA7DA6">
              <w:rPr>
                <w:rFonts w:eastAsia="Times New Roman" w:cs="Arial"/>
                <w:sz w:val="18"/>
                <w:szCs w:val="18"/>
                <w:lang w:eastAsia="es-MX"/>
              </w:rPr>
              <w:t>138,530.80</w:t>
            </w:r>
            <w:r w:rsidRPr="006C18A8">
              <w:rPr>
                <w:rFonts w:eastAsia="Times New Roman" w:cs="Arial"/>
                <w:sz w:val="18"/>
                <w:szCs w:val="18"/>
                <w:lang w:eastAsia="es-MX"/>
              </w:rPr>
              <w:t xml:space="preserve"> </w:t>
            </w:r>
          </w:p>
        </w:tc>
      </w:tr>
      <w:tr w:rsidR="00B4303B" w:rsidRPr="006C18A8" w:rsidTr="00B4303B">
        <w:trPr>
          <w:trHeight w:val="253"/>
        </w:trPr>
        <w:tc>
          <w:tcPr>
            <w:tcW w:w="4942" w:type="dxa"/>
            <w:gridSpan w:val="2"/>
            <w:tcBorders>
              <w:top w:val="single" w:sz="4" w:space="0" w:color="auto"/>
              <w:left w:val="single" w:sz="8" w:space="0" w:color="auto"/>
              <w:bottom w:val="nil"/>
              <w:right w:val="nil"/>
            </w:tcBorders>
            <w:shd w:val="clear" w:color="auto" w:fill="auto"/>
            <w:noWrap/>
            <w:vAlign w:val="bottom"/>
            <w:hideMark/>
          </w:tcPr>
          <w:p w:rsidR="00B4303B" w:rsidRPr="006C18A8" w:rsidRDefault="00B4303B" w:rsidP="00B4303B">
            <w:pPr>
              <w:spacing w:after="0" w:line="240" w:lineRule="auto"/>
              <w:rPr>
                <w:rFonts w:eastAsia="Times New Roman" w:cs="Arial"/>
                <w:sz w:val="18"/>
                <w:szCs w:val="18"/>
                <w:lang w:eastAsia="es-MX"/>
              </w:rPr>
            </w:pPr>
            <w:r w:rsidRPr="006C18A8">
              <w:rPr>
                <w:rFonts w:eastAsia="Times New Roman" w:cs="Arial"/>
                <w:sz w:val="18"/>
                <w:szCs w:val="18"/>
                <w:lang w:eastAsia="es-MX"/>
              </w:rPr>
              <w:t>Diferencias en Depósitos Bancarios</w:t>
            </w:r>
          </w:p>
        </w:tc>
        <w:tc>
          <w:tcPr>
            <w:tcW w:w="1765" w:type="dxa"/>
            <w:tcBorders>
              <w:top w:val="nil"/>
              <w:left w:val="nil"/>
              <w:bottom w:val="nil"/>
              <w:right w:val="nil"/>
            </w:tcBorders>
            <w:shd w:val="clear" w:color="auto" w:fill="auto"/>
            <w:noWrap/>
            <w:vAlign w:val="bottom"/>
            <w:hideMark/>
          </w:tcPr>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2177" w:type="dxa"/>
            <w:tcBorders>
              <w:top w:val="nil"/>
              <w:left w:val="nil"/>
              <w:bottom w:val="nil"/>
              <w:right w:val="nil"/>
            </w:tcBorders>
            <w:shd w:val="clear" w:color="auto" w:fill="auto"/>
            <w:noWrap/>
            <w:vAlign w:val="bottom"/>
            <w:hideMark/>
          </w:tcPr>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2147" w:type="dxa"/>
            <w:tcBorders>
              <w:top w:val="nil"/>
              <w:left w:val="single" w:sz="8" w:space="0" w:color="auto"/>
              <w:bottom w:val="nil"/>
              <w:right w:val="single" w:sz="8" w:space="0" w:color="auto"/>
            </w:tcBorders>
            <w:shd w:val="clear" w:color="auto" w:fill="auto"/>
            <w:noWrap/>
            <w:vAlign w:val="bottom"/>
            <w:hideMark/>
          </w:tcPr>
          <w:p w:rsidR="00B4303B" w:rsidRPr="006C18A8" w:rsidRDefault="00B4303B" w:rsidP="00DA7DA6">
            <w:pPr>
              <w:spacing w:after="0" w:line="240" w:lineRule="auto"/>
              <w:jc w:val="right"/>
              <w:rPr>
                <w:rFonts w:eastAsia="Times New Roman" w:cs="Arial"/>
                <w:sz w:val="18"/>
                <w:szCs w:val="18"/>
                <w:lang w:eastAsia="es-MX"/>
              </w:rPr>
            </w:pPr>
            <w:r w:rsidRPr="006C18A8">
              <w:rPr>
                <w:rFonts w:eastAsia="Times New Roman" w:cs="Arial"/>
                <w:sz w:val="18"/>
                <w:szCs w:val="18"/>
                <w:lang w:eastAsia="es-MX"/>
              </w:rPr>
              <w:t xml:space="preserve">                     </w:t>
            </w:r>
            <w:r w:rsidR="00DA7DA6">
              <w:rPr>
                <w:rFonts w:eastAsia="Times New Roman" w:cs="Arial"/>
                <w:sz w:val="18"/>
                <w:szCs w:val="18"/>
                <w:lang w:eastAsia="es-MX"/>
              </w:rPr>
              <w:t>2.30</w:t>
            </w:r>
            <w:r w:rsidRPr="006C18A8">
              <w:rPr>
                <w:rFonts w:eastAsia="Times New Roman" w:cs="Arial"/>
                <w:sz w:val="18"/>
                <w:szCs w:val="18"/>
                <w:lang w:eastAsia="es-MX"/>
              </w:rPr>
              <w:t xml:space="preserve"> </w:t>
            </w:r>
          </w:p>
        </w:tc>
      </w:tr>
      <w:tr w:rsidR="00B4303B" w:rsidRPr="006C18A8" w:rsidTr="00B4303B">
        <w:trPr>
          <w:trHeight w:val="253"/>
        </w:trPr>
        <w:tc>
          <w:tcPr>
            <w:tcW w:w="6707" w:type="dxa"/>
            <w:gridSpan w:val="3"/>
            <w:tcBorders>
              <w:top w:val="single" w:sz="4" w:space="0" w:color="auto"/>
              <w:left w:val="single" w:sz="4" w:space="0" w:color="auto"/>
              <w:bottom w:val="single" w:sz="4" w:space="0" w:color="auto"/>
              <w:right w:val="nil"/>
            </w:tcBorders>
            <w:shd w:val="clear" w:color="auto" w:fill="auto"/>
            <w:noWrap/>
            <w:vAlign w:val="bottom"/>
            <w:hideMark/>
          </w:tcPr>
          <w:p w:rsidR="00B4303B" w:rsidRPr="006C18A8" w:rsidRDefault="00B4303B" w:rsidP="00B4303B">
            <w:pPr>
              <w:spacing w:after="0" w:line="240" w:lineRule="auto"/>
              <w:rPr>
                <w:rFonts w:eastAsia="Times New Roman" w:cs="Arial"/>
                <w:b/>
                <w:bCs/>
                <w:sz w:val="20"/>
                <w:szCs w:val="20"/>
                <w:lang w:eastAsia="es-MX"/>
              </w:rPr>
            </w:pPr>
            <w:r w:rsidRPr="006C18A8">
              <w:rPr>
                <w:rFonts w:eastAsia="Times New Roman" w:cs="Arial"/>
                <w:b/>
                <w:bCs/>
                <w:sz w:val="20"/>
                <w:szCs w:val="20"/>
                <w:lang w:eastAsia="es-MX"/>
              </w:rPr>
              <w:t>TOTAL DE EFECTIVO Y EQUIVALENTES</w:t>
            </w:r>
          </w:p>
        </w:tc>
        <w:tc>
          <w:tcPr>
            <w:tcW w:w="2177" w:type="dxa"/>
            <w:tcBorders>
              <w:top w:val="single" w:sz="4" w:space="0" w:color="auto"/>
              <w:left w:val="nil"/>
              <w:bottom w:val="single" w:sz="4" w:space="0" w:color="auto"/>
              <w:right w:val="nil"/>
            </w:tcBorders>
            <w:shd w:val="clear" w:color="auto" w:fill="auto"/>
            <w:noWrap/>
            <w:vAlign w:val="bottom"/>
            <w:hideMark/>
          </w:tcPr>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B4303B" w:rsidRPr="006C18A8" w:rsidRDefault="00B4303B" w:rsidP="00DA7DA6">
            <w:pPr>
              <w:spacing w:after="0" w:line="240" w:lineRule="auto"/>
              <w:jc w:val="right"/>
              <w:rPr>
                <w:rFonts w:eastAsia="Times New Roman" w:cs="Arial"/>
                <w:b/>
                <w:bCs/>
                <w:sz w:val="20"/>
                <w:szCs w:val="20"/>
                <w:lang w:eastAsia="es-MX"/>
              </w:rPr>
            </w:pPr>
            <w:r w:rsidRPr="006C18A8">
              <w:rPr>
                <w:rFonts w:eastAsia="Times New Roman" w:cs="Arial"/>
                <w:b/>
                <w:bCs/>
                <w:sz w:val="20"/>
                <w:szCs w:val="20"/>
                <w:lang w:eastAsia="es-MX"/>
              </w:rPr>
              <w:t xml:space="preserve">      </w:t>
            </w:r>
            <w:r w:rsidR="00DA7DA6">
              <w:rPr>
                <w:rFonts w:eastAsia="Times New Roman" w:cs="Arial"/>
                <w:b/>
                <w:bCs/>
                <w:sz w:val="20"/>
                <w:szCs w:val="20"/>
                <w:lang w:eastAsia="es-MX"/>
              </w:rPr>
              <w:t>729,765.69</w:t>
            </w:r>
            <w:r w:rsidRPr="006C18A8">
              <w:rPr>
                <w:rFonts w:eastAsia="Times New Roman" w:cs="Arial"/>
                <w:b/>
                <w:bCs/>
                <w:sz w:val="20"/>
                <w:szCs w:val="20"/>
                <w:lang w:eastAsia="es-MX"/>
              </w:rPr>
              <w:t xml:space="preserve"> </w:t>
            </w:r>
          </w:p>
        </w:tc>
      </w:tr>
    </w:tbl>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C7BD7">
      <w:pPr>
        <w:spacing w:line="240" w:lineRule="auto"/>
        <w:rPr>
          <w:rFonts w:cs="Arial"/>
          <w:b/>
          <w:sz w:val="20"/>
          <w:szCs w:val="20"/>
        </w:rPr>
      </w:pPr>
    </w:p>
    <w:p w:rsidR="003B0891" w:rsidRDefault="003B0891" w:rsidP="00B4303B">
      <w:pPr>
        <w:spacing w:after="0" w:line="240" w:lineRule="auto"/>
        <w:rPr>
          <w:rFonts w:eastAsia="Times New Roman" w:cs="Arial"/>
          <w:b/>
          <w:bCs/>
          <w:sz w:val="24"/>
          <w:szCs w:val="24"/>
          <w:lang w:eastAsia="es-MX"/>
        </w:rPr>
      </w:pPr>
    </w:p>
    <w:p w:rsidR="00DA7DA6" w:rsidRDefault="00DA7DA6" w:rsidP="00B4303B">
      <w:pPr>
        <w:spacing w:after="0" w:line="240" w:lineRule="auto"/>
        <w:rPr>
          <w:rFonts w:eastAsia="Times New Roman" w:cs="Arial"/>
          <w:b/>
          <w:bCs/>
          <w:sz w:val="24"/>
          <w:szCs w:val="24"/>
          <w:lang w:eastAsia="es-MX"/>
        </w:rPr>
      </w:pPr>
    </w:p>
    <w:p w:rsidR="00DA7DA6" w:rsidRDefault="00DA7DA6" w:rsidP="00B4303B">
      <w:pPr>
        <w:spacing w:after="0" w:line="240" w:lineRule="auto"/>
        <w:rPr>
          <w:rFonts w:eastAsia="Times New Roman" w:cs="Arial"/>
          <w:b/>
          <w:bCs/>
          <w:sz w:val="24"/>
          <w:szCs w:val="24"/>
          <w:lang w:eastAsia="es-MX"/>
        </w:rPr>
      </w:pPr>
    </w:p>
    <w:p w:rsidR="00DA7DA6" w:rsidRDefault="00DA7DA6" w:rsidP="00B4303B">
      <w:pPr>
        <w:spacing w:after="0" w:line="240" w:lineRule="auto"/>
        <w:rPr>
          <w:rFonts w:eastAsia="Times New Roman" w:cs="Arial"/>
          <w:b/>
          <w:bCs/>
          <w:sz w:val="24"/>
          <w:szCs w:val="24"/>
          <w:lang w:eastAsia="es-MX"/>
        </w:rPr>
      </w:pPr>
    </w:p>
    <w:p w:rsidR="00DA7DA6" w:rsidRDefault="00DA7DA6" w:rsidP="00B4303B">
      <w:pPr>
        <w:spacing w:after="0" w:line="240" w:lineRule="auto"/>
        <w:rPr>
          <w:rFonts w:eastAsia="Times New Roman" w:cs="Arial"/>
          <w:b/>
          <w:bCs/>
          <w:sz w:val="24"/>
          <w:szCs w:val="24"/>
          <w:lang w:eastAsia="es-MX"/>
        </w:rPr>
      </w:pPr>
    </w:p>
    <w:p w:rsidR="00DA7DA6" w:rsidRDefault="00DA7DA6" w:rsidP="00B4303B">
      <w:pPr>
        <w:spacing w:after="0" w:line="240" w:lineRule="auto"/>
        <w:rPr>
          <w:rFonts w:eastAsia="Times New Roman" w:cs="Arial"/>
          <w:b/>
          <w:bCs/>
          <w:sz w:val="24"/>
          <w:szCs w:val="24"/>
          <w:lang w:eastAsia="es-MX"/>
        </w:rPr>
      </w:pPr>
    </w:p>
    <w:p w:rsidR="00DA7DA6" w:rsidRPr="006C18A8" w:rsidRDefault="00DA7DA6" w:rsidP="00B4303B">
      <w:pPr>
        <w:spacing w:after="0" w:line="240" w:lineRule="auto"/>
        <w:rPr>
          <w:rFonts w:eastAsia="Times New Roman" w:cs="Arial"/>
          <w:b/>
          <w:bCs/>
          <w:sz w:val="24"/>
          <w:szCs w:val="24"/>
          <w:lang w:eastAsia="es-MX"/>
        </w:rPr>
      </w:pPr>
    </w:p>
    <w:p w:rsidR="00B4303B" w:rsidRPr="006C18A8" w:rsidRDefault="00B4303B" w:rsidP="00B4303B">
      <w:pPr>
        <w:spacing w:after="0" w:line="240" w:lineRule="auto"/>
        <w:rPr>
          <w:rFonts w:eastAsia="Times New Roman" w:cs="Arial"/>
          <w:b/>
          <w:bCs/>
          <w:sz w:val="24"/>
          <w:szCs w:val="24"/>
          <w:lang w:eastAsia="es-MX"/>
        </w:rPr>
      </w:pPr>
      <w:r w:rsidRPr="006C18A8">
        <w:rPr>
          <w:rFonts w:eastAsia="Times New Roman" w:cs="Arial"/>
          <w:b/>
          <w:bCs/>
          <w:sz w:val="24"/>
          <w:szCs w:val="24"/>
          <w:lang w:eastAsia="es-MX"/>
        </w:rPr>
        <w:lastRenderedPageBreak/>
        <w:t>NOTAS AL ESTADO DE FLUJOS DE EFECTIVO</w:t>
      </w:r>
    </w:p>
    <w:p w:rsidR="00B4303B" w:rsidRPr="006C18A8" w:rsidRDefault="00B4303B" w:rsidP="00B4303B">
      <w:pPr>
        <w:spacing w:after="0" w:line="240" w:lineRule="auto"/>
        <w:rPr>
          <w:rFonts w:eastAsia="Times New Roman" w:cs="Arial"/>
          <w:b/>
          <w:bCs/>
          <w:sz w:val="24"/>
          <w:szCs w:val="24"/>
          <w:lang w:eastAsia="es-MX"/>
        </w:rPr>
      </w:pPr>
    </w:p>
    <w:tbl>
      <w:tblPr>
        <w:tblW w:w="13620" w:type="dxa"/>
        <w:tblInd w:w="55" w:type="dxa"/>
        <w:tblCellMar>
          <w:left w:w="70" w:type="dxa"/>
          <w:right w:w="70" w:type="dxa"/>
        </w:tblCellMar>
        <w:tblLook w:val="04A0" w:firstRow="1" w:lastRow="0" w:firstColumn="1" w:lastColumn="0" w:noHBand="0" w:noVBand="1"/>
      </w:tblPr>
      <w:tblGrid>
        <w:gridCol w:w="13620"/>
      </w:tblGrid>
      <w:tr w:rsidR="00B4303B" w:rsidRPr="006C18A8" w:rsidTr="00B4303B">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303B" w:rsidRPr="006C18A8" w:rsidRDefault="00B4303B" w:rsidP="00B4303B">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NOTA 1</w:t>
            </w:r>
          </w:p>
        </w:tc>
      </w:tr>
      <w:tr w:rsidR="00B4303B" w:rsidRPr="006C18A8" w:rsidTr="00B4303B">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303B" w:rsidRPr="006C18A8" w:rsidRDefault="00B4303B" w:rsidP="00B4303B">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EFECTIVO Y EQUIVALENTES</w:t>
            </w:r>
          </w:p>
        </w:tc>
      </w:tr>
    </w:tbl>
    <w:p w:rsidR="00B4303B" w:rsidRPr="006C18A8" w:rsidRDefault="00B4303B" w:rsidP="00BC7BD7">
      <w:pPr>
        <w:spacing w:line="240" w:lineRule="auto"/>
        <w:rPr>
          <w:rFonts w:cs="Arial"/>
          <w:b/>
          <w:sz w:val="20"/>
          <w:szCs w:val="20"/>
        </w:rPr>
      </w:pPr>
    </w:p>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Integración de los Saldos que figuran en la última parte del Estado de Flujo de Efectivo en la cuenta de efectivo y equivalentes.</w:t>
      </w:r>
    </w:p>
    <w:p w:rsidR="00B4303B" w:rsidRPr="006C18A8" w:rsidRDefault="00B4303B" w:rsidP="00B4303B">
      <w:pPr>
        <w:spacing w:after="0" w:line="240" w:lineRule="auto"/>
        <w:rPr>
          <w:rFonts w:eastAsia="Times New Roman" w:cs="Arial"/>
          <w:sz w:val="20"/>
          <w:szCs w:val="20"/>
          <w:lang w:eastAsia="es-MX"/>
        </w:rPr>
      </w:pPr>
    </w:p>
    <w:tbl>
      <w:tblPr>
        <w:tblW w:w="10145" w:type="dxa"/>
        <w:tblInd w:w="55" w:type="dxa"/>
        <w:tblCellMar>
          <w:left w:w="70" w:type="dxa"/>
          <w:right w:w="70" w:type="dxa"/>
        </w:tblCellMar>
        <w:tblLook w:val="04A0" w:firstRow="1" w:lastRow="0" w:firstColumn="1" w:lastColumn="0" w:noHBand="0" w:noVBand="1"/>
      </w:tblPr>
      <w:tblGrid>
        <w:gridCol w:w="2137"/>
        <w:gridCol w:w="2408"/>
        <w:gridCol w:w="1623"/>
        <w:gridCol w:w="2002"/>
        <w:gridCol w:w="1975"/>
      </w:tblGrid>
      <w:tr w:rsidR="00B4303B" w:rsidRPr="006C18A8" w:rsidTr="00B4303B">
        <w:trPr>
          <w:trHeight w:val="238"/>
        </w:trPr>
        <w:tc>
          <w:tcPr>
            <w:tcW w:w="2137" w:type="dxa"/>
            <w:tcBorders>
              <w:top w:val="single" w:sz="4" w:space="0" w:color="auto"/>
              <w:left w:val="single" w:sz="4" w:space="0" w:color="auto"/>
              <w:bottom w:val="single" w:sz="4" w:space="0" w:color="auto"/>
              <w:right w:val="nil"/>
            </w:tcBorders>
            <w:shd w:val="clear" w:color="auto" w:fill="auto"/>
            <w:noWrap/>
            <w:vAlign w:val="bottom"/>
            <w:hideMark/>
          </w:tcPr>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2408" w:type="dxa"/>
            <w:tcBorders>
              <w:top w:val="single" w:sz="4" w:space="0" w:color="auto"/>
              <w:left w:val="nil"/>
              <w:bottom w:val="single" w:sz="4" w:space="0" w:color="auto"/>
              <w:right w:val="nil"/>
            </w:tcBorders>
            <w:shd w:val="clear" w:color="auto" w:fill="auto"/>
            <w:noWrap/>
            <w:vAlign w:val="bottom"/>
            <w:hideMark/>
          </w:tcPr>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1623" w:type="dxa"/>
            <w:tcBorders>
              <w:top w:val="single" w:sz="4" w:space="0" w:color="auto"/>
              <w:left w:val="nil"/>
              <w:bottom w:val="single" w:sz="4" w:space="0" w:color="auto"/>
              <w:right w:val="nil"/>
            </w:tcBorders>
            <w:shd w:val="clear" w:color="auto" w:fill="auto"/>
            <w:noWrap/>
            <w:vAlign w:val="bottom"/>
            <w:hideMark/>
          </w:tcPr>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2002" w:type="dxa"/>
            <w:tcBorders>
              <w:top w:val="single" w:sz="4" w:space="0" w:color="auto"/>
              <w:left w:val="nil"/>
              <w:bottom w:val="single" w:sz="4" w:space="0" w:color="auto"/>
              <w:right w:val="nil"/>
            </w:tcBorders>
            <w:shd w:val="clear" w:color="auto" w:fill="auto"/>
            <w:noWrap/>
            <w:vAlign w:val="bottom"/>
            <w:hideMark/>
          </w:tcPr>
          <w:p w:rsidR="00B4303B" w:rsidRPr="006C18A8" w:rsidRDefault="00DA7DA6" w:rsidP="00B4303B">
            <w:pPr>
              <w:spacing w:after="0" w:line="240" w:lineRule="auto"/>
              <w:jc w:val="center"/>
              <w:rPr>
                <w:rFonts w:eastAsia="Times New Roman" w:cs="Arial"/>
                <w:b/>
                <w:bCs/>
                <w:sz w:val="20"/>
                <w:szCs w:val="20"/>
                <w:lang w:eastAsia="es-MX"/>
              </w:rPr>
            </w:pPr>
            <w:r>
              <w:rPr>
                <w:rFonts w:eastAsia="Times New Roman" w:cs="Arial"/>
                <w:b/>
                <w:bCs/>
                <w:sz w:val="20"/>
                <w:szCs w:val="20"/>
                <w:lang w:eastAsia="es-MX"/>
              </w:rPr>
              <w:t>2017</w:t>
            </w:r>
          </w:p>
        </w:tc>
        <w:tc>
          <w:tcPr>
            <w:tcW w:w="1975" w:type="dxa"/>
            <w:tcBorders>
              <w:top w:val="single" w:sz="4" w:space="0" w:color="auto"/>
              <w:left w:val="nil"/>
              <w:bottom w:val="single" w:sz="4" w:space="0" w:color="auto"/>
              <w:right w:val="single" w:sz="4" w:space="0" w:color="auto"/>
            </w:tcBorders>
            <w:shd w:val="clear" w:color="auto" w:fill="auto"/>
            <w:noWrap/>
            <w:vAlign w:val="bottom"/>
            <w:hideMark/>
          </w:tcPr>
          <w:p w:rsidR="00B4303B" w:rsidRPr="006C18A8" w:rsidRDefault="00DA7DA6" w:rsidP="00B4303B">
            <w:pPr>
              <w:spacing w:after="0" w:line="240" w:lineRule="auto"/>
              <w:jc w:val="center"/>
              <w:rPr>
                <w:rFonts w:eastAsia="Times New Roman" w:cs="Arial"/>
                <w:b/>
                <w:bCs/>
                <w:sz w:val="20"/>
                <w:szCs w:val="20"/>
                <w:lang w:eastAsia="es-MX"/>
              </w:rPr>
            </w:pPr>
            <w:r>
              <w:rPr>
                <w:rFonts w:eastAsia="Times New Roman" w:cs="Arial"/>
                <w:b/>
                <w:bCs/>
                <w:sz w:val="20"/>
                <w:szCs w:val="20"/>
                <w:lang w:eastAsia="es-MX"/>
              </w:rPr>
              <w:t>2016</w:t>
            </w:r>
          </w:p>
        </w:tc>
      </w:tr>
      <w:tr w:rsidR="00B4303B" w:rsidRPr="006C18A8" w:rsidTr="00B4303B">
        <w:trPr>
          <w:trHeight w:val="238"/>
        </w:trPr>
        <w:tc>
          <w:tcPr>
            <w:tcW w:w="2137" w:type="dxa"/>
            <w:tcBorders>
              <w:top w:val="nil"/>
              <w:left w:val="single" w:sz="8" w:space="0" w:color="auto"/>
              <w:bottom w:val="single" w:sz="4" w:space="0" w:color="auto"/>
              <w:right w:val="nil"/>
            </w:tcBorders>
            <w:shd w:val="clear" w:color="auto" w:fill="auto"/>
            <w:noWrap/>
            <w:vAlign w:val="bottom"/>
            <w:hideMark/>
          </w:tcPr>
          <w:p w:rsidR="00B4303B" w:rsidRPr="006C18A8" w:rsidRDefault="00B4303B" w:rsidP="00B4303B">
            <w:pPr>
              <w:spacing w:after="0" w:line="240" w:lineRule="auto"/>
              <w:rPr>
                <w:rFonts w:eastAsia="Times New Roman" w:cs="Arial"/>
                <w:sz w:val="18"/>
                <w:szCs w:val="18"/>
                <w:lang w:eastAsia="es-MX"/>
              </w:rPr>
            </w:pPr>
            <w:r w:rsidRPr="006C18A8">
              <w:rPr>
                <w:rFonts w:eastAsia="Times New Roman" w:cs="Arial"/>
                <w:sz w:val="18"/>
                <w:szCs w:val="18"/>
                <w:lang w:eastAsia="es-MX"/>
              </w:rPr>
              <w:t>Bancos/tesorería</w:t>
            </w:r>
          </w:p>
        </w:tc>
        <w:tc>
          <w:tcPr>
            <w:tcW w:w="2408" w:type="dxa"/>
            <w:tcBorders>
              <w:top w:val="nil"/>
              <w:left w:val="nil"/>
              <w:bottom w:val="single" w:sz="4" w:space="0" w:color="auto"/>
              <w:right w:val="nil"/>
            </w:tcBorders>
            <w:shd w:val="clear" w:color="auto" w:fill="auto"/>
            <w:noWrap/>
            <w:vAlign w:val="bottom"/>
            <w:hideMark/>
          </w:tcPr>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1623" w:type="dxa"/>
            <w:tcBorders>
              <w:top w:val="nil"/>
              <w:left w:val="nil"/>
              <w:bottom w:val="single" w:sz="4" w:space="0" w:color="auto"/>
              <w:right w:val="single" w:sz="8" w:space="0" w:color="auto"/>
            </w:tcBorders>
            <w:shd w:val="clear" w:color="auto" w:fill="auto"/>
            <w:noWrap/>
            <w:vAlign w:val="bottom"/>
            <w:hideMark/>
          </w:tcPr>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 </w:t>
            </w:r>
          </w:p>
        </w:tc>
        <w:tc>
          <w:tcPr>
            <w:tcW w:w="2002" w:type="dxa"/>
            <w:tcBorders>
              <w:top w:val="nil"/>
              <w:left w:val="nil"/>
              <w:bottom w:val="single" w:sz="4" w:space="0" w:color="auto"/>
              <w:right w:val="single" w:sz="8" w:space="0" w:color="auto"/>
            </w:tcBorders>
            <w:shd w:val="clear" w:color="auto" w:fill="auto"/>
            <w:noWrap/>
            <w:vAlign w:val="bottom"/>
            <w:hideMark/>
          </w:tcPr>
          <w:p w:rsidR="00B4303B" w:rsidRPr="006C18A8" w:rsidRDefault="00B4303B" w:rsidP="00DA7DA6">
            <w:pPr>
              <w:spacing w:after="0" w:line="240" w:lineRule="auto"/>
              <w:rPr>
                <w:rFonts w:eastAsia="Times New Roman" w:cs="Arial"/>
                <w:sz w:val="18"/>
                <w:szCs w:val="18"/>
                <w:lang w:eastAsia="es-MX"/>
              </w:rPr>
            </w:pPr>
            <w:r w:rsidRPr="006C18A8">
              <w:rPr>
                <w:rFonts w:eastAsia="Times New Roman" w:cs="Arial"/>
                <w:sz w:val="18"/>
                <w:szCs w:val="18"/>
                <w:lang w:eastAsia="es-MX"/>
              </w:rPr>
              <w:t xml:space="preserve">         </w:t>
            </w:r>
            <w:r w:rsidR="00DA7DA6">
              <w:rPr>
                <w:rFonts w:eastAsia="Times New Roman" w:cs="Arial"/>
                <w:sz w:val="18"/>
                <w:szCs w:val="18"/>
                <w:lang w:eastAsia="es-MX"/>
              </w:rPr>
              <w:t>1,027,846.73</w:t>
            </w:r>
            <w:r w:rsidRPr="006C18A8">
              <w:rPr>
                <w:rFonts w:eastAsia="Times New Roman" w:cs="Arial"/>
                <w:sz w:val="18"/>
                <w:szCs w:val="18"/>
                <w:lang w:eastAsia="es-MX"/>
              </w:rPr>
              <w:t xml:space="preserve"> </w:t>
            </w:r>
          </w:p>
        </w:tc>
        <w:tc>
          <w:tcPr>
            <w:tcW w:w="1975" w:type="dxa"/>
            <w:tcBorders>
              <w:top w:val="nil"/>
              <w:left w:val="nil"/>
              <w:bottom w:val="single" w:sz="4" w:space="0" w:color="auto"/>
              <w:right w:val="single" w:sz="8" w:space="0" w:color="auto"/>
            </w:tcBorders>
            <w:shd w:val="clear" w:color="auto" w:fill="auto"/>
            <w:noWrap/>
            <w:vAlign w:val="bottom"/>
            <w:hideMark/>
          </w:tcPr>
          <w:p w:rsidR="00B4303B" w:rsidRPr="006C18A8" w:rsidRDefault="00B4303B" w:rsidP="00DA7DA6">
            <w:pPr>
              <w:spacing w:after="0" w:line="240" w:lineRule="auto"/>
              <w:rPr>
                <w:rFonts w:eastAsia="Times New Roman" w:cs="Arial"/>
                <w:sz w:val="18"/>
                <w:szCs w:val="18"/>
                <w:lang w:eastAsia="es-MX"/>
              </w:rPr>
            </w:pPr>
            <w:r w:rsidRPr="006C18A8">
              <w:rPr>
                <w:rFonts w:eastAsia="Times New Roman" w:cs="Arial"/>
                <w:sz w:val="18"/>
                <w:szCs w:val="18"/>
                <w:lang w:eastAsia="es-MX"/>
              </w:rPr>
              <w:t xml:space="preserve">        </w:t>
            </w:r>
            <w:r w:rsidR="00DA7DA6">
              <w:rPr>
                <w:rFonts w:eastAsia="Times New Roman" w:cs="Arial"/>
                <w:sz w:val="18"/>
                <w:szCs w:val="18"/>
                <w:lang w:eastAsia="es-MX"/>
              </w:rPr>
              <w:t>163,836.65</w:t>
            </w:r>
            <w:r w:rsidRPr="006C18A8">
              <w:rPr>
                <w:rFonts w:eastAsia="Times New Roman" w:cs="Arial"/>
                <w:sz w:val="18"/>
                <w:szCs w:val="18"/>
                <w:lang w:eastAsia="es-MX"/>
              </w:rPr>
              <w:t xml:space="preserve"> </w:t>
            </w:r>
          </w:p>
        </w:tc>
      </w:tr>
      <w:tr w:rsidR="00B4303B" w:rsidRPr="006C18A8" w:rsidTr="00B4303B">
        <w:trPr>
          <w:trHeight w:val="238"/>
        </w:trPr>
        <w:tc>
          <w:tcPr>
            <w:tcW w:w="6168" w:type="dxa"/>
            <w:gridSpan w:val="3"/>
            <w:tcBorders>
              <w:top w:val="single" w:sz="4" w:space="0" w:color="auto"/>
              <w:left w:val="single" w:sz="8" w:space="0" w:color="auto"/>
              <w:bottom w:val="nil"/>
              <w:right w:val="single" w:sz="8" w:space="0" w:color="000000"/>
            </w:tcBorders>
            <w:shd w:val="clear" w:color="auto" w:fill="auto"/>
            <w:noWrap/>
            <w:vAlign w:val="bottom"/>
            <w:hideMark/>
          </w:tcPr>
          <w:p w:rsidR="00B4303B" w:rsidRPr="006C18A8" w:rsidRDefault="00B4303B" w:rsidP="00B4303B">
            <w:pPr>
              <w:spacing w:after="0" w:line="240" w:lineRule="auto"/>
              <w:rPr>
                <w:rFonts w:eastAsia="Times New Roman" w:cs="Arial"/>
                <w:sz w:val="18"/>
                <w:szCs w:val="18"/>
                <w:lang w:eastAsia="es-MX"/>
              </w:rPr>
            </w:pPr>
            <w:r w:rsidRPr="006C18A8">
              <w:rPr>
                <w:rFonts w:eastAsia="Times New Roman" w:cs="Arial"/>
                <w:sz w:val="18"/>
                <w:szCs w:val="18"/>
                <w:lang w:eastAsia="es-MX"/>
              </w:rPr>
              <w:t>Inversiones Temporales (Hasta 3 Meses)</w:t>
            </w:r>
          </w:p>
        </w:tc>
        <w:tc>
          <w:tcPr>
            <w:tcW w:w="2002" w:type="dxa"/>
            <w:tcBorders>
              <w:top w:val="nil"/>
              <w:left w:val="nil"/>
              <w:bottom w:val="nil"/>
              <w:right w:val="single" w:sz="8" w:space="0" w:color="auto"/>
            </w:tcBorders>
            <w:shd w:val="clear" w:color="auto" w:fill="auto"/>
            <w:noWrap/>
            <w:vAlign w:val="bottom"/>
            <w:hideMark/>
          </w:tcPr>
          <w:p w:rsidR="00B4303B" w:rsidRPr="006C18A8" w:rsidRDefault="00B4303B" w:rsidP="00DA7DA6">
            <w:pPr>
              <w:spacing w:after="0" w:line="240" w:lineRule="auto"/>
              <w:rPr>
                <w:rFonts w:eastAsia="Times New Roman" w:cs="Arial"/>
                <w:sz w:val="18"/>
                <w:szCs w:val="18"/>
                <w:lang w:eastAsia="es-MX"/>
              </w:rPr>
            </w:pPr>
            <w:r w:rsidRPr="006C18A8">
              <w:rPr>
                <w:rFonts w:eastAsia="Times New Roman" w:cs="Arial"/>
                <w:sz w:val="18"/>
                <w:szCs w:val="18"/>
                <w:lang w:eastAsia="es-MX"/>
              </w:rPr>
              <w:t xml:space="preserve">      </w:t>
            </w:r>
            <w:r w:rsidR="00DA7DA6">
              <w:rPr>
                <w:rFonts w:eastAsia="Times New Roman" w:cs="Arial"/>
                <w:sz w:val="18"/>
                <w:szCs w:val="18"/>
                <w:lang w:eastAsia="es-MX"/>
              </w:rPr>
              <w:t xml:space="preserve">    9,249,453.94</w:t>
            </w:r>
          </w:p>
        </w:tc>
        <w:tc>
          <w:tcPr>
            <w:tcW w:w="1975" w:type="dxa"/>
            <w:tcBorders>
              <w:top w:val="nil"/>
              <w:left w:val="nil"/>
              <w:bottom w:val="nil"/>
              <w:right w:val="single" w:sz="8" w:space="0" w:color="auto"/>
            </w:tcBorders>
            <w:shd w:val="clear" w:color="auto" w:fill="auto"/>
            <w:noWrap/>
            <w:vAlign w:val="bottom"/>
            <w:hideMark/>
          </w:tcPr>
          <w:p w:rsidR="00B4303B" w:rsidRPr="006C18A8" w:rsidRDefault="00B4303B" w:rsidP="00DA7DA6">
            <w:pPr>
              <w:spacing w:after="0" w:line="240" w:lineRule="auto"/>
              <w:rPr>
                <w:rFonts w:eastAsia="Times New Roman" w:cs="Arial"/>
                <w:sz w:val="18"/>
                <w:szCs w:val="18"/>
                <w:lang w:eastAsia="es-MX"/>
              </w:rPr>
            </w:pPr>
            <w:r w:rsidRPr="006C18A8">
              <w:rPr>
                <w:rFonts w:eastAsia="Times New Roman" w:cs="Arial"/>
                <w:sz w:val="18"/>
                <w:szCs w:val="18"/>
                <w:lang w:eastAsia="es-MX"/>
              </w:rPr>
              <w:t xml:space="preserve">     </w:t>
            </w:r>
            <w:r w:rsidR="00DA7DA6">
              <w:rPr>
                <w:rFonts w:eastAsia="Times New Roman" w:cs="Arial"/>
                <w:sz w:val="18"/>
                <w:szCs w:val="18"/>
                <w:lang w:eastAsia="es-MX"/>
              </w:rPr>
              <w:t>8,658,290.10</w:t>
            </w:r>
            <w:r w:rsidRPr="006C18A8">
              <w:rPr>
                <w:rFonts w:eastAsia="Times New Roman" w:cs="Arial"/>
                <w:sz w:val="18"/>
                <w:szCs w:val="18"/>
                <w:lang w:eastAsia="es-MX"/>
              </w:rPr>
              <w:t xml:space="preserve"> </w:t>
            </w:r>
          </w:p>
        </w:tc>
      </w:tr>
      <w:tr w:rsidR="00B4303B" w:rsidRPr="006C18A8" w:rsidTr="00B4303B">
        <w:trPr>
          <w:trHeight w:val="238"/>
        </w:trPr>
        <w:tc>
          <w:tcPr>
            <w:tcW w:w="6168" w:type="dxa"/>
            <w:gridSpan w:val="3"/>
            <w:tcBorders>
              <w:top w:val="single" w:sz="4" w:space="0" w:color="auto"/>
              <w:left w:val="single" w:sz="4" w:space="0" w:color="auto"/>
              <w:bottom w:val="single" w:sz="4" w:space="0" w:color="auto"/>
              <w:right w:val="nil"/>
            </w:tcBorders>
            <w:shd w:val="clear" w:color="auto" w:fill="auto"/>
            <w:noWrap/>
            <w:vAlign w:val="bottom"/>
            <w:hideMark/>
          </w:tcPr>
          <w:p w:rsidR="00B4303B" w:rsidRPr="006C18A8" w:rsidRDefault="00B4303B" w:rsidP="00B4303B">
            <w:pPr>
              <w:spacing w:after="0" w:line="240" w:lineRule="auto"/>
              <w:rPr>
                <w:rFonts w:eastAsia="Times New Roman" w:cs="Arial"/>
                <w:b/>
                <w:bCs/>
                <w:sz w:val="20"/>
                <w:szCs w:val="20"/>
                <w:lang w:eastAsia="es-MX"/>
              </w:rPr>
            </w:pPr>
            <w:r w:rsidRPr="006C18A8">
              <w:rPr>
                <w:rFonts w:eastAsia="Times New Roman" w:cs="Arial"/>
                <w:b/>
                <w:bCs/>
                <w:sz w:val="20"/>
                <w:szCs w:val="20"/>
                <w:lang w:eastAsia="es-MX"/>
              </w:rPr>
              <w:t>TOTAL DE EFECTIVO Y EQUIVALENTES</w:t>
            </w:r>
          </w:p>
        </w:tc>
        <w:tc>
          <w:tcPr>
            <w:tcW w:w="2002" w:type="dxa"/>
            <w:tcBorders>
              <w:top w:val="single" w:sz="4" w:space="0" w:color="auto"/>
              <w:left w:val="nil"/>
              <w:bottom w:val="single" w:sz="4" w:space="0" w:color="auto"/>
              <w:right w:val="nil"/>
            </w:tcBorders>
            <w:shd w:val="clear" w:color="auto" w:fill="auto"/>
            <w:noWrap/>
            <w:vAlign w:val="bottom"/>
            <w:hideMark/>
          </w:tcPr>
          <w:p w:rsidR="00B4303B" w:rsidRPr="006C18A8" w:rsidRDefault="00B4303B" w:rsidP="00DA7DA6">
            <w:pPr>
              <w:spacing w:after="0" w:line="240" w:lineRule="auto"/>
              <w:rPr>
                <w:rFonts w:eastAsia="Times New Roman" w:cs="Arial"/>
                <w:b/>
                <w:bCs/>
                <w:sz w:val="20"/>
                <w:szCs w:val="20"/>
                <w:lang w:eastAsia="es-MX"/>
              </w:rPr>
            </w:pPr>
            <w:r w:rsidRPr="006C18A8">
              <w:rPr>
                <w:rFonts w:eastAsia="Times New Roman" w:cs="Arial"/>
                <w:b/>
                <w:bCs/>
                <w:sz w:val="20"/>
                <w:szCs w:val="20"/>
                <w:lang w:eastAsia="es-MX"/>
              </w:rPr>
              <w:t xml:space="preserve">   </w:t>
            </w:r>
            <w:r w:rsidR="00DA7DA6">
              <w:rPr>
                <w:rFonts w:eastAsia="Times New Roman" w:cs="Arial"/>
                <w:b/>
                <w:bCs/>
                <w:sz w:val="20"/>
                <w:szCs w:val="20"/>
                <w:lang w:eastAsia="es-MX"/>
              </w:rPr>
              <w:t xml:space="preserve">    10,277,300.67</w:t>
            </w:r>
            <w:r w:rsidRPr="006C18A8">
              <w:rPr>
                <w:rFonts w:eastAsia="Times New Roman" w:cs="Arial"/>
                <w:b/>
                <w:bCs/>
                <w:sz w:val="20"/>
                <w:szCs w:val="20"/>
                <w:lang w:eastAsia="es-MX"/>
              </w:rPr>
              <w:t xml:space="preserve"> </w:t>
            </w:r>
          </w:p>
        </w:tc>
        <w:tc>
          <w:tcPr>
            <w:tcW w:w="1975" w:type="dxa"/>
            <w:tcBorders>
              <w:top w:val="single" w:sz="4" w:space="0" w:color="auto"/>
              <w:left w:val="nil"/>
              <w:bottom w:val="single" w:sz="4" w:space="0" w:color="auto"/>
              <w:right w:val="single" w:sz="4" w:space="0" w:color="auto"/>
            </w:tcBorders>
            <w:shd w:val="clear" w:color="auto" w:fill="auto"/>
            <w:noWrap/>
            <w:vAlign w:val="bottom"/>
            <w:hideMark/>
          </w:tcPr>
          <w:p w:rsidR="00B4303B" w:rsidRPr="006C18A8" w:rsidRDefault="00B4303B" w:rsidP="00DA7DA6">
            <w:pPr>
              <w:spacing w:after="0" w:line="240" w:lineRule="auto"/>
              <w:rPr>
                <w:rFonts w:eastAsia="Times New Roman" w:cs="Arial"/>
                <w:b/>
                <w:bCs/>
                <w:sz w:val="20"/>
                <w:szCs w:val="20"/>
                <w:lang w:eastAsia="es-MX"/>
              </w:rPr>
            </w:pPr>
            <w:r w:rsidRPr="006C18A8">
              <w:rPr>
                <w:rFonts w:eastAsia="Times New Roman" w:cs="Arial"/>
                <w:b/>
                <w:bCs/>
                <w:sz w:val="20"/>
                <w:szCs w:val="20"/>
                <w:lang w:eastAsia="es-MX"/>
              </w:rPr>
              <w:t xml:space="preserve">   </w:t>
            </w:r>
            <w:r w:rsidR="00DA7DA6">
              <w:rPr>
                <w:rFonts w:eastAsia="Times New Roman" w:cs="Arial"/>
                <w:b/>
                <w:bCs/>
                <w:sz w:val="20"/>
                <w:szCs w:val="20"/>
                <w:lang w:eastAsia="es-MX"/>
              </w:rPr>
              <w:t xml:space="preserve">  8,822,126.75</w:t>
            </w:r>
            <w:r w:rsidRPr="006C18A8">
              <w:rPr>
                <w:rFonts w:eastAsia="Times New Roman" w:cs="Arial"/>
                <w:b/>
                <w:bCs/>
                <w:sz w:val="20"/>
                <w:szCs w:val="20"/>
                <w:lang w:eastAsia="es-MX"/>
              </w:rPr>
              <w:t xml:space="preserve"> </w:t>
            </w:r>
          </w:p>
        </w:tc>
      </w:tr>
    </w:tbl>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b/>
          <w:bCs/>
          <w:sz w:val="24"/>
          <w:szCs w:val="24"/>
          <w:lang w:eastAsia="es-MX"/>
        </w:rPr>
      </w:pPr>
      <w:r w:rsidRPr="006C18A8">
        <w:rPr>
          <w:rFonts w:eastAsia="Times New Roman" w:cs="Arial"/>
          <w:b/>
          <w:bCs/>
          <w:sz w:val="24"/>
          <w:szCs w:val="24"/>
          <w:lang w:eastAsia="es-MX"/>
        </w:rPr>
        <w:t>NOTAS DE GESTIÓN</w:t>
      </w:r>
    </w:p>
    <w:p w:rsidR="00B4303B" w:rsidRPr="006C18A8" w:rsidRDefault="00B4303B" w:rsidP="00B4303B">
      <w:pPr>
        <w:spacing w:after="0" w:line="240" w:lineRule="auto"/>
        <w:rPr>
          <w:rFonts w:eastAsia="Times New Roman" w:cs="Arial"/>
          <w:b/>
          <w:bCs/>
          <w:sz w:val="24"/>
          <w:szCs w:val="24"/>
          <w:lang w:eastAsia="es-MX"/>
        </w:rPr>
      </w:pPr>
    </w:p>
    <w:tbl>
      <w:tblPr>
        <w:tblW w:w="13620" w:type="dxa"/>
        <w:tblInd w:w="55" w:type="dxa"/>
        <w:tblCellMar>
          <w:left w:w="70" w:type="dxa"/>
          <w:right w:w="70" w:type="dxa"/>
        </w:tblCellMar>
        <w:tblLook w:val="04A0" w:firstRow="1" w:lastRow="0" w:firstColumn="1" w:lastColumn="0" w:noHBand="0" w:noVBand="1"/>
      </w:tblPr>
      <w:tblGrid>
        <w:gridCol w:w="13620"/>
      </w:tblGrid>
      <w:tr w:rsidR="00B4303B" w:rsidRPr="006C18A8" w:rsidTr="00B4303B">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303B" w:rsidRPr="006C18A8" w:rsidRDefault="00B4303B" w:rsidP="00B4303B">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NOTA 1</w:t>
            </w:r>
          </w:p>
        </w:tc>
      </w:tr>
      <w:tr w:rsidR="00B4303B" w:rsidRPr="006C18A8" w:rsidTr="00B4303B">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303B" w:rsidRPr="006C18A8" w:rsidRDefault="00B4303B" w:rsidP="00B4303B">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INTRODUCCION</w:t>
            </w:r>
          </w:p>
        </w:tc>
      </w:tr>
    </w:tbl>
    <w:p w:rsidR="00B4303B" w:rsidRPr="006C18A8" w:rsidRDefault="00B4303B" w:rsidP="00B4303B">
      <w:pPr>
        <w:spacing w:after="0" w:line="240" w:lineRule="auto"/>
        <w:rPr>
          <w:rFonts w:eastAsia="Times New Roman" w:cs="Arial"/>
          <w:b/>
          <w:bCs/>
          <w:sz w:val="24"/>
          <w:szCs w:val="24"/>
          <w:lang w:eastAsia="es-MX"/>
        </w:rPr>
      </w:pPr>
    </w:p>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Los Estados Financieros de los entes públicos, proveen de información financiera a los principales usuarios de la misma, al Congreso y a los Ciudadanos.</w:t>
      </w:r>
    </w:p>
    <w:p w:rsidR="00B4303B" w:rsidRPr="006C18A8" w:rsidRDefault="00B4303B" w:rsidP="00B4303B">
      <w:pPr>
        <w:spacing w:after="0" w:line="240" w:lineRule="auto"/>
        <w:rPr>
          <w:rFonts w:eastAsia="Times New Roman" w:cs="Arial"/>
          <w:b/>
          <w:bCs/>
          <w:sz w:val="24"/>
          <w:szCs w:val="24"/>
          <w:lang w:eastAsia="es-MX"/>
        </w:rPr>
      </w:pPr>
    </w:p>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 xml:space="preserve">El Objetivo del presente documento es la revelación del contexto y de los aspectos económicos-financieros </w:t>
      </w:r>
      <w:proofErr w:type="spellStart"/>
      <w:r w:rsidRPr="006C18A8">
        <w:rPr>
          <w:rFonts w:eastAsia="Times New Roman" w:cs="Arial"/>
          <w:sz w:val="20"/>
          <w:szCs w:val="20"/>
          <w:lang w:eastAsia="es-MX"/>
        </w:rPr>
        <w:t>mas</w:t>
      </w:r>
      <w:proofErr w:type="spellEnd"/>
      <w:r w:rsidRPr="006C18A8">
        <w:rPr>
          <w:rFonts w:eastAsia="Times New Roman" w:cs="Arial"/>
          <w:sz w:val="20"/>
          <w:szCs w:val="20"/>
          <w:lang w:eastAsia="es-MX"/>
        </w:rPr>
        <w:t xml:space="preserve"> relevantes que influyeron en las decisiones del período y que deberán ser considerados en la elaboración de los estados financieros para la mayor comprensión de los mismos y sus particulares.</w:t>
      </w:r>
    </w:p>
    <w:p w:rsidR="00B4303B" w:rsidRPr="006C18A8" w:rsidRDefault="00B4303B" w:rsidP="00B4303B">
      <w:pPr>
        <w:spacing w:after="0" w:line="240" w:lineRule="auto"/>
        <w:rPr>
          <w:rFonts w:eastAsia="Times New Roman" w:cs="Arial"/>
          <w:b/>
          <w:bCs/>
          <w:sz w:val="24"/>
          <w:szCs w:val="24"/>
          <w:lang w:eastAsia="es-MX"/>
        </w:rPr>
      </w:pPr>
    </w:p>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De esta manera, se informa y se explica la respuesta del gobierno a las condiciones relacionadas con la información financiera de cada período de gestión; además, de exponer aquellas políticas que podrían afectar la toma de dec</w:t>
      </w:r>
      <w:r w:rsidR="003B0891" w:rsidRPr="006C18A8">
        <w:rPr>
          <w:rFonts w:eastAsia="Times New Roman" w:cs="Arial"/>
          <w:sz w:val="20"/>
          <w:szCs w:val="20"/>
          <w:lang w:eastAsia="es-MX"/>
        </w:rPr>
        <w:t>isiones en períodos posteriores.</w:t>
      </w:r>
    </w:p>
    <w:p w:rsidR="00B4303B" w:rsidRPr="006C18A8" w:rsidRDefault="00B4303B" w:rsidP="00B4303B">
      <w:pPr>
        <w:spacing w:after="0" w:line="240" w:lineRule="auto"/>
        <w:rPr>
          <w:rFonts w:eastAsia="Times New Roman" w:cs="Arial"/>
          <w:b/>
          <w:bCs/>
          <w:sz w:val="24"/>
          <w:szCs w:val="24"/>
          <w:lang w:eastAsia="es-MX"/>
        </w:rPr>
      </w:pPr>
    </w:p>
    <w:tbl>
      <w:tblPr>
        <w:tblW w:w="13620" w:type="dxa"/>
        <w:tblInd w:w="55" w:type="dxa"/>
        <w:tblCellMar>
          <w:left w:w="70" w:type="dxa"/>
          <w:right w:w="70" w:type="dxa"/>
        </w:tblCellMar>
        <w:tblLook w:val="04A0" w:firstRow="1" w:lastRow="0" w:firstColumn="1" w:lastColumn="0" w:noHBand="0" w:noVBand="1"/>
      </w:tblPr>
      <w:tblGrid>
        <w:gridCol w:w="13620"/>
      </w:tblGrid>
      <w:tr w:rsidR="00B4303B" w:rsidRPr="006C18A8" w:rsidTr="00B4303B">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303B" w:rsidRPr="006C18A8" w:rsidRDefault="00B4303B" w:rsidP="00B4303B">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lastRenderedPageBreak/>
              <w:t>NOTA 2</w:t>
            </w:r>
          </w:p>
        </w:tc>
      </w:tr>
      <w:tr w:rsidR="00B4303B" w:rsidRPr="006C18A8" w:rsidTr="00B4303B">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303B" w:rsidRPr="006C18A8" w:rsidRDefault="00B4303B" w:rsidP="00B4303B">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PANORAMA ECONOMICO-FINANCIERO</w:t>
            </w:r>
          </w:p>
        </w:tc>
      </w:tr>
    </w:tbl>
    <w:p w:rsidR="00B4303B" w:rsidRPr="006C18A8" w:rsidRDefault="00B4303B" w:rsidP="00B4303B">
      <w:pPr>
        <w:spacing w:after="0" w:line="240" w:lineRule="auto"/>
        <w:rPr>
          <w:rFonts w:eastAsia="Times New Roman" w:cs="Arial"/>
          <w:b/>
          <w:bCs/>
          <w:sz w:val="24"/>
          <w:szCs w:val="24"/>
          <w:lang w:eastAsia="es-MX"/>
        </w:rPr>
      </w:pPr>
    </w:p>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El Fondo para la Consolidación y Fomento del Empleo Permanente en el Estado de Yucatán opera bajo condiciones económico-financieras seguras y estables puesto que todas las decisiones que se toman son expuestas al Presidente del Comité y las mismas son aprobadas, en su caso, y siempre tomado en consideración la salvaguarda y protección de los recursos del Estado.</w:t>
      </w:r>
    </w:p>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sz w:val="20"/>
          <w:szCs w:val="20"/>
          <w:lang w:eastAsia="es-MX"/>
        </w:rPr>
      </w:pPr>
    </w:p>
    <w:tbl>
      <w:tblPr>
        <w:tblW w:w="13620" w:type="dxa"/>
        <w:tblInd w:w="55" w:type="dxa"/>
        <w:tblCellMar>
          <w:left w:w="70" w:type="dxa"/>
          <w:right w:w="70" w:type="dxa"/>
        </w:tblCellMar>
        <w:tblLook w:val="04A0" w:firstRow="1" w:lastRow="0" w:firstColumn="1" w:lastColumn="0" w:noHBand="0" w:noVBand="1"/>
      </w:tblPr>
      <w:tblGrid>
        <w:gridCol w:w="13620"/>
      </w:tblGrid>
      <w:tr w:rsidR="00B4303B" w:rsidRPr="006C18A8" w:rsidTr="00B4303B">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303B" w:rsidRPr="006C18A8" w:rsidRDefault="00B4303B" w:rsidP="00B4303B">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NOTA 3</w:t>
            </w:r>
          </w:p>
        </w:tc>
      </w:tr>
      <w:tr w:rsidR="00B4303B" w:rsidRPr="006C18A8" w:rsidTr="00B4303B">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303B" w:rsidRPr="006C18A8" w:rsidRDefault="00B4303B" w:rsidP="00B4303B">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AUTORIZACION E HISTORIA</w:t>
            </w:r>
          </w:p>
        </w:tc>
      </w:tr>
    </w:tbl>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 xml:space="preserve">El día 01 del mes de noviembre de 1995 se firma el acuerdo de coordinación de acciones para la constitución del FONDO PARA LA CONSOLIDACIÓN Y FOMENTO DEL EMPLEO PERMANENTE EN EL ESTADO DE YUCATÁN, por una parte el Gobierno Federal a través de la Secretaría de Desarrollo Social a través de su órgano desconcentrado denominado Coordinación General del Programa de Apoyo para las  Empresas de Solidaridad " FONAES " y por la segunda parte el Gobierno del Estado de Yucatán representados por el C. Gobernador Constitucional </w:t>
      </w:r>
      <w:proofErr w:type="spellStart"/>
      <w:r w:rsidRPr="006C18A8">
        <w:rPr>
          <w:rFonts w:eastAsia="Times New Roman" w:cs="Arial"/>
          <w:sz w:val="20"/>
          <w:szCs w:val="20"/>
          <w:lang w:eastAsia="es-MX"/>
        </w:rPr>
        <w:t>Victor</w:t>
      </w:r>
      <w:proofErr w:type="spellEnd"/>
      <w:r w:rsidRPr="006C18A8">
        <w:rPr>
          <w:rFonts w:eastAsia="Times New Roman" w:cs="Arial"/>
          <w:sz w:val="20"/>
          <w:szCs w:val="20"/>
          <w:lang w:eastAsia="es-MX"/>
        </w:rPr>
        <w:t xml:space="preserve"> Cervera Pacheco, La Secretaria General de Gobierno C. Mirna Hoyos </w:t>
      </w:r>
      <w:proofErr w:type="spellStart"/>
      <w:r w:rsidRPr="006C18A8">
        <w:rPr>
          <w:rFonts w:eastAsia="Times New Roman" w:cs="Arial"/>
          <w:sz w:val="20"/>
          <w:szCs w:val="20"/>
          <w:lang w:eastAsia="es-MX"/>
        </w:rPr>
        <w:t>Schlamme</w:t>
      </w:r>
      <w:proofErr w:type="spellEnd"/>
      <w:r w:rsidRPr="006C18A8">
        <w:rPr>
          <w:rFonts w:eastAsia="Times New Roman" w:cs="Arial"/>
          <w:sz w:val="20"/>
          <w:szCs w:val="20"/>
          <w:lang w:eastAsia="es-MX"/>
        </w:rPr>
        <w:t xml:space="preserve"> y Ricardo Elías </w:t>
      </w:r>
      <w:proofErr w:type="spellStart"/>
      <w:r w:rsidRPr="006C18A8">
        <w:rPr>
          <w:rFonts w:eastAsia="Times New Roman" w:cs="Arial"/>
          <w:sz w:val="20"/>
          <w:szCs w:val="20"/>
          <w:lang w:eastAsia="es-MX"/>
        </w:rPr>
        <w:t>Dajer</w:t>
      </w:r>
      <w:proofErr w:type="spellEnd"/>
      <w:r w:rsidRPr="006C18A8">
        <w:rPr>
          <w:rFonts w:eastAsia="Times New Roman" w:cs="Arial"/>
          <w:sz w:val="20"/>
          <w:szCs w:val="20"/>
          <w:lang w:eastAsia="es-MX"/>
        </w:rPr>
        <w:t xml:space="preserve"> </w:t>
      </w:r>
      <w:proofErr w:type="spellStart"/>
      <w:r w:rsidRPr="006C18A8">
        <w:rPr>
          <w:rFonts w:eastAsia="Times New Roman" w:cs="Arial"/>
          <w:sz w:val="20"/>
          <w:szCs w:val="20"/>
          <w:lang w:eastAsia="es-MX"/>
        </w:rPr>
        <w:t>Nahum</w:t>
      </w:r>
      <w:proofErr w:type="spellEnd"/>
      <w:r w:rsidRPr="006C18A8">
        <w:rPr>
          <w:rFonts w:eastAsia="Times New Roman" w:cs="Arial"/>
          <w:sz w:val="20"/>
          <w:szCs w:val="20"/>
          <w:lang w:eastAsia="es-MX"/>
        </w:rPr>
        <w:t>, Secretario de Desarrollo Industrial y Comercial, con el objeto de promover y apoyar el desarrollo de actividades productivas mediante recursos financieros a proyectos con probada viabilidad y rentabilidad económica social que contribuya a la generación de empleos y a una mayor distribución del ingreso, también como parte del patrimonio del FONDO se incluye a un grupo de particulares quienes también realizarán una aportación a dicho FONDO.</w:t>
      </w:r>
    </w:p>
    <w:p w:rsidR="00B4303B" w:rsidRPr="006C18A8" w:rsidRDefault="00B4303B" w:rsidP="00B4303B">
      <w:pPr>
        <w:spacing w:after="0" w:line="240" w:lineRule="auto"/>
        <w:rPr>
          <w:rFonts w:eastAsia="Times New Roman" w:cs="Arial"/>
          <w:b/>
          <w:bCs/>
          <w:sz w:val="24"/>
          <w:szCs w:val="24"/>
          <w:lang w:eastAsia="es-MX"/>
        </w:rPr>
      </w:pPr>
    </w:p>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 xml:space="preserve">El Articulo 4 </w:t>
      </w:r>
      <w:proofErr w:type="spellStart"/>
      <w:r w:rsidRPr="006C18A8">
        <w:rPr>
          <w:rFonts w:eastAsia="Times New Roman" w:cs="Arial"/>
          <w:sz w:val="20"/>
          <w:szCs w:val="20"/>
          <w:lang w:eastAsia="es-MX"/>
        </w:rPr>
        <w:t>Fracc</w:t>
      </w:r>
      <w:proofErr w:type="spellEnd"/>
      <w:r w:rsidRPr="006C18A8">
        <w:rPr>
          <w:rFonts w:eastAsia="Times New Roman" w:cs="Arial"/>
          <w:sz w:val="20"/>
          <w:szCs w:val="20"/>
          <w:lang w:eastAsia="es-MX"/>
        </w:rPr>
        <w:t xml:space="preserve"> XII de la Ley de Contabilidad, establece que son Entes Públicos: los poderes Ejecutivo, Legislativo y Judicial de la Federación y de las entidades federativas; los entes autónomos de la Federación y de las entidades federativas; los ayuntamientos de los municipios; los órganos políticos administrativos de las demarcaciones territoriales del Distrito Federal; y las entidades de la administración pública paraestatal, ya sean federales, estatales o municipales.</w:t>
      </w:r>
    </w:p>
    <w:p w:rsidR="00B4303B" w:rsidRDefault="00B4303B" w:rsidP="00B4303B">
      <w:pPr>
        <w:spacing w:after="0" w:line="240" w:lineRule="auto"/>
        <w:rPr>
          <w:rFonts w:eastAsia="Times New Roman" w:cs="Arial"/>
          <w:sz w:val="20"/>
          <w:szCs w:val="20"/>
          <w:lang w:eastAsia="es-MX"/>
        </w:rPr>
      </w:pPr>
    </w:p>
    <w:p w:rsidR="006C18A8" w:rsidRPr="006C18A8" w:rsidRDefault="006C18A8"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sz w:val="20"/>
          <w:szCs w:val="20"/>
          <w:lang w:eastAsia="es-MX"/>
        </w:rPr>
      </w:pPr>
    </w:p>
    <w:p w:rsidR="003B0891" w:rsidRPr="006C18A8" w:rsidRDefault="003B0891" w:rsidP="00B4303B">
      <w:pPr>
        <w:spacing w:after="0" w:line="240" w:lineRule="auto"/>
        <w:rPr>
          <w:rFonts w:eastAsia="Times New Roman" w:cs="Arial"/>
          <w:sz w:val="20"/>
          <w:szCs w:val="20"/>
          <w:lang w:eastAsia="es-MX"/>
        </w:rPr>
      </w:pPr>
    </w:p>
    <w:tbl>
      <w:tblPr>
        <w:tblW w:w="13620" w:type="dxa"/>
        <w:tblInd w:w="55" w:type="dxa"/>
        <w:tblCellMar>
          <w:left w:w="70" w:type="dxa"/>
          <w:right w:w="70" w:type="dxa"/>
        </w:tblCellMar>
        <w:tblLook w:val="04A0" w:firstRow="1" w:lastRow="0" w:firstColumn="1" w:lastColumn="0" w:noHBand="0" w:noVBand="1"/>
      </w:tblPr>
      <w:tblGrid>
        <w:gridCol w:w="13620"/>
      </w:tblGrid>
      <w:tr w:rsidR="00B4303B" w:rsidRPr="006C18A8" w:rsidTr="00B4303B">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303B" w:rsidRPr="006C18A8" w:rsidRDefault="00B4303B" w:rsidP="00B4303B">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lastRenderedPageBreak/>
              <w:t>NOTA 4</w:t>
            </w:r>
          </w:p>
        </w:tc>
      </w:tr>
      <w:tr w:rsidR="00B4303B" w:rsidRPr="006C18A8" w:rsidTr="00B4303B">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303B" w:rsidRPr="006C18A8" w:rsidRDefault="00B4303B" w:rsidP="00B4303B">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ORGANIZACIÓN Y OBJETO SOCIAL</w:t>
            </w:r>
          </w:p>
        </w:tc>
      </w:tr>
    </w:tbl>
    <w:p w:rsidR="00B4303B" w:rsidRPr="006C18A8" w:rsidRDefault="00B4303B" w:rsidP="00B4303B">
      <w:pPr>
        <w:spacing w:after="0" w:line="240" w:lineRule="auto"/>
        <w:rPr>
          <w:rFonts w:eastAsia="Times New Roman" w:cs="Arial"/>
          <w:sz w:val="20"/>
          <w:szCs w:val="20"/>
          <w:lang w:eastAsia="es-MX"/>
        </w:rPr>
      </w:pPr>
    </w:p>
    <w:p w:rsidR="00B4303B" w:rsidRPr="006C18A8" w:rsidRDefault="006C18A8"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a) El</w:t>
      </w:r>
      <w:r w:rsidR="00B4303B" w:rsidRPr="006C18A8">
        <w:rPr>
          <w:rFonts w:eastAsia="Times New Roman" w:cs="Arial"/>
          <w:sz w:val="20"/>
          <w:szCs w:val="20"/>
          <w:lang w:eastAsia="es-MX"/>
        </w:rPr>
        <w:t xml:space="preserve"> Objeto del Fondo es: a) Promover y Apoyar el desarrollo de actividades productivas mediante  recursos financieros a proyectos con probada viabilidad y rentabilidad económica social que contribuya a la generación de empleos y a una mejor distribución del ingreso.</w:t>
      </w:r>
    </w:p>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b) Apoyar financieramente para su expansión y/o consolidación a la microempresa que cuente con un proyecto económico financiero viable y rentable, enmarcado en la actividad manufacturera, de construcción, comercial y/o de servicios, agropecuaria y artesanal.</w:t>
      </w:r>
    </w:p>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c) Desarrollar opciones productivas para dar un mayor valor agregado a los productos generados por el sector social, permitiéndole mejorar sus ingresos.</w:t>
      </w:r>
    </w:p>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d) Apoyar a los grupos sociales para impulsar sus proyectos de inversión y atenderlos financieramente o a través de capacitación o asistencia técnica.</w:t>
      </w:r>
    </w:p>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e) Mediante el programa de empleo productivo, proveer de recursos a las empresas para realizar la adquisición de insumos, la contratación y pago de la fuerza laboral requerida para dar cumplimiento a su proceso productivo, así como para la capacitación, orientada a mejorar los niveles de capacidad administrativa, financiera y técnica de los sujetos de apoyo o sus trabajadores.</w:t>
      </w:r>
    </w:p>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Las Operaciones que dieron origen a los Estados Financieros corresponden al ejercicio presupuestal comprendido del 01 de enero al 31 de diciembre de 2016.</w:t>
      </w:r>
    </w:p>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El Fondo para la Consolidación y Fomento del Empleo Permanente en el Estado de Yucatán se crea como un acuerdo de coordinación entre el Gobierno Estatal y Federal y no tiene obligaciones fiscales que cumplir.</w:t>
      </w:r>
    </w:p>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El Fondo para la Consolidación y Fomento al Empleo Permanente en el Estrado de Yucatán no tiene contratado servicios personales para que laboren en el mismo, puesto que toda sus actividades administrativas las elabora el personal de la Secretaría de Fomento Económico destinada para tales fines, dicha dependencia, elabora los Estados Financieros y envía una copia a la Dirección General de Fondos y Microempresas de "Empresas de Solidaridad".</w:t>
      </w:r>
    </w:p>
    <w:p w:rsidR="00B4303B" w:rsidRDefault="00B4303B" w:rsidP="00B4303B">
      <w:pPr>
        <w:spacing w:after="0" w:line="240" w:lineRule="auto"/>
        <w:rPr>
          <w:rFonts w:eastAsia="Times New Roman" w:cs="Arial"/>
          <w:sz w:val="20"/>
          <w:szCs w:val="20"/>
          <w:lang w:eastAsia="es-MX"/>
        </w:rPr>
      </w:pPr>
    </w:p>
    <w:p w:rsidR="006C18A8" w:rsidRPr="006C18A8" w:rsidRDefault="006C18A8"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sz w:val="20"/>
          <w:szCs w:val="20"/>
          <w:lang w:eastAsia="es-MX"/>
        </w:rPr>
      </w:pPr>
    </w:p>
    <w:tbl>
      <w:tblPr>
        <w:tblW w:w="13620" w:type="dxa"/>
        <w:tblInd w:w="55" w:type="dxa"/>
        <w:tblCellMar>
          <w:left w:w="70" w:type="dxa"/>
          <w:right w:w="70" w:type="dxa"/>
        </w:tblCellMar>
        <w:tblLook w:val="04A0" w:firstRow="1" w:lastRow="0" w:firstColumn="1" w:lastColumn="0" w:noHBand="0" w:noVBand="1"/>
      </w:tblPr>
      <w:tblGrid>
        <w:gridCol w:w="13620"/>
      </w:tblGrid>
      <w:tr w:rsidR="00B4303B" w:rsidRPr="006C18A8" w:rsidTr="00B4303B">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303B" w:rsidRPr="006C18A8" w:rsidRDefault="00B4303B" w:rsidP="00B4303B">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lastRenderedPageBreak/>
              <w:t>NOTA 5</w:t>
            </w:r>
          </w:p>
        </w:tc>
      </w:tr>
      <w:tr w:rsidR="00B4303B" w:rsidRPr="006C18A8" w:rsidTr="00B4303B">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303B" w:rsidRPr="006C18A8" w:rsidRDefault="00B4303B" w:rsidP="00B4303B">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BASES DE PREPARACION DE LOS ESTADOS FINANCIEROS</w:t>
            </w:r>
          </w:p>
        </w:tc>
      </w:tr>
    </w:tbl>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Para la preparación de los Estados Financieros se tomó como base la Ley General de Contabilidad Gubernamental así como también la normatividad emitida por el CONAC y las disposiciones legales aplicables.</w:t>
      </w:r>
    </w:p>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b/>
          <w:bCs/>
          <w:sz w:val="20"/>
          <w:szCs w:val="20"/>
          <w:lang w:eastAsia="es-MX"/>
        </w:rPr>
      </w:pPr>
      <w:r w:rsidRPr="006C18A8">
        <w:rPr>
          <w:rFonts w:eastAsia="Times New Roman" w:cs="Arial"/>
          <w:b/>
          <w:bCs/>
          <w:sz w:val="20"/>
          <w:szCs w:val="20"/>
          <w:lang w:eastAsia="es-MX"/>
        </w:rPr>
        <w:t>POSTULADOS BÁSICOS</w:t>
      </w:r>
    </w:p>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b/>
          <w:bCs/>
          <w:sz w:val="20"/>
          <w:szCs w:val="20"/>
          <w:lang w:eastAsia="es-MX"/>
        </w:rPr>
      </w:pPr>
      <w:r w:rsidRPr="006C18A8">
        <w:rPr>
          <w:rFonts w:eastAsia="Times New Roman" w:cs="Arial"/>
          <w:b/>
          <w:bCs/>
          <w:sz w:val="20"/>
          <w:szCs w:val="20"/>
          <w:lang w:eastAsia="es-MX"/>
        </w:rPr>
        <w:t>Sustancia Económica</w:t>
      </w:r>
    </w:p>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Los ingresos y gastos fueron reconocidos en el momento en que fueron realizados y ejercidos, respectivamente y se encuentran registrados de acuerdo con los criterios de la Ley General de Contabilidad Gubernamental, las Normas emitidas por el CONAC, la Ley de Presupuesto y Contabilidad Gubernamental.</w:t>
      </w:r>
    </w:p>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b/>
          <w:bCs/>
          <w:sz w:val="20"/>
          <w:szCs w:val="20"/>
          <w:lang w:eastAsia="es-MX"/>
        </w:rPr>
      </w:pPr>
      <w:r w:rsidRPr="006C18A8">
        <w:rPr>
          <w:rFonts w:eastAsia="Times New Roman" w:cs="Arial"/>
          <w:b/>
          <w:bCs/>
          <w:sz w:val="20"/>
          <w:szCs w:val="20"/>
          <w:lang w:eastAsia="es-MX"/>
        </w:rPr>
        <w:t>Entes Públicos</w:t>
      </w:r>
    </w:p>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Los poderes Ejecutivo, Legislativo y Judicial de la Federación y de las entidades federativas; los entes autónomos de la Federación y de las entidades federativas; los ayuntamientos de los municipios; los órganos políticos administrativos de las demarcaciones territoriales del Distrito Federal; y las entidades de la administración pública paraestatal, ya sean federales, estatales o municipales.</w:t>
      </w:r>
    </w:p>
    <w:p w:rsidR="00B4303B" w:rsidRPr="006C18A8" w:rsidRDefault="00B4303B" w:rsidP="00B4303B">
      <w:pPr>
        <w:spacing w:after="0" w:line="240" w:lineRule="auto"/>
        <w:rPr>
          <w:rFonts w:eastAsia="Times New Roman" w:cs="Arial"/>
          <w:sz w:val="20"/>
          <w:szCs w:val="20"/>
          <w:lang w:eastAsia="es-MX"/>
        </w:rPr>
      </w:pPr>
    </w:p>
    <w:tbl>
      <w:tblPr>
        <w:tblW w:w="13620" w:type="dxa"/>
        <w:tblInd w:w="55" w:type="dxa"/>
        <w:tblCellMar>
          <w:left w:w="70" w:type="dxa"/>
          <w:right w:w="70" w:type="dxa"/>
        </w:tblCellMar>
        <w:tblLook w:val="04A0" w:firstRow="1" w:lastRow="0" w:firstColumn="1" w:lastColumn="0" w:noHBand="0" w:noVBand="1"/>
      </w:tblPr>
      <w:tblGrid>
        <w:gridCol w:w="3180"/>
        <w:gridCol w:w="1780"/>
        <w:gridCol w:w="1200"/>
        <w:gridCol w:w="1480"/>
        <w:gridCol w:w="1460"/>
        <w:gridCol w:w="1740"/>
        <w:gridCol w:w="1500"/>
        <w:gridCol w:w="1280"/>
      </w:tblGrid>
      <w:tr w:rsidR="00B4303B" w:rsidRPr="006C18A8" w:rsidTr="00B4303B">
        <w:trPr>
          <w:trHeight w:val="255"/>
        </w:trPr>
        <w:tc>
          <w:tcPr>
            <w:tcW w:w="3180" w:type="dxa"/>
            <w:tcBorders>
              <w:top w:val="nil"/>
              <w:left w:val="nil"/>
              <w:bottom w:val="nil"/>
              <w:right w:val="nil"/>
            </w:tcBorders>
            <w:shd w:val="clear" w:color="auto" w:fill="auto"/>
            <w:noWrap/>
            <w:vAlign w:val="bottom"/>
            <w:hideMark/>
          </w:tcPr>
          <w:p w:rsidR="00B4303B" w:rsidRPr="006C18A8" w:rsidRDefault="00B4303B" w:rsidP="00B4303B">
            <w:pPr>
              <w:spacing w:after="0" w:line="240" w:lineRule="auto"/>
              <w:rPr>
                <w:rFonts w:eastAsia="Times New Roman" w:cs="Arial"/>
                <w:b/>
                <w:bCs/>
                <w:sz w:val="20"/>
                <w:szCs w:val="20"/>
                <w:lang w:eastAsia="es-MX"/>
              </w:rPr>
            </w:pPr>
            <w:r w:rsidRPr="006C18A8">
              <w:rPr>
                <w:rFonts w:eastAsia="Times New Roman" w:cs="Arial"/>
                <w:b/>
                <w:bCs/>
                <w:sz w:val="20"/>
                <w:szCs w:val="20"/>
                <w:lang w:eastAsia="es-MX"/>
              </w:rPr>
              <w:t>Existencia Permanente</w:t>
            </w:r>
          </w:p>
        </w:tc>
        <w:tc>
          <w:tcPr>
            <w:tcW w:w="1780" w:type="dxa"/>
            <w:tcBorders>
              <w:top w:val="nil"/>
              <w:left w:val="nil"/>
              <w:bottom w:val="nil"/>
              <w:right w:val="nil"/>
            </w:tcBorders>
            <w:shd w:val="clear" w:color="auto" w:fill="auto"/>
            <w:noWrap/>
            <w:vAlign w:val="bottom"/>
            <w:hideMark/>
          </w:tcPr>
          <w:p w:rsidR="00B4303B" w:rsidRPr="006C18A8" w:rsidRDefault="00B4303B" w:rsidP="00B4303B">
            <w:pPr>
              <w:spacing w:after="0" w:line="240" w:lineRule="auto"/>
              <w:rPr>
                <w:rFonts w:eastAsia="Times New Roman" w:cs="Arial"/>
                <w:sz w:val="20"/>
                <w:szCs w:val="20"/>
                <w:lang w:eastAsia="es-MX"/>
              </w:rPr>
            </w:pPr>
          </w:p>
        </w:tc>
        <w:tc>
          <w:tcPr>
            <w:tcW w:w="1200" w:type="dxa"/>
            <w:tcBorders>
              <w:top w:val="nil"/>
              <w:left w:val="nil"/>
              <w:bottom w:val="nil"/>
              <w:right w:val="nil"/>
            </w:tcBorders>
            <w:shd w:val="clear" w:color="auto" w:fill="auto"/>
            <w:noWrap/>
            <w:vAlign w:val="bottom"/>
            <w:hideMark/>
          </w:tcPr>
          <w:p w:rsidR="00B4303B" w:rsidRPr="006C18A8" w:rsidRDefault="00B4303B" w:rsidP="00B4303B">
            <w:pPr>
              <w:spacing w:after="0" w:line="240" w:lineRule="auto"/>
              <w:rPr>
                <w:rFonts w:eastAsia="Times New Roman" w:cs="Arial"/>
                <w:sz w:val="20"/>
                <w:szCs w:val="20"/>
                <w:lang w:eastAsia="es-MX"/>
              </w:rPr>
            </w:pPr>
          </w:p>
        </w:tc>
        <w:tc>
          <w:tcPr>
            <w:tcW w:w="1480" w:type="dxa"/>
            <w:tcBorders>
              <w:top w:val="nil"/>
              <w:left w:val="nil"/>
              <w:bottom w:val="nil"/>
              <w:right w:val="nil"/>
            </w:tcBorders>
            <w:shd w:val="clear" w:color="auto" w:fill="auto"/>
            <w:noWrap/>
            <w:vAlign w:val="bottom"/>
            <w:hideMark/>
          </w:tcPr>
          <w:p w:rsidR="00B4303B" w:rsidRPr="006C18A8" w:rsidRDefault="00B4303B" w:rsidP="00B4303B">
            <w:pPr>
              <w:spacing w:after="0" w:line="240" w:lineRule="auto"/>
              <w:rPr>
                <w:rFonts w:eastAsia="Times New Roman" w:cs="Arial"/>
                <w:sz w:val="20"/>
                <w:szCs w:val="20"/>
                <w:lang w:eastAsia="es-MX"/>
              </w:rPr>
            </w:pPr>
          </w:p>
        </w:tc>
        <w:tc>
          <w:tcPr>
            <w:tcW w:w="1460" w:type="dxa"/>
            <w:tcBorders>
              <w:top w:val="nil"/>
              <w:left w:val="nil"/>
              <w:bottom w:val="nil"/>
              <w:right w:val="nil"/>
            </w:tcBorders>
            <w:shd w:val="clear" w:color="auto" w:fill="auto"/>
            <w:noWrap/>
            <w:vAlign w:val="bottom"/>
            <w:hideMark/>
          </w:tcPr>
          <w:p w:rsidR="00B4303B" w:rsidRPr="006C18A8" w:rsidRDefault="00B4303B" w:rsidP="00B4303B">
            <w:pPr>
              <w:spacing w:after="0" w:line="240" w:lineRule="auto"/>
              <w:rPr>
                <w:rFonts w:eastAsia="Times New Roman" w:cs="Arial"/>
                <w:sz w:val="20"/>
                <w:szCs w:val="20"/>
                <w:lang w:eastAsia="es-MX"/>
              </w:rPr>
            </w:pPr>
          </w:p>
        </w:tc>
        <w:tc>
          <w:tcPr>
            <w:tcW w:w="1740" w:type="dxa"/>
            <w:tcBorders>
              <w:top w:val="nil"/>
              <w:left w:val="nil"/>
              <w:bottom w:val="nil"/>
              <w:right w:val="nil"/>
            </w:tcBorders>
            <w:shd w:val="clear" w:color="auto" w:fill="auto"/>
            <w:noWrap/>
            <w:vAlign w:val="bottom"/>
            <w:hideMark/>
          </w:tcPr>
          <w:p w:rsidR="00B4303B" w:rsidRPr="006C18A8" w:rsidRDefault="00B4303B" w:rsidP="00B4303B">
            <w:pPr>
              <w:spacing w:after="0" w:line="240" w:lineRule="auto"/>
              <w:rPr>
                <w:rFonts w:eastAsia="Times New Roman" w:cs="Arial"/>
                <w:sz w:val="20"/>
                <w:szCs w:val="20"/>
                <w:lang w:eastAsia="es-MX"/>
              </w:rPr>
            </w:pPr>
          </w:p>
        </w:tc>
        <w:tc>
          <w:tcPr>
            <w:tcW w:w="1500" w:type="dxa"/>
            <w:tcBorders>
              <w:top w:val="nil"/>
              <w:left w:val="nil"/>
              <w:bottom w:val="nil"/>
              <w:right w:val="nil"/>
            </w:tcBorders>
            <w:shd w:val="clear" w:color="auto" w:fill="auto"/>
            <w:noWrap/>
            <w:vAlign w:val="bottom"/>
            <w:hideMark/>
          </w:tcPr>
          <w:p w:rsidR="00B4303B" w:rsidRPr="006C18A8" w:rsidRDefault="00B4303B" w:rsidP="00B4303B">
            <w:pPr>
              <w:spacing w:after="0" w:line="240" w:lineRule="auto"/>
              <w:rPr>
                <w:rFonts w:eastAsia="Times New Roman" w:cs="Arial"/>
                <w:sz w:val="20"/>
                <w:szCs w:val="20"/>
                <w:lang w:eastAsia="es-MX"/>
              </w:rPr>
            </w:pPr>
          </w:p>
        </w:tc>
        <w:tc>
          <w:tcPr>
            <w:tcW w:w="1280" w:type="dxa"/>
            <w:tcBorders>
              <w:top w:val="nil"/>
              <w:left w:val="nil"/>
              <w:bottom w:val="nil"/>
              <w:right w:val="nil"/>
            </w:tcBorders>
            <w:shd w:val="clear" w:color="auto" w:fill="auto"/>
            <w:noWrap/>
            <w:vAlign w:val="bottom"/>
            <w:hideMark/>
          </w:tcPr>
          <w:p w:rsidR="00B4303B" w:rsidRPr="006C18A8" w:rsidRDefault="00B4303B" w:rsidP="00B4303B">
            <w:pPr>
              <w:spacing w:after="0" w:line="240" w:lineRule="auto"/>
              <w:rPr>
                <w:rFonts w:eastAsia="Times New Roman" w:cs="Arial"/>
                <w:sz w:val="20"/>
                <w:szCs w:val="20"/>
                <w:lang w:eastAsia="es-MX"/>
              </w:rPr>
            </w:pPr>
          </w:p>
        </w:tc>
      </w:tr>
      <w:tr w:rsidR="00B4303B" w:rsidRPr="006C18A8" w:rsidTr="00B4303B">
        <w:trPr>
          <w:trHeight w:val="1425"/>
        </w:trPr>
        <w:tc>
          <w:tcPr>
            <w:tcW w:w="13620" w:type="dxa"/>
            <w:gridSpan w:val="8"/>
            <w:tcBorders>
              <w:top w:val="nil"/>
              <w:left w:val="nil"/>
              <w:bottom w:val="nil"/>
              <w:right w:val="nil"/>
            </w:tcBorders>
            <w:shd w:val="clear" w:color="auto" w:fill="auto"/>
            <w:hideMark/>
          </w:tcPr>
          <w:p w:rsidR="00B4303B" w:rsidRPr="006C18A8" w:rsidRDefault="00B4303B" w:rsidP="00B4303B">
            <w:pPr>
              <w:spacing w:after="0" w:line="240" w:lineRule="auto"/>
              <w:jc w:val="both"/>
              <w:rPr>
                <w:rFonts w:eastAsia="Times New Roman" w:cs="Arial"/>
                <w:sz w:val="20"/>
                <w:szCs w:val="20"/>
                <w:lang w:eastAsia="es-MX"/>
              </w:rPr>
            </w:pPr>
            <w:r w:rsidRPr="006C18A8">
              <w:rPr>
                <w:rFonts w:eastAsia="Times New Roman" w:cs="Arial"/>
                <w:sz w:val="20"/>
                <w:szCs w:val="20"/>
                <w:lang w:eastAsia="es-MX"/>
              </w:rPr>
              <w:t>La vigencia del Fondo para la Consolidación y Fomento del Empleo Permanente en el Estado de Yucatán será la que coincida con la última fecha establecida de devolución en el calendario de restitución de recursos otorgados al amparo del propio acuerdo de coordinación y a la determinación del destino final de los mismos. Sin perjuicio de los anterior, cualquiera de las partes podrá dar por terminado el presente acuerdo de coordinación anticipadamente dando aviso a la otra por escrito dentro de los 30 días naturales anteriores a la fecha en que surtirá efectos. No obstante seguirá operando respecto de los proyectos y/o acciones que estén en proceso y hasta que no se haya amortizado el recurso comprometido en los mismos.</w:t>
            </w:r>
          </w:p>
        </w:tc>
      </w:tr>
    </w:tbl>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b/>
          <w:bCs/>
          <w:sz w:val="20"/>
          <w:szCs w:val="20"/>
          <w:lang w:eastAsia="es-MX"/>
        </w:rPr>
      </w:pPr>
      <w:r w:rsidRPr="006C18A8">
        <w:rPr>
          <w:rFonts w:eastAsia="Times New Roman" w:cs="Arial"/>
          <w:b/>
          <w:bCs/>
          <w:sz w:val="20"/>
          <w:szCs w:val="20"/>
          <w:lang w:eastAsia="es-MX"/>
        </w:rPr>
        <w:t>Revelación Suficiente</w:t>
      </w:r>
    </w:p>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Los estados financieros se presentan conjuntamente con sus notas para una adecuada evaluación cuantitativa cumpliendo con las características de objetividad, verificabilidad y representatividad y que muestran amplia y claramente la situación financiera y los resultados obtenidos del Fondo.</w:t>
      </w:r>
    </w:p>
    <w:p w:rsidR="00B4303B" w:rsidRPr="006C18A8" w:rsidRDefault="00B4303B"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sz w:val="20"/>
          <w:szCs w:val="20"/>
          <w:lang w:eastAsia="es-MX"/>
        </w:rPr>
      </w:pPr>
    </w:p>
    <w:p w:rsidR="006C18A8" w:rsidRDefault="006C18A8" w:rsidP="00B4303B">
      <w:pPr>
        <w:spacing w:after="0" w:line="240" w:lineRule="auto"/>
        <w:rPr>
          <w:rFonts w:eastAsia="Times New Roman" w:cs="Arial"/>
          <w:sz w:val="20"/>
          <w:szCs w:val="20"/>
          <w:lang w:eastAsia="es-MX"/>
        </w:rPr>
      </w:pPr>
    </w:p>
    <w:p w:rsidR="00B4303B" w:rsidRPr="006C18A8" w:rsidRDefault="00B4303B" w:rsidP="00B4303B">
      <w:pPr>
        <w:spacing w:after="0" w:line="240" w:lineRule="auto"/>
        <w:rPr>
          <w:rFonts w:eastAsia="Times New Roman" w:cs="Arial"/>
          <w:b/>
          <w:bCs/>
          <w:sz w:val="20"/>
          <w:szCs w:val="20"/>
          <w:lang w:eastAsia="es-MX"/>
        </w:rPr>
      </w:pPr>
      <w:r w:rsidRPr="006C18A8">
        <w:rPr>
          <w:rFonts w:eastAsia="Times New Roman" w:cs="Arial"/>
          <w:b/>
          <w:bCs/>
          <w:sz w:val="20"/>
          <w:szCs w:val="20"/>
          <w:lang w:eastAsia="es-MX"/>
        </w:rPr>
        <w:lastRenderedPageBreak/>
        <w:t>Importancia Relativa</w:t>
      </w:r>
    </w:p>
    <w:p w:rsidR="00B4303B" w:rsidRPr="006C18A8" w:rsidRDefault="00B4303B"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 xml:space="preserve">La información financiera presentada del Fondo del Empleo no tiene riesgo debido a alguna omisión o presentación errónea en sus importes que afecte la percepción de los usuarios de dicha </w:t>
      </w:r>
      <w:r w:rsidR="00223388" w:rsidRPr="006C18A8">
        <w:rPr>
          <w:rFonts w:eastAsia="Times New Roman" w:cs="Arial"/>
          <w:sz w:val="20"/>
          <w:szCs w:val="20"/>
          <w:lang w:eastAsia="es-MX"/>
        </w:rPr>
        <w:t>información</w:t>
      </w:r>
      <w:r w:rsidRPr="006C18A8">
        <w:rPr>
          <w:rFonts w:eastAsia="Times New Roman" w:cs="Arial"/>
          <w:sz w:val="20"/>
          <w:szCs w:val="20"/>
          <w:lang w:eastAsia="es-MX"/>
        </w:rPr>
        <w:t>, en relación con la rendición de cuentas, la fiscalización y la toma de decisiones.</w:t>
      </w:r>
    </w:p>
    <w:p w:rsidR="00223388" w:rsidRPr="006C18A8" w:rsidRDefault="00223388" w:rsidP="00B4303B">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b/>
          <w:bCs/>
          <w:sz w:val="20"/>
          <w:szCs w:val="20"/>
          <w:lang w:eastAsia="es-MX"/>
        </w:rPr>
      </w:pPr>
      <w:r w:rsidRPr="006C18A8">
        <w:rPr>
          <w:rFonts w:eastAsia="Times New Roman" w:cs="Arial"/>
          <w:b/>
          <w:bCs/>
          <w:sz w:val="20"/>
          <w:szCs w:val="20"/>
          <w:lang w:eastAsia="es-MX"/>
        </w:rPr>
        <w:t>Periodo Contable</w:t>
      </w:r>
    </w:p>
    <w:p w:rsidR="00223388" w:rsidRPr="006C18A8" w:rsidRDefault="00223388" w:rsidP="00B4303B">
      <w:pPr>
        <w:spacing w:after="0" w:line="240" w:lineRule="auto"/>
        <w:rPr>
          <w:rFonts w:eastAsia="Times New Roman" w:cs="Arial"/>
          <w:sz w:val="20"/>
          <w:szCs w:val="20"/>
          <w:lang w:eastAsia="es-MX"/>
        </w:rPr>
      </w:pPr>
      <w:r w:rsidRPr="006C18A8">
        <w:rPr>
          <w:rFonts w:eastAsia="Times New Roman" w:cs="Arial"/>
          <w:sz w:val="20"/>
          <w:szCs w:val="20"/>
          <w:lang w:eastAsia="es-MX"/>
        </w:rPr>
        <w:t>Las Operaciones que dieron origen a los Estados Financieros corresponden al ejercicio presupuestal comprendido del 01 de enero al 31 de diciembre de 2016.</w:t>
      </w:r>
    </w:p>
    <w:p w:rsidR="00223388" w:rsidRPr="006C18A8" w:rsidRDefault="00223388" w:rsidP="00B4303B">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b/>
          <w:bCs/>
          <w:sz w:val="20"/>
          <w:szCs w:val="20"/>
          <w:lang w:eastAsia="es-MX"/>
        </w:rPr>
      </w:pPr>
      <w:r w:rsidRPr="006C18A8">
        <w:rPr>
          <w:rFonts w:eastAsia="Times New Roman" w:cs="Arial"/>
          <w:b/>
          <w:bCs/>
          <w:sz w:val="20"/>
          <w:szCs w:val="20"/>
          <w:lang w:eastAsia="es-MX"/>
        </w:rPr>
        <w:t>Valuación</w:t>
      </w:r>
    </w:p>
    <w:p w:rsidR="00223388" w:rsidRPr="006C18A8" w:rsidRDefault="00223388" w:rsidP="00223388">
      <w:pPr>
        <w:spacing w:after="0" w:line="240" w:lineRule="auto"/>
        <w:rPr>
          <w:rFonts w:eastAsia="Times New Roman" w:cs="Arial"/>
          <w:sz w:val="20"/>
          <w:szCs w:val="20"/>
          <w:lang w:eastAsia="es-MX"/>
        </w:rPr>
      </w:pPr>
      <w:r w:rsidRPr="006C18A8">
        <w:rPr>
          <w:rFonts w:eastAsia="Times New Roman" w:cs="Arial"/>
          <w:sz w:val="20"/>
          <w:szCs w:val="20"/>
          <w:lang w:eastAsia="es-MX"/>
        </w:rPr>
        <w:t xml:space="preserve">Las Operaciones Contables que se presentan fueron </w:t>
      </w:r>
      <w:proofErr w:type="gramStart"/>
      <w:r w:rsidRPr="006C18A8">
        <w:rPr>
          <w:rFonts w:eastAsia="Times New Roman" w:cs="Arial"/>
          <w:sz w:val="20"/>
          <w:szCs w:val="20"/>
          <w:lang w:eastAsia="es-MX"/>
        </w:rPr>
        <w:t>registrados</w:t>
      </w:r>
      <w:proofErr w:type="gramEnd"/>
      <w:r w:rsidRPr="006C18A8">
        <w:rPr>
          <w:rFonts w:eastAsia="Times New Roman" w:cs="Arial"/>
          <w:sz w:val="20"/>
          <w:szCs w:val="20"/>
          <w:lang w:eastAsia="es-MX"/>
        </w:rPr>
        <w:t xml:space="preserve"> a su valor histórico de adquisición sin incluir efectos de re-evaluación por inflación, </w:t>
      </w:r>
      <w:proofErr w:type="spellStart"/>
      <w:r w:rsidRPr="006C18A8">
        <w:rPr>
          <w:rFonts w:eastAsia="Times New Roman" w:cs="Arial"/>
          <w:sz w:val="20"/>
          <w:szCs w:val="20"/>
          <w:lang w:eastAsia="es-MX"/>
        </w:rPr>
        <w:t>asi</w:t>
      </w:r>
      <w:proofErr w:type="spellEnd"/>
      <w:r w:rsidRPr="006C18A8">
        <w:rPr>
          <w:rFonts w:eastAsia="Times New Roman" w:cs="Arial"/>
          <w:sz w:val="20"/>
          <w:szCs w:val="20"/>
          <w:lang w:eastAsia="es-MX"/>
        </w:rPr>
        <w:t xml:space="preserve"> como también, todas las operaciones se registraron en moneda nacional.</w:t>
      </w: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b/>
          <w:bCs/>
          <w:sz w:val="20"/>
          <w:szCs w:val="20"/>
          <w:lang w:eastAsia="es-MX"/>
        </w:rPr>
      </w:pPr>
      <w:r w:rsidRPr="006C18A8">
        <w:rPr>
          <w:rFonts w:eastAsia="Times New Roman" w:cs="Arial"/>
          <w:b/>
          <w:bCs/>
          <w:sz w:val="20"/>
          <w:szCs w:val="20"/>
          <w:lang w:eastAsia="es-MX"/>
        </w:rPr>
        <w:t>Dualidad Económica</w:t>
      </w:r>
    </w:p>
    <w:p w:rsidR="00223388" w:rsidRPr="006C18A8" w:rsidRDefault="00223388" w:rsidP="00223388">
      <w:pPr>
        <w:spacing w:after="0" w:line="240" w:lineRule="auto"/>
        <w:rPr>
          <w:rFonts w:eastAsia="Times New Roman" w:cs="Arial"/>
          <w:sz w:val="20"/>
          <w:szCs w:val="20"/>
          <w:lang w:eastAsia="es-MX"/>
        </w:rPr>
      </w:pPr>
      <w:r w:rsidRPr="006C18A8">
        <w:rPr>
          <w:rFonts w:eastAsia="Times New Roman" w:cs="Arial"/>
          <w:sz w:val="20"/>
          <w:szCs w:val="20"/>
          <w:lang w:eastAsia="es-MX"/>
        </w:rPr>
        <w:t>Todos los ingresos que se tiene en este período se deben principalmente a los intereses que genero la cuenta de cheques y por la ganancia en la inversión en mesa de dinero papel gobierno, no se tuvo alguna aportación por parte del ejecutivo, ni crédito alguno con alguna institución financiera, por lo que la estructura financiera se mantiene igual, reflejando los movimientos en los Activos por los Créditos que se otorgan, y en el patrimonio generado por los intereses que se cobran y que generan un ahorro según se muestra en el Estado de Actividades.</w:t>
      </w: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b/>
          <w:bCs/>
          <w:sz w:val="20"/>
          <w:szCs w:val="20"/>
          <w:lang w:eastAsia="es-MX"/>
        </w:rPr>
      </w:pPr>
      <w:r w:rsidRPr="006C18A8">
        <w:rPr>
          <w:rFonts w:eastAsia="Times New Roman" w:cs="Arial"/>
          <w:b/>
          <w:bCs/>
          <w:sz w:val="20"/>
          <w:szCs w:val="20"/>
          <w:lang w:eastAsia="es-MX"/>
        </w:rPr>
        <w:t>Consistencia</w:t>
      </w:r>
    </w:p>
    <w:p w:rsidR="00223388" w:rsidRPr="006C18A8" w:rsidRDefault="00223388" w:rsidP="00223388">
      <w:pPr>
        <w:spacing w:after="0" w:line="240" w:lineRule="auto"/>
        <w:rPr>
          <w:rFonts w:eastAsia="Times New Roman" w:cs="Arial"/>
          <w:sz w:val="20"/>
          <w:szCs w:val="20"/>
          <w:lang w:eastAsia="es-MX"/>
        </w:rPr>
      </w:pPr>
      <w:r w:rsidRPr="006C18A8">
        <w:rPr>
          <w:rFonts w:eastAsia="Times New Roman" w:cs="Arial"/>
          <w:sz w:val="20"/>
          <w:szCs w:val="20"/>
          <w:lang w:eastAsia="es-MX"/>
        </w:rPr>
        <w:t xml:space="preserve">El método de registro de las operaciones del Fondo del Empleo se realizaron de acuerdo a la Normatividad Vigente y se aplicaran de la misma forma en todas las operaciones similares en los ejercicios subsecuentes, aunque podrán variar dependiendo de algún cambio que se </w:t>
      </w:r>
      <w:proofErr w:type="spellStart"/>
      <w:r w:rsidRPr="006C18A8">
        <w:rPr>
          <w:rFonts w:eastAsia="Times New Roman" w:cs="Arial"/>
          <w:sz w:val="20"/>
          <w:szCs w:val="20"/>
          <w:lang w:eastAsia="es-MX"/>
        </w:rPr>
        <w:t>de</w:t>
      </w:r>
      <w:proofErr w:type="spellEnd"/>
      <w:r w:rsidRPr="006C18A8">
        <w:rPr>
          <w:rFonts w:eastAsia="Times New Roman" w:cs="Arial"/>
          <w:sz w:val="20"/>
          <w:szCs w:val="20"/>
          <w:lang w:eastAsia="es-MX"/>
        </w:rPr>
        <w:t xml:space="preserve"> ya sea por modificaciones a la Ley o de las Normas.</w:t>
      </w: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p w:rsidR="00223388" w:rsidRDefault="00223388" w:rsidP="00223388">
      <w:pPr>
        <w:spacing w:after="0" w:line="240" w:lineRule="auto"/>
        <w:rPr>
          <w:rFonts w:eastAsia="Times New Roman" w:cs="Arial"/>
          <w:sz w:val="20"/>
          <w:szCs w:val="20"/>
          <w:lang w:eastAsia="es-MX"/>
        </w:rPr>
      </w:pPr>
    </w:p>
    <w:p w:rsidR="006C18A8" w:rsidRPr="006C18A8" w:rsidRDefault="006C18A8" w:rsidP="00223388">
      <w:pPr>
        <w:spacing w:after="0" w:line="240" w:lineRule="auto"/>
        <w:rPr>
          <w:rFonts w:eastAsia="Times New Roman" w:cs="Arial"/>
          <w:sz w:val="20"/>
          <w:szCs w:val="20"/>
          <w:lang w:eastAsia="es-MX"/>
        </w:rPr>
      </w:pPr>
    </w:p>
    <w:tbl>
      <w:tblPr>
        <w:tblW w:w="13620" w:type="dxa"/>
        <w:tblInd w:w="55" w:type="dxa"/>
        <w:tblCellMar>
          <w:left w:w="70" w:type="dxa"/>
          <w:right w:w="70" w:type="dxa"/>
        </w:tblCellMar>
        <w:tblLook w:val="04A0" w:firstRow="1" w:lastRow="0" w:firstColumn="1" w:lastColumn="0" w:noHBand="0" w:noVBand="1"/>
      </w:tblPr>
      <w:tblGrid>
        <w:gridCol w:w="13620"/>
      </w:tblGrid>
      <w:tr w:rsidR="00223388" w:rsidRPr="006C18A8" w:rsidTr="0022338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3388" w:rsidRPr="006C18A8" w:rsidRDefault="00223388" w:rsidP="0022338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lastRenderedPageBreak/>
              <w:t>NOTA 6</w:t>
            </w:r>
          </w:p>
        </w:tc>
      </w:tr>
      <w:tr w:rsidR="00223388" w:rsidRPr="006C18A8" w:rsidTr="0022338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3388" w:rsidRPr="006C18A8" w:rsidRDefault="00223388" w:rsidP="0022338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POLITICAS DE CONTABILIDAD SIGNIFICATIVAS</w:t>
            </w:r>
          </w:p>
        </w:tc>
      </w:tr>
    </w:tbl>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r w:rsidRPr="006C18A8">
        <w:rPr>
          <w:rFonts w:eastAsia="Times New Roman" w:cs="Arial"/>
          <w:sz w:val="20"/>
          <w:szCs w:val="20"/>
          <w:lang w:eastAsia="es-MX"/>
        </w:rPr>
        <w:t>a) Registro de los Ingresos</w:t>
      </w:r>
    </w:p>
    <w:p w:rsidR="00223388" w:rsidRPr="006C18A8" w:rsidRDefault="00223388" w:rsidP="00223388">
      <w:pPr>
        <w:spacing w:after="0" w:line="240" w:lineRule="auto"/>
        <w:rPr>
          <w:rFonts w:eastAsia="Times New Roman" w:cs="Arial"/>
          <w:sz w:val="20"/>
          <w:szCs w:val="20"/>
          <w:lang w:eastAsia="es-MX"/>
        </w:rPr>
      </w:pPr>
      <w:r w:rsidRPr="006C18A8">
        <w:rPr>
          <w:rFonts w:eastAsia="Times New Roman" w:cs="Arial"/>
          <w:sz w:val="20"/>
          <w:szCs w:val="20"/>
          <w:lang w:eastAsia="es-MX"/>
        </w:rPr>
        <w:t>Los Ingresos provienen de las transferencias recibidas del Poder Ejecutivo y de la Federación, así como de los intereses que se cobran por los créditos otorgados por el Fondo.</w:t>
      </w: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r w:rsidRPr="006C18A8">
        <w:rPr>
          <w:rFonts w:eastAsia="Times New Roman" w:cs="Arial"/>
          <w:sz w:val="20"/>
          <w:szCs w:val="20"/>
          <w:lang w:eastAsia="es-MX"/>
        </w:rPr>
        <w:t>b) Registro de los Egresos.</w:t>
      </w:r>
    </w:p>
    <w:p w:rsidR="00223388" w:rsidRPr="006C18A8" w:rsidRDefault="00223388" w:rsidP="00223388">
      <w:pPr>
        <w:spacing w:after="0" w:line="240" w:lineRule="auto"/>
        <w:rPr>
          <w:rFonts w:eastAsia="Times New Roman" w:cs="Arial"/>
          <w:sz w:val="20"/>
          <w:szCs w:val="20"/>
          <w:lang w:eastAsia="es-MX"/>
        </w:rPr>
      </w:pPr>
      <w:r w:rsidRPr="006C18A8">
        <w:rPr>
          <w:rFonts w:eastAsia="Times New Roman" w:cs="Arial"/>
          <w:sz w:val="20"/>
          <w:szCs w:val="20"/>
          <w:lang w:eastAsia="es-MX"/>
        </w:rPr>
        <w:t xml:space="preserve">Los egresos se registran en el momento que </w:t>
      </w:r>
      <w:proofErr w:type="spellStart"/>
      <w:r w:rsidRPr="006C18A8">
        <w:rPr>
          <w:rFonts w:eastAsia="Times New Roman" w:cs="Arial"/>
          <w:sz w:val="20"/>
          <w:szCs w:val="20"/>
          <w:lang w:eastAsia="es-MX"/>
        </w:rPr>
        <w:t>efectua</w:t>
      </w:r>
      <w:proofErr w:type="spellEnd"/>
      <w:r w:rsidRPr="006C18A8">
        <w:rPr>
          <w:rFonts w:eastAsia="Times New Roman" w:cs="Arial"/>
          <w:sz w:val="20"/>
          <w:szCs w:val="20"/>
          <w:lang w:eastAsia="es-MX"/>
        </w:rPr>
        <w:t xml:space="preserve"> el gasto y se le anexa los documentos que amparan la adquisición de los bienes o la prestación del servicio.</w:t>
      </w: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r w:rsidRPr="006C18A8">
        <w:rPr>
          <w:rFonts w:eastAsia="Times New Roman" w:cs="Arial"/>
          <w:sz w:val="20"/>
          <w:szCs w:val="20"/>
          <w:lang w:eastAsia="es-MX"/>
        </w:rPr>
        <w:t>c) Las adquisiciones de materiales y suministros son consideradas directamente como egresos y su utilización es generalmente inmediata.</w:t>
      </w: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r w:rsidRPr="006C18A8">
        <w:rPr>
          <w:rFonts w:eastAsia="Times New Roman" w:cs="Arial"/>
          <w:sz w:val="20"/>
          <w:szCs w:val="20"/>
          <w:lang w:eastAsia="es-MX"/>
        </w:rPr>
        <w:t>d) Registro Contable</w:t>
      </w: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r w:rsidRPr="006C18A8">
        <w:rPr>
          <w:rFonts w:eastAsia="Times New Roman" w:cs="Arial"/>
          <w:sz w:val="20"/>
          <w:szCs w:val="20"/>
          <w:lang w:eastAsia="es-MX"/>
        </w:rPr>
        <w:t>En el registro contable intervienen los siguientes departamentos:</w:t>
      </w: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r w:rsidRPr="006C18A8">
        <w:rPr>
          <w:rFonts w:eastAsia="Times New Roman" w:cs="Arial"/>
          <w:sz w:val="20"/>
          <w:szCs w:val="20"/>
          <w:lang w:eastAsia="es-MX"/>
        </w:rPr>
        <w:t>Departamento de Finanzas y Presupuesto.- Realiza el cobro de los abonos de los acreditados del Fondo del Empleo, realiza el depósito bancario, así como el pago de los gastos y envía la documentación al Departamento de Contabilidad para su registro.</w:t>
      </w: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r w:rsidRPr="006C18A8">
        <w:rPr>
          <w:rFonts w:eastAsia="Times New Roman" w:cs="Arial"/>
          <w:sz w:val="20"/>
          <w:szCs w:val="20"/>
          <w:lang w:eastAsia="es-MX"/>
        </w:rPr>
        <w:t xml:space="preserve">Departamento de Contabilidad.- Es responsable del registro contable de todas las operaciones del  Fondo del Empleo, así como de la custodia de la documentación soporte de dichas operaciones, emitir los Estados Financieros del Fondo del Empleo y enviar a </w:t>
      </w:r>
      <w:proofErr w:type="gramStart"/>
      <w:r w:rsidRPr="006C18A8">
        <w:rPr>
          <w:rFonts w:eastAsia="Times New Roman" w:cs="Arial"/>
          <w:sz w:val="20"/>
          <w:szCs w:val="20"/>
          <w:lang w:eastAsia="es-MX"/>
        </w:rPr>
        <w:t>las</w:t>
      </w:r>
      <w:proofErr w:type="gramEnd"/>
      <w:r w:rsidRPr="006C18A8">
        <w:rPr>
          <w:rFonts w:eastAsia="Times New Roman" w:cs="Arial"/>
          <w:sz w:val="20"/>
          <w:szCs w:val="20"/>
          <w:lang w:eastAsia="es-MX"/>
        </w:rPr>
        <w:t xml:space="preserve"> diferentes interesados para su revisión e integración a la cuenta pública.</w:t>
      </w: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p w:rsidR="00223388" w:rsidRDefault="00223388" w:rsidP="00223388">
      <w:pPr>
        <w:spacing w:after="0" w:line="240" w:lineRule="auto"/>
        <w:rPr>
          <w:rFonts w:eastAsia="Times New Roman" w:cs="Arial"/>
          <w:sz w:val="20"/>
          <w:szCs w:val="20"/>
          <w:lang w:eastAsia="es-MX"/>
        </w:rPr>
      </w:pPr>
    </w:p>
    <w:p w:rsidR="006C18A8" w:rsidRPr="006C18A8" w:rsidRDefault="006C18A8" w:rsidP="00223388">
      <w:pPr>
        <w:spacing w:after="0" w:line="240" w:lineRule="auto"/>
        <w:rPr>
          <w:rFonts w:eastAsia="Times New Roman" w:cs="Arial"/>
          <w:sz w:val="20"/>
          <w:szCs w:val="20"/>
          <w:lang w:eastAsia="es-MX"/>
        </w:rPr>
      </w:pPr>
    </w:p>
    <w:p w:rsidR="00223388" w:rsidRDefault="00223388" w:rsidP="00B4303B">
      <w:pPr>
        <w:spacing w:after="0" w:line="240" w:lineRule="auto"/>
        <w:rPr>
          <w:rFonts w:eastAsia="Times New Roman" w:cs="Arial"/>
          <w:sz w:val="20"/>
          <w:szCs w:val="20"/>
          <w:lang w:eastAsia="es-MX"/>
        </w:rPr>
      </w:pPr>
    </w:p>
    <w:p w:rsidR="006C18A8" w:rsidRPr="006C18A8" w:rsidRDefault="006C18A8" w:rsidP="00B4303B">
      <w:pPr>
        <w:spacing w:after="0" w:line="240" w:lineRule="auto"/>
        <w:rPr>
          <w:rFonts w:eastAsia="Times New Roman" w:cs="Arial"/>
          <w:sz w:val="20"/>
          <w:szCs w:val="20"/>
          <w:lang w:eastAsia="es-MX"/>
        </w:rPr>
      </w:pPr>
    </w:p>
    <w:tbl>
      <w:tblPr>
        <w:tblW w:w="13620" w:type="dxa"/>
        <w:tblInd w:w="55" w:type="dxa"/>
        <w:tblCellMar>
          <w:left w:w="70" w:type="dxa"/>
          <w:right w:w="70" w:type="dxa"/>
        </w:tblCellMar>
        <w:tblLook w:val="04A0" w:firstRow="1" w:lastRow="0" w:firstColumn="1" w:lastColumn="0" w:noHBand="0" w:noVBand="1"/>
      </w:tblPr>
      <w:tblGrid>
        <w:gridCol w:w="13620"/>
      </w:tblGrid>
      <w:tr w:rsidR="00223388" w:rsidRPr="006C18A8" w:rsidTr="0022338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3388" w:rsidRPr="006C18A8" w:rsidRDefault="00223388" w:rsidP="0022338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lastRenderedPageBreak/>
              <w:t>NOTA 7</w:t>
            </w:r>
          </w:p>
        </w:tc>
      </w:tr>
      <w:tr w:rsidR="00223388" w:rsidRPr="006C18A8" w:rsidTr="0022338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3388" w:rsidRPr="006C18A8" w:rsidRDefault="00223388" w:rsidP="0022338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POSICION EN MONEDA EXTRANJERA Y PROTECCION POR RIESGO CAMBIARIO</w:t>
            </w:r>
          </w:p>
        </w:tc>
      </w:tr>
    </w:tbl>
    <w:p w:rsidR="00223388" w:rsidRPr="006C18A8" w:rsidRDefault="00223388" w:rsidP="00B4303B">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r w:rsidRPr="006C18A8">
        <w:rPr>
          <w:rFonts w:eastAsia="Times New Roman" w:cs="Arial"/>
          <w:sz w:val="20"/>
          <w:szCs w:val="20"/>
          <w:lang w:eastAsia="es-MX"/>
        </w:rPr>
        <w:t>El Fondo para la Consolidación y Fomento del Empleo Permanente en el Estado de Yucatán, no tiene operaciones en moneda extranjera por lo que no necesita de algún método de protección de riesgo por variaciones en el tipo de cambio.</w:t>
      </w: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tbl>
      <w:tblPr>
        <w:tblW w:w="13620" w:type="dxa"/>
        <w:tblInd w:w="55" w:type="dxa"/>
        <w:tblCellMar>
          <w:left w:w="70" w:type="dxa"/>
          <w:right w:w="70" w:type="dxa"/>
        </w:tblCellMar>
        <w:tblLook w:val="04A0" w:firstRow="1" w:lastRow="0" w:firstColumn="1" w:lastColumn="0" w:noHBand="0" w:noVBand="1"/>
      </w:tblPr>
      <w:tblGrid>
        <w:gridCol w:w="13620"/>
      </w:tblGrid>
      <w:tr w:rsidR="00223388" w:rsidRPr="006C18A8" w:rsidTr="0022338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3388" w:rsidRPr="006C18A8" w:rsidRDefault="00223388" w:rsidP="0022338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NOTA 8</w:t>
            </w:r>
          </w:p>
        </w:tc>
      </w:tr>
      <w:tr w:rsidR="00223388" w:rsidRPr="006C18A8" w:rsidTr="0022338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3388" w:rsidRPr="006C18A8" w:rsidRDefault="00223388" w:rsidP="0022338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REPORTE ANALITICO DEL ACTIVO</w:t>
            </w:r>
          </w:p>
        </w:tc>
      </w:tr>
    </w:tbl>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r w:rsidRPr="006C18A8">
        <w:rPr>
          <w:rFonts w:eastAsia="Times New Roman" w:cs="Arial"/>
          <w:sz w:val="20"/>
          <w:szCs w:val="20"/>
          <w:lang w:eastAsia="es-MX"/>
        </w:rPr>
        <w:t>El Fondo para la Consolidación y Fomento del Empleo Permanente en el Estado de Yucatán no cuenta con Activos Fijos por lo que solo se presenta información al activo circulante, según reporte anexo a los Estados Financieros.</w:t>
      </w: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tbl>
      <w:tblPr>
        <w:tblW w:w="13620" w:type="dxa"/>
        <w:tblInd w:w="55" w:type="dxa"/>
        <w:tblCellMar>
          <w:left w:w="70" w:type="dxa"/>
          <w:right w:w="70" w:type="dxa"/>
        </w:tblCellMar>
        <w:tblLook w:val="04A0" w:firstRow="1" w:lastRow="0" w:firstColumn="1" w:lastColumn="0" w:noHBand="0" w:noVBand="1"/>
      </w:tblPr>
      <w:tblGrid>
        <w:gridCol w:w="13620"/>
      </w:tblGrid>
      <w:tr w:rsidR="00223388" w:rsidRPr="006C18A8" w:rsidTr="0022338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3388" w:rsidRPr="006C18A8" w:rsidRDefault="00223388" w:rsidP="0022338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NOTA 9</w:t>
            </w:r>
          </w:p>
        </w:tc>
      </w:tr>
      <w:tr w:rsidR="00223388" w:rsidRPr="006C18A8" w:rsidTr="0022338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3388" w:rsidRPr="006C18A8" w:rsidRDefault="00223388" w:rsidP="0022338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FIDEICOMISOS, MANDATOS Y ANALOGOS</w:t>
            </w:r>
          </w:p>
        </w:tc>
      </w:tr>
    </w:tbl>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r w:rsidRPr="006C18A8">
        <w:rPr>
          <w:rFonts w:eastAsia="Times New Roman" w:cs="Arial"/>
          <w:sz w:val="20"/>
          <w:szCs w:val="20"/>
          <w:lang w:eastAsia="es-MX"/>
        </w:rPr>
        <w:t xml:space="preserve">El Fondo para la Consolidación y Fomento del Empleo Permanente en el Estado de Yucatán no realiza operaciones con </w:t>
      </w:r>
      <w:proofErr w:type="spellStart"/>
      <w:r w:rsidRPr="006C18A8">
        <w:rPr>
          <w:rFonts w:eastAsia="Times New Roman" w:cs="Arial"/>
          <w:sz w:val="20"/>
          <w:szCs w:val="20"/>
          <w:lang w:eastAsia="es-MX"/>
        </w:rPr>
        <w:t>ningun</w:t>
      </w:r>
      <w:proofErr w:type="spellEnd"/>
      <w:r w:rsidRPr="006C18A8">
        <w:rPr>
          <w:rFonts w:eastAsia="Times New Roman" w:cs="Arial"/>
          <w:sz w:val="20"/>
          <w:szCs w:val="20"/>
          <w:lang w:eastAsia="es-MX"/>
        </w:rPr>
        <w:t xml:space="preserve"> Fideicomiso, motivo por el cual no se informa situación alguna en esta nota.</w:t>
      </w: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tbl>
      <w:tblPr>
        <w:tblW w:w="13620" w:type="dxa"/>
        <w:tblInd w:w="55" w:type="dxa"/>
        <w:tblCellMar>
          <w:left w:w="70" w:type="dxa"/>
          <w:right w:w="70" w:type="dxa"/>
        </w:tblCellMar>
        <w:tblLook w:val="04A0" w:firstRow="1" w:lastRow="0" w:firstColumn="1" w:lastColumn="0" w:noHBand="0" w:noVBand="1"/>
      </w:tblPr>
      <w:tblGrid>
        <w:gridCol w:w="13620"/>
      </w:tblGrid>
      <w:tr w:rsidR="00223388" w:rsidRPr="006C18A8" w:rsidTr="0022338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3388" w:rsidRPr="006C18A8" w:rsidRDefault="00223388" w:rsidP="0022338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NOTA 10</w:t>
            </w:r>
          </w:p>
        </w:tc>
      </w:tr>
      <w:tr w:rsidR="00223388" w:rsidRPr="006C18A8" w:rsidTr="0022338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3388" w:rsidRPr="006C18A8" w:rsidRDefault="00223388" w:rsidP="0022338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REPORTE DE RECAUDACION</w:t>
            </w:r>
          </w:p>
        </w:tc>
      </w:tr>
    </w:tbl>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r w:rsidRPr="006C18A8">
        <w:rPr>
          <w:rFonts w:eastAsia="Times New Roman" w:cs="Arial"/>
          <w:sz w:val="20"/>
          <w:szCs w:val="20"/>
          <w:lang w:eastAsia="es-MX"/>
        </w:rPr>
        <w:t>El Fondo para la Consolidación y Fomento del Empleo Permanente en el Estado de Yucatán no tiene la atribución de recaudar ningún tipo de contribución, motivo por el cual no se informa situación alguna en esta nota.</w:t>
      </w:r>
    </w:p>
    <w:p w:rsidR="00223388" w:rsidRDefault="00223388" w:rsidP="00223388">
      <w:pPr>
        <w:spacing w:after="0" w:line="240" w:lineRule="auto"/>
        <w:rPr>
          <w:rFonts w:eastAsia="Times New Roman" w:cs="Arial"/>
          <w:sz w:val="20"/>
          <w:szCs w:val="20"/>
          <w:lang w:eastAsia="es-MX"/>
        </w:rPr>
      </w:pPr>
    </w:p>
    <w:p w:rsidR="006C18A8" w:rsidRPr="006C18A8" w:rsidRDefault="006C18A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tbl>
      <w:tblPr>
        <w:tblW w:w="13620" w:type="dxa"/>
        <w:tblInd w:w="55" w:type="dxa"/>
        <w:tblCellMar>
          <w:left w:w="70" w:type="dxa"/>
          <w:right w:w="70" w:type="dxa"/>
        </w:tblCellMar>
        <w:tblLook w:val="04A0" w:firstRow="1" w:lastRow="0" w:firstColumn="1" w:lastColumn="0" w:noHBand="0" w:noVBand="1"/>
      </w:tblPr>
      <w:tblGrid>
        <w:gridCol w:w="13620"/>
      </w:tblGrid>
      <w:tr w:rsidR="00223388" w:rsidRPr="006C18A8" w:rsidTr="0022338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3388" w:rsidRPr="006C18A8" w:rsidRDefault="00223388" w:rsidP="0022338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lastRenderedPageBreak/>
              <w:t>NOTA 11</w:t>
            </w:r>
          </w:p>
        </w:tc>
      </w:tr>
      <w:tr w:rsidR="00223388" w:rsidRPr="006C18A8" w:rsidTr="0022338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3388" w:rsidRPr="006C18A8" w:rsidRDefault="00223388" w:rsidP="0022338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DEUDA PUBLICA Y REPORTE ANALITICO DE LA DEUDA</w:t>
            </w:r>
          </w:p>
        </w:tc>
      </w:tr>
    </w:tbl>
    <w:p w:rsidR="00223388" w:rsidRPr="006C18A8" w:rsidRDefault="00223388" w:rsidP="00223388">
      <w:pPr>
        <w:spacing w:after="0" w:line="240" w:lineRule="auto"/>
        <w:rPr>
          <w:rFonts w:eastAsia="Times New Roman" w:cs="Arial"/>
          <w:sz w:val="20"/>
          <w:szCs w:val="20"/>
          <w:lang w:eastAsia="es-MX"/>
        </w:rPr>
      </w:pPr>
      <w:r w:rsidRPr="006C18A8">
        <w:rPr>
          <w:rFonts w:eastAsia="Times New Roman" w:cs="Arial"/>
          <w:sz w:val="20"/>
          <w:szCs w:val="20"/>
          <w:lang w:eastAsia="es-MX"/>
        </w:rPr>
        <w:t>El Fondo para la Consolidación y Fomento del Empleo Permanente en el Estado de Yucatán no tiene contratado algún tipo de deuda pública por lo que no se reporta información en esta nota, así como tampoco se elabora el Reporte Analítico de la Deuda, por carecer de información que reportar.</w:t>
      </w: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tbl>
      <w:tblPr>
        <w:tblW w:w="13620" w:type="dxa"/>
        <w:tblInd w:w="55" w:type="dxa"/>
        <w:tblCellMar>
          <w:left w:w="70" w:type="dxa"/>
          <w:right w:w="70" w:type="dxa"/>
        </w:tblCellMar>
        <w:tblLook w:val="04A0" w:firstRow="1" w:lastRow="0" w:firstColumn="1" w:lastColumn="0" w:noHBand="0" w:noVBand="1"/>
      </w:tblPr>
      <w:tblGrid>
        <w:gridCol w:w="13620"/>
      </w:tblGrid>
      <w:tr w:rsidR="00223388" w:rsidRPr="006C18A8" w:rsidTr="0022338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3388" w:rsidRPr="006C18A8" w:rsidRDefault="00223388" w:rsidP="0022338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NOTA 12</w:t>
            </w:r>
          </w:p>
        </w:tc>
      </w:tr>
      <w:tr w:rsidR="00223388" w:rsidRPr="006C18A8" w:rsidTr="0022338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3388" w:rsidRPr="006C18A8" w:rsidRDefault="00223388" w:rsidP="0022338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CALIFICACIONES OTORGADAS</w:t>
            </w:r>
          </w:p>
        </w:tc>
      </w:tr>
    </w:tbl>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r w:rsidRPr="006C18A8">
        <w:rPr>
          <w:rFonts w:eastAsia="Times New Roman" w:cs="Arial"/>
          <w:sz w:val="20"/>
          <w:szCs w:val="20"/>
          <w:lang w:eastAsia="es-MX"/>
        </w:rPr>
        <w:t>El Fondo para la Consolidación y Fomento del Empleo Permanente en el Estado de Yucatán no ha sido sujeto de alguna evaluación que le otorgar calificación crediticia por lo que no se reporta información en esta nota.</w:t>
      </w: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tbl>
      <w:tblPr>
        <w:tblW w:w="13620" w:type="dxa"/>
        <w:tblInd w:w="55" w:type="dxa"/>
        <w:tblCellMar>
          <w:left w:w="70" w:type="dxa"/>
          <w:right w:w="70" w:type="dxa"/>
        </w:tblCellMar>
        <w:tblLook w:val="04A0" w:firstRow="1" w:lastRow="0" w:firstColumn="1" w:lastColumn="0" w:noHBand="0" w:noVBand="1"/>
      </w:tblPr>
      <w:tblGrid>
        <w:gridCol w:w="13620"/>
      </w:tblGrid>
      <w:tr w:rsidR="00223388" w:rsidRPr="006C18A8" w:rsidTr="0022338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3388" w:rsidRPr="006C18A8" w:rsidRDefault="00223388" w:rsidP="0022338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NOTA 13</w:t>
            </w:r>
          </w:p>
        </w:tc>
      </w:tr>
      <w:tr w:rsidR="00223388" w:rsidRPr="006C18A8" w:rsidTr="0022338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3388" w:rsidRPr="006C18A8" w:rsidRDefault="00223388" w:rsidP="0022338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PROCESOS DE MEJORA</w:t>
            </w:r>
          </w:p>
        </w:tc>
      </w:tr>
    </w:tbl>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r w:rsidRPr="006C18A8">
        <w:rPr>
          <w:rFonts w:eastAsia="Times New Roman" w:cs="Arial"/>
          <w:sz w:val="20"/>
          <w:szCs w:val="20"/>
          <w:lang w:eastAsia="es-MX"/>
        </w:rPr>
        <w:t>Las políticas de control que maneja el Fondo para la Consolidación y Fomento del Empleo Permanente en el Estado de Yucatán son las que establece las Reglas de Operación y que están previamente autorizadas por el Comité, fuera de eso no existe política alguna que establecer.</w:t>
      </w: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tbl>
      <w:tblPr>
        <w:tblW w:w="13620" w:type="dxa"/>
        <w:tblInd w:w="55" w:type="dxa"/>
        <w:tblCellMar>
          <w:left w:w="70" w:type="dxa"/>
          <w:right w:w="70" w:type="dxa"/>
        </w:tblCellMar>
        <w:tblLook w:val="04A0" w:firstRow="1" w:lastRow="0" w:firstColumn="1" w:lastColumn="0" w:noHBand="0" w:noVBand="1"/>
      </w:tblPr>
      <w:tblGrid>
        <w:gridCol w:w="13620"/>
      </w:tblGrid>
      <w:tr w:rsidR="00223388" w:rsidRPr="006C18A8" w:rsidTr="0022338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3388" w:rsidRPr="006C18A8" w:rsidRDefault="00223388" w:rsidP="0022338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NOTA 14, 15 y 16</w:t>
            </w:r>
          </w:p>
        </w:tc>
      </w:tr>
      <w:tr w:rsidR="00223388" w:rsidRPr="006C18A8" w:rsidTr="0022338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3388" w:rsidRPr="006C18A8" w:rsidRDefault="00223388" w:rsidP="0022338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INFORMACION POR SEGMENTOS, EVENTOS POSTERIORES AL CIERRE Y PARTES RELACIONADAS</w:t>
            </w:r>
          </w:p>
        </w:tc>
      </w:tr>
    </w:tbl>
    <w:p w:rsidR="00223388" w:rsidRPr="006C18A8" w:rsidRDefault="00223388" w:rsidP="00223388">
      <w:pPr>
        <w:spacing w:after="0" w:line="240" w:lineRule="auto"/>
        <w:rPr>
          <w:rFonts w:eastAsia="Times New Roman" w:cs="Arial"/>
          <w:sz w:val="20"/>
          <w:szCs w:val="20"/>
          <w:lang w:eastAsia="es-MX"/>
        </w:rPr>
      </w:pPr>
    </w:p>
    <w:p w:rsidR="00223388" w:rsidRDefault="00223388" w:rsidP="00223388">
      <w:pPr>
        <w:spacing w:after="0" w:line="240" w:lineRule="auto"/>
        <w:rPr>
          <w:rFonts w:eastAsia="Times New Roman" w:cs="Arial"/>
          <w:sz w:val="20"/>
          <w:szCs w:val="20"/>
          <w:lang w:eastAsia="es-MX"/>
        </w:rPr>
      </w:pPr>
      <w:r w:rsidRPr="006C18A8">
        <w:rPr>
          <w:rFonts w:eastAsia="Times New Roman" w:cs="Arial"/>
          <w:sz w:val="20"/>
          <w:szCs w:val="20"/>
          <w:lang w:eastAsia="es-MX"/>
        </w:rPr>
        <w:t>La información que presenta el Fondo para la Consolidación y Fomento del Empleo Permanente en el Estado de Yucatán no contiene ningún evento posterior que afecte económicamente al mismo, tampoco realiza operaciones con partes relacionadas y debido al volumen de operaciones que tiene, no se ve en la necesidad de presentar la información de manera segmentada.</w:t>
      </w:r>
    </w:p>
    <w:p w:rsidR="006C18A8" w:rsidRPr="006C18A8" w:rsidRDefault="006C18A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tbl>
      <w:tblPr>
        <w:tblW w:w="13620" w:type="dxa"/>
        <w:tblInd w:w="55" w:type="dxa"/>
        <w:tblCellMar>
          <w:left w:w="70" w:type="dxa"/>
          <w:right w:w="70" w:type="dxa"/>
        </w:tblCellMar>
        <w:tblLook w:val="04A0" w:firstRow="1" w:lastRow="0" w:firstColumn="1" w:lastColumn="0" w:noHBand="0" w:noVBand="1"/>
      </w:tblPr>
      <w:tblGrid>
        <w:gridCol w:w="13620"/>
      </w:tblGrid>
      <w:tr w:rsidR="00223388" w:rsidRPr="006C18A8" w:rsidTr="0022338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3388" w:rsidRPr="006C18A8" w:rsidRDefault="00223388" w:rsidP="0022338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lastRenderedPageBreak/>
              <w:t>NOTA 17</w:t>
            </w:r>
          </w:p>
        </w:tc>
      </w:tr>
      <w:tr w:rsidR="00223388" w:rsidRPr="006C18A8" w:rsidTr="0022338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3388" w:rsidRPr="006C18A8" w:rsidRDefault="00223388" w:rsidP="0022338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RESPONSABILIDAD SOBRE LA PRESENTACION RAZONABLE DE LOS ESTADOS FINANCIEROS</w:t>
            </w:r>
          </w:p>
        </w:tc>
      </w:tr>
    </w:tbl>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r w:rsidRPr="006C18A8">
        <w:rPr>
          <w:rFonts w:eastAsia="Times New Roman" w:cs="Arial"/>
          <w:sz w:val="20"/>
          <w:szCs w:val="20"/>
          <w:lang w:eastAsia="es-MX"/>
        </w:rPr>
        <w:t>Los Estados Financieros y sus notas están debidamente firmados por el Jefe de Contabilidad y Administración de la SEFOE que es quien los elabora, firmado de revisado por el Director de Finanzas y Administración de la SEFOE y firmados de autorizados por el Secretario de Fomento Económico  en su calidad de Presidente del Comité del Fondo para la Consolidación y Fomento del Empleo Permanente en el Estado de Yucatán, en ausencia del Gobernador del Estado de Yucatán.</w:t>
      </w: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b/>
          <w:bCs/>
          <w:sz w:val="20"/>
          <w:szCs w:val="20"/>
          <w:lang w:eastAsia="es-MX"/>
        </w:rPr>
      </w:pPr>
      <w:r w:rsidRPr="006C18A8">
        <w:rPr>
          <w:rFonts w:eastAsia="Times New Roman" w:cs="Arial"/>
          <w:b/>
          <w:bCs/>
          <w:sz w:val="20"/>
          <w:szCs w:val="20"/>
          <w:lang w:eastAsia="es-MX"/>
        </w:rPr>
        <w:t>ESTADOS E INFORMES PRESUPUESTARIOS Y PROGRAMATICOS</w:t>
      </w:r>
    </w:p>
    <w:p w:rsidR="00223388" w:rsidRPr="006C18A8" w:rsidRDefault="00223388" w:rsidP="00223388">
      <w:pPr>
        <w:spacing w:after="0" w:line="240" w:lineRule="auto"/>
        <w:rPr>
          <w:rFonts w:eastAsia="Times New Roman" w:cs="Arial"/>
          <w:b/>
          <w:bCs/>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tbl>
      <w:tblPr>
        <w:tblW w:w="13620" w:type="dxa"/>
        <w:tblInd w:w="55" w:type="dxa"/>
        <w:tblCellMar>
          <w:left w:w="70" w:type="dxa"/>
          <w:right w:w="70" w:type="dxa"/>
        </w:tblCellMar>
        <w:tblLook w:val="04A0" w:firstRow="1" w:lastRow="0" w:firstColumn="1" w:lastColumn="0" w:noHBand="0" w:noVBand="1"/>
      </w:tblPr>
      <w:tblGrid>
        <w:gridCol w:w="13620"/>
      </w:tblGrid>
      <w:tr w:rsidR="00223388" w:rsidRPr="006C18A8" w:rsidTr="0022338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3388" w:rsidRPr="006C18A8" w:rsidRDefault="00223388" w:rsidP="0022338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NOTA 1</w:t>
            </w:r>
          </w:p>
        </w:tc>
      </w:tr>
      <w:tr w:rsidR="00223388" w:rsidRPr="006C18A8" w:rsidTr="00223388">
        <w:trPr>
          <w:trHeight w:val="270"/>
        </w:trPr>
        <w:tc>
          <w:tcPr>
            <w:tcW w:w="136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3388" w:rsidRPr="006C18A8" w:rsidRDefault="00223388" w:rsidP="00223388">
            <w:pPr>
              <w:spacing w:after="0" w:line="240" w:lineRule="auto"/>
              <w:jc w:val="center"/>
              <w:rPr>
                <w:rFonts w:eastAsia="Times New Roman" w:cs="Arial"/>
                <w:b/>
                <w:bCs/>
                <w:sz w:val="20"/>
                <w:szCs w:val="20"/>
                <w:lang w:eastAsia="es-MX"/>
              </w:rPr>
            </w:pPr>
            <w:r w:rsidRPr="006C18A8">
              <w:rPr>
                <w:rFonts w:eastAsia="Times New Roman" w:cs="Arial"/>
                <w:b/>
                <w:bCs/>
                <w:sz w:val="20"/>
                <w:szCs w:val="20"/>
                <w:lang w:eastAsia="es-MX"/>
              </w:rPr>
              <w:t>ESTADOS E INFORMES PRESUPUESTARIOS Y PROGRAMATICOS</w:t>
            </w:r>
          </w:p>
        </w:tc>
      </w:tr>
    </w:tbl>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r w:rsidRPr="006C18A8">
        <w:rPr>
          <w:rFonts w:eastAsia="Times New Roman" w:cs="Arial"/>
          <w:sz w:val="20"/>
          <w:szCs w:val="20"/>
          <w:lang w:eastAsia="es-MX"/>
        </w:rPr>
        <w:t>En el caso de El Fondo para la Consolidación y Fomento del Empleo Permanente en el Estado de Yucatán, se elaboran los Estados e Informes Presupuestarios y Programáticos, en base a la recuperación de los créditos que otorgó con sus propios recursos.</w:t>
      </w:r>
    </w:p>
    <w:p w:rsidR="00223388" w:rsidRPr="006C18A8" w:rsidRDefault="00223388" w:rsidP="00223388">
      <w:pPr>
        <w:spacing w:after="0" w:line="240" w:lineRule="auto"/>
        <w:rPr>
          <w:rFonts w:eastAsia="Times New Roman" w:cs="Arial"/>
          <w:sz w:val="20"/>
          <w:szCs w:val="20"/>
          <w:lang w:eastAsia="es-MX"/>
        </w:rPr>
      </w:pPr>
    </w:p>
    <w:p w:rsidR="00223388" w:rsidRDefault="00223388" w:rsidP="00223388">
      <w:pPr>
        <w:spacing w:after="0" w:line="240" w:lineRule="auto"/>
        <w:rPr>
          <w:rFonts w:eastAsia="Times New Roman" w:cs="Arial"/>
          <w:sz w:val="20"/>
          <w:szCs w:val="20"/>
          <w:lang w:eastAsia="es-MX"/>
        </w:rPr>
      </w:pPr>
    </w:p>
    <w:p w:rsidR="006C18A8" w:rsidRDefault="006C18A8" w:rsidP="00223388">
      <w:pPr>
        <w:spacing w:after="0" w:line="240" w:lineRule="auto"/>
        <w:rPr>
          <w:rFonts w:eastAsia="Times New Roman" w:cs="Arial"/>
          <w:sz w:val="20"/>
          <w:szCs w:val="20"/>
          <w:lang w:eastAsia="es-MX"/>
        </w:rPr>
      </w:pPr>
    </w:p>
    <w:p w:rsidR="00060FB7" w:rsidRPr="006C18A8" w:rsidRDefault="00060FB7"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r w:rsidRPr="006C18A8">
        <w:rPr>
          <w:rFonts w:eastAsia="Times New Roman" w:cs="Arial"/>
          <w:sz w:val="20"/>
          <w:szCs w:val="20"/>
          <w:lang w:eastAsia="es-MX"/>
        </w:rPr>
        <w:t xml:space="preserve">Bajo protesta de decir verdad declaramos que los Estados </w:t>
      </w:r>
      <w:r w:rsidR="00060FB7">
        <w:rPr>
          <w:rFonts w:eastAsia="Times New Roman" w:cs="Arial"/>
          <w:sz w:val="20"/>
          <w:szCs w:val="20"/>
          <w:lang w:eastAsia="es-MX"/>
        </w:rPr>
        <w:t>Financieros y sus N</w:t>
      </w:r>
      <w:r w:rsidRPr="006C18A8">
        <w:rPr>
          <w:rFonts w:eastAsia="Times New Roman" w:cs="Arial"/>
          <w:sz w:val="20"/>
          <w:szCs w:val="20"/>
          <w:lang w:eastAsia="es-MX"/>
        </w:rPr>
        <w:t>otas son razonablemente correctos y responsabilidad del emisor.</w:t>
      </w: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223388">
      <w:pPr>
        <w:spacing w:after="0" w:line="240" w:lineRule="auto"/>
        <w:rPr>
          <w:rFonts w:eastAsia="Times New Roman" w:cs="Arial"/>
          <w:sz w:val="20"/>
          <w:szCs w:val="20"/>
          <w:lang w:eastAsia="es-MX"/>
        </w:rPr>
      </w:pPr>
    </w:p>
    <w:p w:rsidR="00223388" w:rsidRPr="006C18A8" w:rsidRDefault="00223388" w:rsidP="00B4303B">
      <w:pPr>
        <w:spacing w:after="0" w:line="240" w:lineRule="auto"/>
        <w:rPr>
          <w:rFonts w:eastAsia="Times New Roman" w:cs="Arial"/>
          <w:sz w:val="20"/>
          <w:szCs w:val="20"/>
          <w:lang w:eastAsia="es-MX"/>
        </w:rPr>
      </w:pPr>
    </w:p>
    <w:p w:rsidR="00B4303B" w:rsidRPr="006C18A8" w:rsidRDefault="00B4303B" w:rsidP="00BC7BD7">
      <w:pPr>
        <w:spacing w:line="240" w:lineRule="auto"/>
        <w:rPr>
          <w:rFonts w:cs="Arial"/>
          <w:b/>
          <w:sz w:val="20"/>
          <w:szCs w:val="20"/>
        </w:rPr>
      </w:pPr>
      <w:bookmarkStart w:id="0" w:name="_GoBack"/>
      <w:bookmarkEnd w:id="0"/>
    </w:p>
    <w:sectPr w:rsidR="00B4303B" w:rsidRPr="006C18A8" w:rsidSect="001352BE">
      <w:pgSz w:w="15840" w:h="12240" w:orient="landscape"/>
      <w:pgMar w:top="283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3A5C"/>
    <w:multiLevelType w:val="hybridMultilevel"/>
    <w:tmpl w:val="9DF2E7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FEC07F3"/>
    <w:multiLevelType w:val="hybridMultilevel"/>
    <w:tmpl w:val="5C745E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CCA250D"/>
    <w:multiLevelType w:val="hybridMultilevel"/>
    <w:tmpl w:val="1F623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BE"/>
    <w:rsid w:val="00060FB7"/>
    <w:rsid w:val="001352BE"/>
    <w:rsid w:val="00223388"/>
    <w:rsid w:val="00252A71"/>
    <w:rsid w:val="003327DC"/>
    <w:rsid w:val="003A5FFC"/>
    <w:rsid w:val="003B0891"/>
    <w:rsid w:val="006C18A8"/>
    <w:rsid w:val="00712A1E"/>
    <w:rsid w:val="008E4B15"/>
    <w:rsid w:val="009D3EFB"/>
    <w:rsid w:val="00A47917"/>
    <w:rsid w:val="00AB7BFA"/>
    <w:rsid w:val="00B2766F"/>
    <w:rsid w:val="00B4303B"/>
    <w:rsid w:val="00BC7BD7"/>
    <w:rsid w:val="00CA57A0"/>
    <w:rsid w:val="00CF0EAA"/>
    <w:rsid w:val="00DA7DA6"/>
    <w:rsid w:val="00DC75F8"/>
    <w:rsid w:val="00E04F28"/>
    <w:rsid w:val="00F84D40"/>
    <w:rsid w:val="00FC5485"/>
    <w:rsid w:val="00FD62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BC7BD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C7BD7"/>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BC7B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BD7"/>
    <w:rPr>
      <w:rFonts w:ascii="Tahoma" w:hAnsi="Tahoma" w:cs="Tahoma"/>
      <w:sz w:val="16"/>
      <w:szCs w:val="16"/>
    </w:rPr>
  </w:style>
  <w:style w:type="paragraph" w:styleId="Prrafodelista">
    <w:name w:val="List Paragraph"/>
    <w:basedOn w:val="Normal"/>
    <w:uiPriority w:val="34"/>
    <w:qFormat/>
    <w:rsid w:val="00B43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BC7BD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C7BD7"/>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BC7B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BD7"/>
    <w:rPr>
      <w:rFonts w:ascii="Tahoma" w:hAnsi="Tahoma" w:cs="Tahoma"/>
      <w:sz w:val="16"/>
      <w:szCs w:val="16"/>
    </w:rPr>
  </w:style>
  <w:style w:type="paragraph" w:styleId="Prrafodelista">
    <w:name w:val="List Paragraph"/>
    <w:basedOn w:val="Normal"/>
    <w:uiPriority w:val="34"/>
    <w:qFormat/>
    <w:rsid w:val="00B43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916">
      <w:bodyDiv w:val="1"/>
      <w:marLeft w:val="0"/>
      <w:marRight w:val="0"/>
      <w:marTop w:val="0"/>
      <w:marBottom w:val="0"/>
      <w:divBdr>
        <w:top w:val="none" w:sz="0" w:space="0" w:color="auto"/>
        <w:left w:val="none" w:sz="0" w:space="0" w:color="auto"/>
        <w:bottom w:val="none" w:sz="0" w:space="0" w:color="auto"/>
        <w:right w:val="none" w:sz="0" w:space="0" w:color="auto"/>
      </w:divBdr>
    </w:div>
    <w:div w:id="45376994">
      <w:bodyDiv w:val="1"/>
      <w:marLeft w:val="0"/>
      <w:marRight w:val="0"/>
      <w:marTop w:val="0"/>
      <w:marBottom w:val="0"/>
      <w:divBdr>
        <w:top w:val="none" w:sz="0" w:space="0" w:color="auto"/>
        <w:left w:val="none" w:sz="0" w:space="0" w:color="auto"/>
        <w:bottom w:val="none" w:sz="0" w:space="0" w:color="auto"/>
        <w:right w:val="none" w:sz="0" w:space="0" w:color="auto"/>
      </w:divBdr>
    </w:div>
    <w:div w:id="69430302">
      <w:bodyDiv w:val="1"/>
      <w:marLeft w:val="0"/>
      <w:marRight w:val="0"/>
      <w:marTop w:val="0"/>
      <w:marBottom w:val="0"/>
      <w:divBdr>
        <w:top w:val="none" w:sz="0" w:space="0" w:color="auto"/>
        <w:left w:val="none" w:sz="0" w:space="0" w:color="auto"/>
        <w:bottom w:val="none" w:sz="0" w:space="0" w:color="auto"/>
        <w:right w:val="none" w:sz="0" w:space="0" w:color="auto"/>
      </w:divBdr>
    </w:div>
    <w:div w:id="72700050">
      <w:bodyDiv w:val="1"/>
      <w:marLeft w:val="0"/>
      <w:marRight w:val="0"/>
      <w:marTop w:val="0"/>
      <w:marBottom w:val="0"/>
      <w:divBdr>
        <w:top w:val="none" w:sz="0" w:space="0" w:color="auto"/>
        <w:left w:val="none" w:sz="0" w:space="0" w:color="auto"/>
        <w:bottom w:val="none" w:sz="0" w:space="0" w:color="auto"/>
        <w:right w:val="none" w:sz="0" w:space="0" w:color="auto"/>
      </w:divBdr>
    </w:div>
    <w:div w:id="103380728">
      <w:bodyDiv w:val="1"/>
      <w:marLeft w:val="0"/>
      <w:marRight w:val="0"/>
      <w:marTop w:val="0"/>
      <w:marBottom w:val="0"/>
      <w:divBdr>
        <w:top w:val="none" w:sz="0" w:space="0" w:color="auto"/>
        <w:left w:val="none" w:sz="0" w:space="0" w:color="auto"/>
        <w:bottom w:val="none" w:sz="0" w:space="0" w:color="auto"/>
        <w:right w:val="none" w:sz="0" w:space="0" w:color="auto"/>
      </w:divBdr>
    </w:div>
    <w:div w:id="122115990">
      <w:bodyDiv w:val="1"/>
      <w:marLeft w:val="0"/>
      <w:marRight w:val="0"/>
      <w:marTop w:val="0"/>
      <w:marBottom w:val="0"/>
      <w:divBdr>
        <w:top w:val="none" w:sz="0" w:space="0" w:color="auto"/>
        <w:left w:val="none" w:sz="0" w:space="0" w:color="auto"/>
        <w:bottom w:val="none" w:sz="0" w:space="0" w:color="auto"/>
        <w:right w:val="none" w:sz="0" w:space="0" w:color="auto"/>
      </w:divBdr>
    </w:div>
    <w:div w:id="122774207">
      <w:bodyDiv w:val="1"/>
      <w:marLeft w:val="0"/>
      <w:marRight w:val="0"/>
      <w:marTop w:val="0"/>
      <w:marBottom w:val="0"/>
      <w:divBdr>
        <w:top w:val="none" w:sz="0" w:space="0" w:color="auto"/>
        <w:left w:val="none" w:sz="0" w:space="0" w:color="auto"/>
        <w:bottom w:val="none" w:sz="0" w:space="0" w:color="auto"/>
        <w:right w:val="none" w:sz="0" w:space="0" w:color="auto"/>
      </w:divBdr>
    </w:div>
    <w:div w:id="125317991">
      <w:bodyDiv w:val="1"/>
      <w:marLeft w:val="0"/>
      <w:marRight w:val="0"/>
      <w:marTop w:val="0"/>
      <w:marBottom w:val="0"/>
      <w:divBdr>
        <w:top w:val="none" w:sz="0" w:space="0" w:color="auto"/>
        <w:left w:val="none" w:sz="0" w:space="0" w:color="auto"/>
        <w:bottom w:val="none" w:sz="0" w:space="0" w:color="auto"/>
        <w:right w:val="none" w:sz="0" w:space="0" w:color="auto"/>
      </w:divBdr>
    </w:div>
    <w:div w:id="140658558">
      <w:bodyDiv w:val="1"/>
      <w:marLeft w:val="0"/>
      <w:marRight w:val="0"/>
      <w:marTop w:val="0"/>
      <w:marBottom w:val="0"/>
      <w:divBdr>
        <w:top w:val="none" w:sz="0" w:space="0" w:color="auto"/>
        <w:left w:val="none" w:sz="0" w:space="0" w:color="auto"/>
        <w:bottom w:val="none" w:sz="0" w:space="0" w:color="auto"/>
        <w:right w:val="none" w:sz="0" w:space="0" w:color="auto"/>
      </w:divBdr>
    </w:div>
    <w:div w:id="149250182">
      <w:bodyDiv w:val="1"/>
      <w:marLeft w:val="0"/>
      <w:marRight w:val="0"/>
      <w:marTop w:val="0"/>
      <w:marBottom w:val="0"/>
      <w:divBdr>
        <w:top w:val="none" w:sz="0" w:space="0" w:color="auto"/>
        <w:left w:val="none" w:sz="0" w:space="0" w:color="auto"/>
        <w:bottom w:val="none" w:sz="0" w:space="0" w:color="auto"/>
        <w:right w:val="none" w:sz="0" w:space="0" w:color="auto"/>
      </w:divBdr>
    </w:div>
    <w:div w:id="174343551">
      <w:bodyDiv w:val="1"/>
      <w:marLeft w:val="0"/>
      <w:marRight w:val="0"/>
      <w:marTop w:val="0"/>
      <w:marBottom w:val="0"/>
      <w:divBdr>
        <w:top w:val="none" w:sz="0" w:space="0" w:color="auto"/>
        <w:left w:val="none" w:sz="0" w:space="0" w:color="auto"/>
        <w:bottom w:val="none" w:sz="0" w:space="0" w:color="auto"/>
        <w:right w:val="none" w:sz="0" w:space="0" w:color="auto"/>
      </w:divBdr>
    </w:div>
    <w:div w:id="185484162">
      <w:bodyDiv w:val="1"/>
      <w:marLeft w:val="0"/>
      <w:marRight w:val="0"/>
      <w:marTop w:val="0"/>
      <w:marBottom w:val="0"/>
      <w:divBdr>
        <w:top w:val="none" w:sz="0" w:space="0" w:color="auto"/>
        <w:left w:val="none" w:sz="0" w:space="0" w:color="auto"/>
        <w:bottom w:val="none" w:sz="0" w:space="0" w:color="auto"/>
        <w:right w:val="none" w:sz="0" w:space="0" w:color="auto"/>
      </w:divBdr>
    </w:div>
    <w:div w:id="205341049">
      <w:bodyDiv w:val="1"/>
      <w:marLeft w:val="0"/>
      <w:marRight w:val="0"/>
      <w:marTop w:val="0"/>
      <w:marBottom w:val="0"/>
      <w:divBdr>
        <w:top w:val="none" w:sz="0" w:space="0" w:color="auto"/>
        <w:left w:val="none" w:sz="0" w:space="0" w:color="auto"/>
        <w:bottom w:val="none" w:sz="0" w:space="0" w:color="auto"/>
        <w:right w:val="none" w:sz="0" w:space="0" w:color="auto"/>
      </w:divBdr>
    </w:div>
    <w:div w:id="233704099">
      <w:bodyDiv w:val="1"/>
      <w:marLeft w:val="0"/>
      <w:marRight w:val="0"/>
      <w:marTop w:val="0"/>
      <w:marBottom w:val="0"/>
      <w:divBdr>
        <w:top w:val="none" w:sz="0" w:space="0" w:color="auto"/>
        <w:left w:val="none" w:sz="0" w:space="0" w:color="auto"/>
        <w:bottom w:val="none" w:sz="0" w:space="0" w:color="auto"/>
        <w:right w:val="none" w:sz="0" w:space="0" w:color="auto"/>
      </w:divBdr>
    </w:div>
    <w:div w:id="241452306">
      <w:bodyDiv w:val="1"/>
      <w:marLeft w:val="0"/>
      <w:marRight w:val="0"/>
      <w:marTop w:val="0"/>
      <w:marBottom w:val="0"/>
      <w:divBdr>
        <w:top w:val="none" w:sz="0" w:space="0" w:color="auto"/>
        <w:left w:val="none" w:sz="0" w:space="0" w:color="auto"/>
        <w:bottom w:val="none" w:sz="0" w:space="0" w:color="auto"/>
        <w:right w:val="none" w:sz="0" w:space="0" w:color="auto"/>
      </w:divBdr>
    </w:div>
    <w:div w:id="260995257">
      <w:bodyDiv w:val="1"/>
      <w:marLeft w:val="0"/>
      <w:marRight w:val="0"/>
      <w:marTop w:val="0"/>
      <w:marBottom w:val="0"/>
      <w:divBdr>
        <w:top w:val="none" w:sz="0" w:space="0" w:color="auto"/>
        <w:left w:val="none" w:sz="0" w:space="0" w:color="auto"/>
        <w:bottom w:val="none" w:sz="0" w:space="0" w:color="auto"/>
        <w:right w:val="none" w:sz="0" w:space="0" w:color="auto"/>
      </w:divBdr>
    </w:div>
    <w:div w:id="278882216">
      <w:bodyDiv w:val="1"/>
      <w:marLeft w:val="0"/>
      <w:marRight w:val="0"/>
      <w:marTop w:val="0"/>
      <w:marBottom w:val="0"/>
      <w:divBdr>
        <w:top w:val="none" w:sz="0" w:space="0" w:color="auto"/>
        <w:left w:val="none" w:sz="0" w:space="0" w:color="auto"/>
        <w:bottom w:val="none" w:sz="0" w:space="0" w:color="auto"/>
        <w:right w:val="none" w:sz="0" w:space="0" w:color="auto"/>
      </w:divBdr>
    </w:div>
    <w:div w:id="282277113">
      <w:bodyDiv w:val="1"/>
      <w:marLeft w:val="0"/>
      <w:marRight w:val="0"/>
      <w:marTop w:val="0"/>
      <w:marBottom w:val="0"/>
      <w:divBdr>
        <w:top w:val="none" w:sz="0" w:space="0" w:color="auto"/>
        <w:left w:val="none" w:sz="0" w:space="0" w:color="auto"/>
        <w:bottom w:val="none" w:sz="0" w:space="0" w:color="auto"/>
        <w:right w:val="none" w:sz="0" w:space="0" w:color="auto"/>
      </w:divBdr>
    </w:div>
    <w:div w:id="293601501">
      <w:bodyDiv w:val="1"/>
      <w:marLeft w:val="0"/>
      <w:marRight w:val="0"/>
      <w:marTop w:val="0"/>
      <w:marBottom w:val="0"/>
      <w:divBdr>
        <w:top w:val="none" w:sz="0" w:space="0" w:color="auto"/>
        <w:left w:val="none" w:sz="0" w:space="0" w:color="auto"/>
        <w:bottom w:val="none" w:sz="0" w:space="0" w:color="auto"/>
        <w:right w:val="none" w:sz="0" w:space="0" w:color="auto"/>
      </w:divBdr>
    </w:div>
    <w:div w:id="296910370">
      <w:bodyDiv w:val="1"/>
      <w:marLeft w:val="0"/>
      <w:marRight w:val="0"/>
      <w:marTop w:val="0"/>
      <w:marBottom w:val="0"/>
      <w:divBdr>
        <w:top w:val="none" w:sz="0" w:space="0" w:color="auto"/>
        <w:left w:val="none" w:sz="0" w:space="0" w:color="auto"/>
        <w:bottom w:val="none" w:sz="0" w:space="0" w:color="auto"/>
        <w:right w:val="none" w:sz="0" w:space="0" w:color="auto"/>
      </w:divBdr>
    </w:div>
    <w:div w:id="302927731">
      <w:bodyDiv w:val="1"/>
      <w:marLeft w:val="0"/>
      <w:marRight w:val="0"/>
      <w:marTop w:val="0"/>
      <w:marBottom w:val="0"/>
      <w:divBdr>
        <w:top w:val="none" w:sz="0" w:space="0" w:color="auto"/>
        <w:left w:val="none" w:sz="0" w:space="0" w:color="auto"/>
        <w:bottom w:val="none" w:sz="0" w:space="0" w:color="auto"/>
        <w:right w:val="none" w:sz="0" w:space="0" w:color="auto"/>
      </w:divBdr>
    </w:div>
    <w:div w:id="304360823">
      <w:bodyDiv w:val="1"/>
      <w:marLeft w:val="0"/>
      <w:marRight w:val="0"/>
      <w:marTop w:val="0"/>
      <w:marBottom w:val="0"/>
      <w:divBdr>
        <w:top w:val="none" w:sz="0" w:space="0" w:color="auto"/>
        <w:left w:val="none" w:sz="0" w:space="0" w:color="auto"/>
        <w:bottom w:val="none" w:sz="0" w:space="0" w:color="auto"/>
        <w:right w:val="none" w:sz="0" w:space="0" w:color="auto"/>
      </w:divBdr>
    </w:div>
    <w:div w:id="305823708">
      <w:bodyDiv w:val="1"/>
      <w:marLeft w:val="0"/>
      <w:marRight w:val="0"/>
      <w:marTop w:val="0"/>
      <w:marBottom w:val="0"/>
      <w:divBdr>
        <w:top w:val="none" w:sz="0" w:space="0" w:color="auto"/>
        <w:left w:val="none" w:sz="0" w:space="0" w:color="auto"/>
        <w:bottom w:val="none" w:sz="0" w:space="0" w:color="auto"/>
        <w:right w:val="none" w:sz="0" w:space="0" w:color="auto"/>
      </w:divBdr>
    </w:div>
    <w:div w:id="316807511">
      <w:bodyDiv w:val="1"/>
      <w:marLeft w:val="0"/>
      <w:marRight w:val="0"/>
      <w:marTop w:val="0"/>
      <w:marBottom w:val="0"/>
      <w:divBdr>
        <w:top w:val="none" w:sz="0" w:space="0" w:color="auto"/>
        <w:left w:val="none" w:sz="0" w:space="0" w:color="auto"/>
        <w:bottom w:val="none" w:sz="0" w:space="0" w:color="auto"/>
        <w:right w:val="none" w:sz="0" w:space="0" w:color="auto"/>
      </w:divBdr>
    </w:div>
    <w:div w:id="348991860">
      <w:bodyDiv w:val="1"/>
      <w:marLeft w:val="0"/>
      <w:marRight w:val="0"/>
      <w:marTop w:val="0"/>
      <w:marBottom w:val="0"/>
      <w:divBdr>
        <w:top w:val="none" w:sz="0" w:space="0" w:color="auto"/>
        <w:left w:val="none" w:sz="0" w:space="0" w:color="auto"/>
        <w:bottom w:val="none" w:sz="0" w:space="0" w:color="auto"/>
        <w:right w:val="none" w:sz="0" w:space="0" w:color="auto"/>
      </w:divBdr>
    </w:div>
    <w:div w:id="367530175">
      <w:bodyDiv w:val="1"/>
      <w:marLeft w:val="0"/>
      <w:marRight w:val="0"/>
      <w:marTop w:val="0"/>
      <w:marBottom w:val="0"/>
      <w:divBdr>
        <w:top w:val="none" w:sz="0" w:space="0" w:color="auto"/>
        <w:left w:val="none" w:sz="0" w:space="0" w:color="auto"/>
        <w:bottom w:val="none" w:sz="0" w:space="0" w:color="auto"/>
        <w:right w:val="none" w:sz="0" w:space="0" w:color="auto"/>
      </w:divBdr>
    </w:div>
    <w:div w:id="370613168">
      <w:bodyDiv w:val="1"/>
      <w:marLeft w:val="0"/>
      <w:marRight w:val="0"/>
      <w:marTop w:val="0"/>
      <w:marBottom w:val="0"/>
      <w:divBdr>
        <w:top w:val="none" w:sz="0" w:space="0" w:color="auto"/>
        <w:left w:val="none" w:sz="0" w:space="0" w:color="auto"/>
        <w:bottom w:val="none" w:sz="0" w:space="0" w:color="auto"/>
        <w:right w:val="none" w:sz="0" w:space="0" w:color="auto"/>
      </w:divBdr>
    </w:div>
    <w:div w:id="428501116">
      <w:bodyDiv w:val="1"/>
      <w:marLeft w:val="0"/>
      <w:marRight w:val="0"/>
      <w:marTop w:val="0"/>
      <w:marBottom w:val="0"/>
      <w:divBdr>
        <w:top w:val="none" w:sz="0" w:space="0" w:color="auto"/>
        <w:left w:val="none" w:sz="0" w:space="0" w:color="auto"/>
        <w:bottom w:val="none" w:sz="0" w:space="0" w:color="auto"/>
        <w:right w:val="none" w:sz="0" w:space="0" w:color="auto"/>
      </w:divBdr>
    </w:div>
    <w:div w:id="436293270">
      <w:bodyDiv w:val="1"/>
      <w:marLeft w:val="0"/>
      <w:marRight w:val="0"/>
      <w:marTop w:val="0"/>
      <w:marBottom w:val="0"/>
      <w:divBdr>
        <w:top w:val="none" w:sz="0" w:space="0" w:color="auto"/>
        <w:left w:val="none" w:sz="0" w:space="0" w:color="auto"/>
        <w:bottom w:val="none" w:sz="0" w:space="0" w:color="auto"/>
        <w:right w:val="none" w:sz="0" w:space="0" w:color="auto"/>
      </w:divBdr>
    </w:div>
    <w:div w:id="436297098">
      <w:bodyDiv w:val="1"/>
      <w:marLeft w:val="0"/>
      <w:marRight w:val="0"/>
      <w:marTop w:val="0"/>
      <w:marBottom w:val="0"/>
      <w:divBdr>
        <w:top w:val="none" w:sz="0" w:space="0" w:color="auto"/>
        <w:left w:val="none" w:sz="0" w:space="0" w:color="auto"/>
        <w:bottom w:val="none" w:sz="0" w:space="0" w:color="auto"/>
        <w:right w:val="none" w:sz="0" w:space="0" w:color="auto"/>
      </w:divBdr>
    </w:div>
    <w:div w:id="469784003">
      <w:bodyDiv w:val="1"/>
      <w:marLeft w:val="0"/>
      <w:marRight w:val="0"/>
      <w:marTop w:val="0"/>
      <w:marBottom w:val="0"/>
      <w:divBdr>
        <w:top w:val="none" w:sz="0" w:space="0" w:color="auto"/>
        <w:left w:val="none" w:sz="0" w:space="0" w:color="auto"/>
        <w:bottom w:val="none" w:sz="0" w:space="0" w:color="auto"/>
        <w:right w:val="none" w:sz="0" w:space="0" w:color="auto"/>
      </w:divBdr>
    </w:div>
    <w:div w:id="482427523">
      <w:bodyDiv w:val="1"/>
      <w:marLeft w:val="0"/>
      <w:marRight w:val="0"/>
      <w:marTop w:val="0"/>
      <w:marBottom w:val="0"/>
      <w:divBdr>
        <w:top w:val="none" w:sz="0" w:space="0" w:color="auto"/>
        <w:left w:val="none" w:sz="0" w:space="0" w:color="auto"/>
        <w:bottom w:val="none" w:sz="0" w:space="0" w:color="auto"/>
        <w:right w:val="none" w:sz="0" w:space="0" w:color="auto"/>
      </w:divBdr>
    </w:div>
    <w:div w:id="508060241">
      <w:bodyDiv w:val="1"/>
      <w:marLeft w:val="0"/>
      <w:marRight w:val="0"/>
      <w:marTop w:val="0"/>
      <w:marBottom w:val="0"/>
      <w:divBdr>
        <w:top w:val="none" w:sz="0" w:space="0" w:color="auto"/>
        <w:left w:val="none" w:sz="0" w:space="0" w:color="auto"/>
        <w:bottom w:val="none" w:sz="0" w:space="0" w:color="auto"/>
        <w:right w:val="none" w:sz="0" w:space="0" w:color="auto"/>
      </w:divBdr>
    </w:div>
    <w:div w:id="508953746">
      <w:bodyDiv w:val="1"/>
      <w:marLeft w:val="0"/>
      <w:marRight w:val="0"/>
      <w:marTop w:val="0"/>
      <w:marBottom w:val="0"/>
      <w:divBdr>
        <w:top w:val="none" w:sz="0" w:space="0" w:color="auto"/>
        <w:left w:val="none" w:sz="0" w:space="0" w:color="auto"/>
        <w:bottom w:val="none" w:sz="0" w:space="0" w:color="auto"/>
        <w:right w:val="none" w:sz="0" w:space="0" w:color="auto"/>
      </w:divBdr>
    </w:div>
    <w:div w:id="544754155">
      <w:bodyDiv w:val="1"/>
      <w:marLeft w:val="0"/>
      <w:marRight w:val="0"/>
      <w:marTop w:val="0"/>
      <w:marBottom w:val="0"/>
      <w:divBdr>
        <w:top w:val="none" w:sz="0" w:space="0" w:color="auto"/>
        <w:left w:val="none" w:sz="0" w:space="0" w:color="auto"/>
        <w:bottom w:val="none" w:sz="0" w:space="0" w:color="auto"/>
        <w:right w:val="none" w:sz="0" w:space="0" w:color="auto"/>
      </w:divBdr>
    </w:div>
    <w:div w:id="548347738">
      <w:bodyDiv w:val="1"/>
      <w:marLeft w:val="0"/>
      <w:marRight w:val="0"/>
      <w:marTop w:val="0"/>
      <w:marBottom w:val="0"/>
      <w:divBdr>
        <w:top w:val="none" w:sz="0" w:space="0" w:color="auto"/>
        <w:left w:val="none" w:sz="0" w:space="0" w:color="auto"/>
        <w:bottom w:val="none" w:sz="0" w:space="0" w:color="auto"/>
        <w:right w:val="none" w:sz="0" w:space="0" w:color="auto"/>
      </w:divBdr>
    </w:div>
    <w:div w:id="548761167">
      <w:bodyDiv w:val="1"/>
      <w:marLeft w:val="0"/>
      <w:marRight w:val="0"/>
      <w:marTop w:val="0"/>
      <w:marBottom w:val="0"/>
      <w:divBdr>
        <w:top w:val="none" w:sz="0" w:space="0" w:color="auto"/>
        <w:left w:val="none" w:sz="0" w:space="0" w:color="auto"/>
        <w:bottom w:val="none" w:sz="0" w:space="0" w:color="auto"/>
        <w:right w:val="none" w:sz="0" w:space="0" w:color="auto"/>
      </w:divBdr>
    </w:div>
    <w:div w:id="572398293">
      <w:bodyDiv w:val="1"/>
      <w:marLeft w:val="0"/>
      <w:marRight w:val="0"/>
      <w:marTop w:val="0"/>
      <w:marBottom w:val="0"/>
      <w:divBdr>
        <w:top w:val="none" w:sz="0" w:space="0" w:color="auto"/>
        <w:left w:val="none" w:sz="0" w:space="0" w:color="auto"/>
        <w:bottom w:val="none" w:sz="0" w:space="0" w:color="auto"/>
        <w:right w:val="none" w:sz="0" w:space="0" w:color="auto"/>
      </w:divBdr>
    </w:div>
    <w:div w:id="603927240">
      <w:bodyDiv w:val="1"/>
      <w:marLeft w:val="0"/>
      <w:marRight w:val="0"/>
      <w:marTop w:val="0"/>
      <w:marBottom w:val="0"/>
      <w:divBdr>
        <w:top w:val="none" w:sz="0" w:space="0" w:color="auto"/>
        <w:left w:val="none" w:sz="0" w:space="0" w:color="auto"/>
        <w:bottom w:val="none" w:sz="0" w:space="0" w:color="auto"/>
        <w:right w:val="none" w:sz="0" w:space="0" w:color="auto"/>
      </w:divBdr>
    </w:div>
    <w:div w:id="612708449">
      <w:bodyDiv w:val="1"/>
      <w:marLeft w:val="0"/>
      <w:marRight w:val="0"/>
      <w:marTop w:val="0"/>
      <w:marBottom w:val="0"/>
      <w:divBdr>
        <w:top w:val="none" w:sz="0" w:space="0" w:color="auto"/>
        <w:left w:val="none" w:sz="0" w:space="0" w:color="auto"/>
        <w:bottom w:val="none" w:sz="0" w:space="0" w:color="auto"/>
        <w:right w:val="none" w:sz="0" w:space="0" w:color="auto"/>
      </w:divBdr>
    </w:div>
    <w:div w:id="622493138">
      <w:bodyDiv w:val="1"/>
      <w:marLeft w:val="0"/>
      <w:marRight w:val="0"/>
      <w:marTop w:val="0"/>
      <w:marBottom w:val="0"/>
      <w:divBdr>
        <w:top w:val="none" w:sz="0" w:space="0" w:color="auto"/>
        <w:left w:val="none" w:sz="0" w:space="0" w:color="auto"/>
        <w:bottom w:val="none" w:sz="0" w:space="0" w:color="auto"/>
        <w:right w:val="none" w:sz="0" w:space="0" w:color="auto"/>
      </w:divBdr>
    </w:div>
    <w:div w:id="637803949">
      <w:bodyDiv w:val="1"/>
      <w:marLeft w:val="0"/>
      <w:marRight w:val="0"/>
      <w:marTop w:val="0"/>
      <w:marBottom w:val="0"/>
      <w:divBdr>
        <w:top w:val="none" w:sz="0" w:space="0" w:color="auto"/>
        <w:left w:val="none" w:sz="0" w:space="0" w:color="auto"/>
        <w:bottom w:val="none" w:sz="0" w:space="0" w:color="auto"/>
        <w:right w:val="none" w:sz="0" w:space="0" w:color="auto"/>
      </w:divBdr>
    </w:div>
    <w:div w:id="638344748">
      <w:bodyDiv w:val="1"/>
      <w:marLeft w:val="0"/>
      <w:marRight w:val="0"/>
      <w:marTop w:val="0"/>
      <w:marBottom w:val="0"/>
      <w:divBdr>
        <w:top w:val="none" w:sz="0" w:space="0" w:color="auto"/>
        <w:left w:val="none" w:sz="0" w:space="0" w:color="auto"/>
        <w:bottom w:val="none" w:sz="0" w:space="0" w:color="auto"/>
        <w:right w:val="none" w:sz="0" w:space="0" w:color="auto"/>
      </w:divBdr>
    </w:div>
    <w:div w:id="669985900">
      <w:bodyDiv w:val="1"/>
      <w:marLeft w:val="0"/>
      <w:marRight w:val="0"/>
      <w:marTop w:val="0"/>
      <w:marBottom w:val="0"/>
      <w:divBdr>
        <w:top w:val="none" w:sz="0" w:space="0" w:color="auto"/>
        <w:left w:val="none" w:sz="0" w:space="0" w:color="auto"/>
        <w:bottom w:val="none" w:sz="0" w:space="0" w:color="auto"/>
        <w:right w:val="none" w:sz="0" w:space="0" w:color="auto"/>
      </w:divBdr>
    </w:div>
    <w:div w:id="676081865">
      <w:bodyDiv w:val="1"/>
      <w:marLeft w:val="0"/>
      <w:marRight w:val="0"/>
      <w:marTop w:val="0"/>
      <w:marBottom w:val="0"/>
      <w:divBdr>
        <w:top w:val="none" w:sz="0" w:space="0" w:color="auto"/>
        <w:left w:val="none" w:sz="0" w:space="0" w:color="auto"/>
        <w:bottom w:val="none" w:sz="0" w:space="0" w:color="auto"/>
        <w:right w:val="none" w:sz="0" w:space="0" w:color="auto"/>
      </w:divBdr>
    </w:div>
    <w:div w:id="707532691">
      <w:bodyDiv w:val="1"/>
      <w:marLeft w:val="0"/>
      <w:marRight w:val="0"/>
      <w:marTop w:val="0"/>
      <w:marBottom w:val="0"/>
      <w:divBdr>
        <w:top w:val="none" w:sz="0" w:space="0" w:color="auto"/>
        <w:left w:val="none" w:sz="0" w:space="0" w:color="auto"/>
        <w:bottom w:val="none" w:sz="0" w:space="0" w:color="auto"/>
        <w:right w:val="none" w:sz="0" w:space="0" w:color="auto"/>
      </w:divBdr>
    </w:div>
    <w:div w:id="711197934">
      <w:bodyDiv w:val="1"/>
      <w:marLeft w:val="0"/>
      <w:marRight w:val="0"/>
      <w:marTop w:val="0"/>
      <w:marBottom w:val="0"/>
      <w:divBdr>
        <w:top w:val="none" w:sz="0" w:space="0" w:color="auto"/>
        <w:left w:val="none" w:sz="0" w:space="0" w:color="auto"/>
        <w:bottom w:val="none" w:sz="0" w:space="0" w:color="auto"/>
        <w:right w:val="none" w:sz="0" w:space="0" w:color="auto"/>
      </w:divBdr>
    </w:div>
    <w:div w:id="726681282">
      <w:bodyDiv w:val="1"/>
      <w:marLeft w:val="0"/>
      <w:marRight w:val="0"/>
      <w:marTop w:val="0"/>
      <w:marBottom w:val="0"/>
      <w:divBdr>
        <w:top w:val="none" w:sz="0" w:space="0" w:color="auto"/>
        <w:left w:val="none" w:sz="0" w:space="0" w:color="auto"/>
        <w:bottom w:val="none" w:sz="0" w:space="0" w:color="auto"/>
        <w:right w:val="none" w:sz="0" w:space="0" w:color="auto"/>
      </w:divBdr>
    </w:div>
    <w:div w:id="760106783">
      <w:bodyDiv w:val="1"/>
      <w:marLeft w:val="0"/>
      <w:marRight w:val="0"/>
      <w:marTop w:val="0"/>
      <w:marBottom w:val="0"/>
      <w:divBdr>
        <w:top w:val="none" w:sz="0" w:space="0" w:color="auto"/>
        <w:left w:val="none" w:sz="0" w:space="0" w:color="auto"/>
        <w:bottom w:val="none" w:sz="0" w:space="0" w:color="auto"/>
        <w:right w:val="none" w:sz="0" w:space="0" w:color="auto"/>
      </w:divBdr>
    </w:div>
    <w:div w:id="765229099">
      <w:bodyDiv w:val="1"/>
      <w:marLeft w:val="0"/>
      <w:marRight w:val="0"/>
      <w:marTop w:val="0"/>
      <w:marBottom w:val="0"/>
      <w:divBdr>
        <w:top w:val="none" w:sz="0" w:space="0" w:color="auto"/>
        <w:left w:val="none" w:sz="0" w:space="0" w:color="auto"/>
        <w:bottom w:val="none" w:sz="0" w:space="0" w:color="auto"/>
        <w:right w:val="none" w:sz="0" w:space="0" w:color="auto"/>
      </w:divBdr>
    </w:div>
    <w:div w:id="798837229">
      <w:bodyDiv w:val="1"/>
      <w:marLeft w:val="0"/>
      <w:marRight w:val="0"/>
      <w:marTop w:val="0"/>
      <w:marBottom w:val="0"/>
      <w:divBdr>
        <w:top w:val="none" w:sz="0" w:space="0" w:color="auto"/>
        <w:left w:val="none" w:sz="0" w:space="0" w:color="auto"/>
        <w:bottom w:val="none" w:sz="0" w:space="0" w:color="auto"/>
        <w:right w:val="none" w:sz="0" w:space="0" w:color="auto"/>
      </w:divBdr>
    </w:div>
    <w:div w:id="800613253">
      <w:bodyDiv w:val="1"/>
      <w:marLeft w:val="0"/>
      <w:marRight w:val="0"/>
      <w:marTop w:val="0"/>
      <w:marBottom w:val="0"/>
      <w:divBdr>
        <w:top w:val="none" w:sz="0" w:space="0" w:color="auto"/>
        <w:left w:val="none" w:sz="0" w:space="0" w:color="auto"/>
        <w:bottom w:val="none" w:sz="0" w:space="0" w:color="auto"/>
        <w:right w:val="none" w:sz="0" w:space="0" w:color="auto"/>
      </w:divBdr>
    </w:div>
    <w:div w:id="847713562">
      <w:bodyDiv w:val="1"/>
      <w:marLeft w:val="0"/>
      <w:marRight w:val="0"/>
      <w:marTop w:val="0"/>
      <w:marBottom w:val="0"/>
      <w:divBdr>
        <w:top w:val="none" w:sz="0" w:space="0" w:color="auto"/>
        <w:left w:val="none" w:sz="0" w:space="0" w:color="auto"/>
        <w:bottom w:val="none" w:sz="0" w:space="0" w:color="auto"/>
        <w:right w:val="none" w:sz="0" w:space="0" w:color="auto"/>
      </w:divBdr>
    </w:div>
    <w:div w:id="861162593">
      <w:bodyDiv w:val="1"/>
      <w:marLeft w:val="0"/>
      <w:marRight w:val="0"/>
      <w:marTop w:val="0"/>
      <w:marBottom w:val="0"/>
      <w:divBdr>
        <w:top w:val="none" w:sz="0" w:space="0" w:color="auto"/>
        <w:left w:val="none" w:sz="0" w:space="0" w:color="auto"/>
        <w:bottom w:val="none" w:sz="0" w:space="0" w:color="auto"/>
        <w:right w:val="none" w:sz="0" w:space="0" w:color="auto"/>
      </w:divBdr>
    </w:div>
    <w:div w:id="870415935">
      <w:bodyDiv w:val="1"/>
      <w:marLeft w:val="0"/>
      <w:marRight w:val="0"/>
      <w:marTop w:val="0"/>
      <w:marBottom w:val="0"/>
      <w:divBdr>
        <w:top w:val="none" w:sz="0" w:space="0" w:color="auto"/>
        <w:left w:val="none" w:sz="0" w:space="0" w:color="auto"/>
        <w:bottom w:val="none" w:sz="0" w:space="0" w:color="auto"/>
        <w:right w:val="none" w:sz="0" w:space="0" w:color="auto"/>
      </w:divBdr>
    </w:div>
    <w:div w:id="897670893">
      <w:bodyDiv w:val="1"/>
      <w:marLeft w:val="0"/>
      <w:marRight w:val="0"/>
      <w:marTop w:val="0"/>
      <w:marBottom w:val="0"/>
      <w:divBdr>
        <w:top w:val="none" w:sz="0" w:space="0" w:color="auto"/>
        <w:left w:val="none" w:sz="0" w:space="0" w:color="auto"/>
        <w:bottom w:val="none" w:sz="0" w:space="0" w:color="auto"/>
        <w:right w:val="none" w:sz="0" w:space="0" w:color="auto"/>
      </w:divBdr>
    </w:div>
    <w:div w:id="928539940">
      <w:bodyDiv w:val="1"/>
      <w:marLeft w:val="0"/>
      <w:marRight w:val="0"/>
      <w:marTop w:val="0"/>
      <w:marBottom w:val="0"/>
      <w:divBdr>
        <w:top w:val="none" w:sz="0" w:space="0" w:color="auto"/>
        <w:left w:val="none" w:sz="0" w:space="0" w:color="auto"/>
        <w:bottom w:val="none" w:sz="0" w:space="0" w:color="auto"/>
        <w:right w:val="none" w:sz="0" w:space="0" w:color="auto"/>
      </w:divBdr>
    </w:div>
    <w:div w:id="934169389">
      <w:bodyDiv w:val="1"/>
      <w:marLeft w:val="0"/>
      <w:marRight w:val="0"/>
      <w:marTop w:val="0"/>
      <w:marBottom w:val="0"/>
      <w:divBdr>
        <w:top w:val="none" w:sz="0" w:space="0" w:color="auto"/>
        <w:left w:val="none" w:sz="0" w:space="0" w:color="auto"/>
        <w:bottom w:val="none" w:sz="0" w:space="0" w:color="auto"/>
        <w:right w:val="none" w:sz="0" w:space="0" w:color="auto"/>
      </w:divBdr>
    </w:div>
    <w:div w:id="963316704">
      <w:bodyDiv w:val="1"/>
      <w:marLeft w:val="0"/>
      <w:marRight w:val="0"/>
      <w:marTop w:val="0"/>
      <w:marBottom w:val="0"/>
      <w:divBdr>
        <w:top w:val="none" w:sz="0" w:space="0" w:color="auto"/>
        <w:left w:val="none" w:sz="0" w:space="0" w:color="auto"/>
        <w:bottom w:val="none" w:sz="0" w:space="0" w:color="auto"/>
        <w:right w:val="none" w:sz="0" w:space="0" w:color="auto"/>
      </w:divBdr>
    </w:div>
    <w:div w:id="1005859269">
      <w:bodyDiv w:val="1"/>
      <w:marLeft w:val="0"/>
      <w:marRight w:val="0"/>
      <w:marTop w:val="0"/>
      <w:marBottom w:val="0"/>
      <w:divBdr>
        <w:top w:val="none" w:sz="0" w:space="0" w:color="auto"/>
        <w:left w:val="none" w:sz="0" w:space="0" w:color="auto"/>
        <w:bottom w:val="none" w:sz="0" w:space="0" w:color="auto"/>
        <w:right w:val="none" w:sz="0" w:space="0" w:color="auto"/>
      </w:divBdr>
    </w:div>
    <w:div w:id="1017849403">
      <w:bodyDiv w:val="1"/>
      <w:marLeft w:val="0"/>
      <w:marRight w:val="0"/>
      <w:marTop w:val="0"/>
      <w:marBottom w:val="0"/>
      <w:divBdr>
        <w:top w:val="none" w:sz="0" w:space="0" w:color="auto"/>
        <w:left w:val="none" w:sz="0" w:space="0" w:color="auto"/>
        <w:bottom w:val="none" w:sz="0" w:space="0" w:color="auto"/>
        <w:right w:val="none" w:sz="0" w:space="0" w:color="auto"/>
      </w:divBdr>
    </w:div>
    <w:div w:id="1029650076">
      <w:bodyDiv w:val="1"/>
      <w:marLeft w:val="0"/>
      <w:marRight w:val="0"/>
      <w:marTop w:val="0"/>
      <w:marBottom w:val="0"/>
      <w:divBdr>
        <w:top w:val="none" w:sz="0" w:space="0" w:color="auto"/>
        <w:left w:val="none" w:sz="0" w:space="0" w:color="auto"/>
        <w:bottom w:val="none" w:sz="0" w:space="0" w:color="auto"/>
        <w:right w:val="none" w:sz="0" w:space="0" w:color="auto"/>
      </w:divBdr>
    </w:div>
    <w:div w:id="1032421168">
      <w:bodyDiv w:val="1"/>
      <w:marLeft w:val="0"/>
      <w:marRight w:val="0"/>
      <w:marTop w:val="0"/>
      <w:marBottom w:val="0"/>
      <w:divBdr>
        <w:top w:val="none" w:sz="0" w:space="0" w:color="auto"/>
        <w:left w:val="none" w:sz="0" w:space="0" w:color="auto"/>
        <w:bottom w:val="none" w:sz="0" w:space="0" w:color="auto"/>
        <w:right w:val="none" w:sz="0" w:space="0" w:color="auto"/>
      </w:divBdr>
    </w:div>
    <w:div w:id="1047266035">
      <w:bodyDiv w:val="1"/>
      <w:marLeft w:val="0"/>
      <w:marRight w:val="0"/>
      <w:marTop w:val="0"/>
      <w:marBottom w:val="0"/>
      <w:divBdr>
        <w:top w:val="none" w:sz="0" w:space="0" w:color="auto"/>
        <w:left w:val="none" w:sz="0" w:space="0" w:color="auto"/>
        <w:bottom w:val="none" w:sz="0" w:space="0" w:color="auto"/>
        <w:right w:val="none" w:sz="0" w:space="0" w:color="auto"/>
      </w:divBdr>
    </w:div>
    <w:div w:id="1062172578">
      <w:bodyDiv w:val="1"/>
      <w:marLeft w:val="0"/>
      <w:marRight w:val="0"/>
      <w:marTop w:val="0"/>
      <w:marBottom w:val="0"/>
      <w:divBdr>
        <w:top w:val="none" w:sz="0" w:space="0" w:color="auto"/>
        <w:left w:val="none" w:sz="0" w:space="0" w:color="auto"/>
        <w:bottom w:val="none" w:sz="0" w:space="0" w:color="auto"/>
        <w:right w:val="none" w:sz="0" w:space="0" w:color="auto"/>
      </w:divBdr>
    </w:div>
    <w:div w:id="1092117656">
      <w:bodyDiv w:val="1"/>
      <w:marLeft w:val="0"/>
      <w:marRight w:val="0"/>
      <w:marTop w:val="0"/>
      <w:marBottom w:val="0"/>
      <w:divBdr>
        <w:top w:val="none" w:sz="0" w:space="0" w:color="auto"/>
        <w:left w:val="none" w:sz="0" w:space="0" w:color="auto"/>
        <w:bottom w:val="none" w:sz="0" w:space="0" w:color="auto"/>
        <w:right w:val="none" w:sz="0" w:space="0" w:color="auto"/>
      </w:divBdr>
    </w:div>
    <w:div w:id="1100446186">
      <w:bodyDiv w:val="1"/>
      <w:marLeft w:val="0"/>
      <w:marRight w:val="0"/>
      <w:marTop w:val="0"/>
      <w:marBottom w:val="0"/>
      <w:divBdr>
        <w:top w:val="none" w:sz="0" w:space="0" w:color="auto"/>
        <w:left w:val="none" w:sz="0" w:space="0" w:color="auto"/>
        <w:bottom w:val="none" w:sz="0" w:space="0" w:color="auto"/>
        <w:right w:val="none" w:sz="0" w:space="0" w:color="auto"/>
      </w:divBdr>
    </w:div>
    <w:div w:id="1110320541">
      <w:bodyDiv w:val="1"/>
      <w:marLeft w:val="0"/>
      <w:marRight w:val="0"/>
      <w:marTop w:val="0"/>
      <w:marBottom w:val="0"/>
      <w:divBdr>
        <w:top w:val="none" w:sz="0" w:space="0" w:color="auto"/>
        <w:left w:val="none" w:sz="0" w:space="0" w:color="auto"/>
        <w:bottom w:val="none" w:sz="0" w:space="0" w:color="auto"/>
        <w:right w:val="none" w:sz="0" w:space="0" w:color="auto"/>
      </w:divBdr>
    </w:div>
    <w:div w:id="1110784643">
      <w:bodyDiv w:val="1"/>
      <w:marLeft w:val="0"/>
      <w:marRight w:val="0"/>
      <w:marTop w:val="0"/>
      <w:marBottom w:val="0"/>
      <w:divBdr>
        <w:top w:val="none" w:sz="0" w:space="0" w:color="auto"/>
        <w:left w:val="none" w:sz="0" w:space="0" w:color="auto"/>
        <w:bottom w:val="none" w:sz="0" w:space="0" w:color="auto"/>
        <w:right w:val="none" w:sz="0" w:space="0" w:color="auto"/>
      </w:divBdr>
    </w:div>
    <w:div w:id="1111894016">
      <w:bodyDiv w:val="1"/>
      <w:marLeft w:val="0"/>
      <w:marRight w:val="0"/>
      <w:marTop w:val="0"/>
      <w:marBottom w:val="0"/>
      <w:divBdr>
        <w:top w:val="none" w:sz="0" w:space="0" w:color="auto"/>
        <w:left w:val="none" w:sz="0" w:space="0" w:color="auto"/>
        <w:bottom w:val="none" w:sz="0" w:space="0" w:color="auto"/>
        <w:right w:val="none" w:sz="0" w:space="0" w:color="auto"/>
      </w:divBdr>
    </w:div>
    <w:div w:id="1115489281">
      <w:bodyDiv w:val="1"/>
      <w:marLeft w:val="0"/>
      <w:marRight w:val="0"/>
      <w:marTop w:val="0"/>
      <w:marBottom w:val="0"/>
      <w:divBdr>
        <w:top w:val="none" w:sz="0" w:space="0" w:color="auto"/>
        <w:left w:val="none" w:sz="0" w:space="0" w:color="auto"/>
        <w:bottom w:val="none" w:sz="0" w:space="0" w:color="auto"/>
        <w:right w:val="none" w:sz="0" w:space="0" w:color="auto"/>
      </w:divBdr>
    </w:div>
    <w:div w:id="1121266595">
      <w:bodyDiv w:val="1"/>
      <w:marLeft w:val="0"/>
      <w:marRight w:val="0"/>
      <w:marTop w:val="0"/>
      <w:marBottom w:val="0"/>
      <w:divBdr>
        <w:top w:val="none" w:sz="0" w:space="0" w:color="auto"/>
        <w:left w:val="none" w:sz="0" w:space="0" w:color="auto"/>
        <w:bottom w:val="none" w:sz="0" w:space="0" w:color="auto"/>
        <w:right w:val="none" w:sz="0" w:space="0" w:color="auto"/>
      </w:divBdr>
    </w:div>
    <w:div w:id="1126655691">
      <w:bodyDiv w:val="1"/>
      <w:marLeft w:val="0"/>
      <w:marRight w:val="0"/>
      <w:marTop w:val="0"/>
      <w:marBottom w:val="0"/>
      <w:divBdr>
        <w:top w:val="none" w:sz="0" w:space="0" w:color="auto"/>
        <w:left w:val="none" w:sz="0" w:space="0" w:color="auto"/>
        <w:bottom w:val="none" w:sz="0" w:space="0" w:color="auto"/>
        <w:right w:val="none" w:sz="0" w:space="0" w:color="auto"/>
      </w:divBdr>
    </w:div>
    <w:div w:id="1167281162">
      <w:bodyDiv w:val="1"/>
      <w:marLeft w:val="0"/>
      <w:marRight w:val="0"/>
      <w:marTop w:val="0"/>
      <w:marBottom w:val="0"/>
      <w:divBdr>
        <w:top w:val="none" w:sz="0" w:space="0" w:color="auto"/>
        <w:left w:val="none" w:sz="0" w:space="0" w:color="auto"/>
        <w:bottom w:val="none" w:sz="0" w:space="0" w:color="auto"/>
        <w:right w:val="none" w:sz="0" w:space="0" w:color="auto"/>
      </w:divBdr>
    </w:div>
    <w:div w:id="1212813157">
      <w:bodyDiv w:val="1"/>
      <w:marLeft w:val="0"/>
      <w:marRight w:val="0"/>
      <w:marTop w:val="0"/>
      <w:marBottom w:val="0"/>
      <w:divBdr>
        <w:top w:val="none" w:sz="0" w:space="0" w:color="auto"/>
        <w:left w:val="none" w:sz="0" w:space="0" w:color="auto"/>
        <w:bottom w:val="none" w:sz="0" w:space="0" w:color="auto"/>
        <w:right w:val="none" w:sz="0" w:space="0" w:color="auto"/>
      </w:divBdr>
    </w:div>
    <w:div w:id="1218781578">
      <w:bodyDiv w:val="1"/>
      <w:marLeft w:val="0"/>
      <w:marRight w:val="0"/>
      <w:marTop w:val="0"/>
      <w:marBottom w:val="0"/>
      <w:divBdr>
        <w:top w:val="none" w:sz="0" w:space="0" w:color="auto"/>
        <w:left w:val="none" w:sz="0" w:space="0" w:color="auto"/>
        <w:bottom w:val="none" w:sz="0" w:space="0" w:color="auto"/>
        <w:right w:val="none" w:sz="0" w:space="0" w:color="auto"/>
      </w:divBdr>
    </w:div>
    <w:div w:id="1220171719">
      <w:bodyDiv w:val="1"/>
      <w:marLeft w:val="0"/>
      <w:marRight w:val="0"/>
      <w:marTop w:val="0"/>
      <w:marBottom w:val="0"/>
      <w:divBdr>
        <w:top w:val="none" w:sz="0" w:space="0" w:color="auto"/>
        <w:left w:val="none" w:sz="0" w:space="0" w:color="auto"/>
        <w:bottom w:val="none" w:sz="0" w:space="0" w:color="auto"/>
        <w:right w:val="none" w:sz="0" w:space="0" w:color="auto"/>
      </w:divBdr>
    </w:div>
    <w:div w:id="1227497088">
      <w:bodyDiv w:val="1"/>
      <w:marLeft w:val="0"/>
      <w:marRight w:val="0"/>
      <w:marTop w:val="0"/>
      <w:marBottom w:val="0"/>
      <w:divBdr>
        <w:top w:val="none" w:sz="0" w:space="0" w:color="auto"/>
        <w:left w:val="none" w:sz="0" w:space="0" w:color="auto"/>
        <w:bottom w:val="none" w:sz="0" w:space="0" w:color="auto"/>
        <w:right w:val="none" w:sz="0" w:space="0" w:color="auto"/>
      </w:divBdr>
    </w:div>
    <w:div w:id="1231966018">
      <w:bodyDiv w:val="1"/>
      <w:marLeft w:val="0"/>
      <w:marRight w:val="0"/>
      <w:marTop w:val="0"/>
      <w:marBottom w:val="0"/>
      <w:divBdr>
        <w:top w:val="none" w:sz="0" w:space="0" w:color="auto"/>
        <w:left w:val="none" w:sz="0" w:space="0" w:color="auto"/>
        <w:bottom w:val="none" w:sz="0" w:space="0" w:color="auto"/>
        <w:right w:val="none" w:sz="0" w:space="0" w:color="auto"/>
      </w:divBdr>
    </w:div>
    <w:div w:id="1252541597">
      <w:bodyDiv w:val="1"/>
      <w:marLeft w:val="0"/>
      <w:marRight w:val="0"/>
      <w:marTop w:val="0"/>
      <w:marBottom w:val="0"/>
      <w:divBdr>
        <w:top w:val="none" w:sz="0" w:space="0" w:color="auto"/>
        <w:left w:val="none" w:sz="0" w:space="0" w:color="auto"/>
        <w:bottom w:val="none" w:sz="0" w:space="0" w:color="auto"/>
        <w:right w:val="none" w:sz="0" w:space="0" w:color="auto"/>
      </w:divBdr>
    </w:div>
    <w:div w:id="1297950621">
      <w:bodyDiv w:val="1"/>
      <w:marLeft w:val="0"/>
      <w:marRight w:val="0"/>
      <w:marTop w:val="0"/>
      <w:marBottom w:val="0"/>
      <w:divBdr>
        <w:top w:val="none" w:sz="0" w:space="0" w:color="auto"/>
        <w:left w:val="none" w:sz="0" w:space="0" w:color="auto"/>
        <w:bottom w:val="none" w:sz="0" w:space="0" w:color="auto"/>
        <w:right w:val="none" w:sz="0" w:space="0" w:color="auto"/>
      </w:divBdr>
    </w:div>
    <w:div w:id="1314289559">
      <w:bodyDiv w:val="1"/>
      <w:marLeft w:val="0"/>
      <w:marRight w:val="0"/>
      <w:marTop w:val="0"/>
      <w:marBottom w:val="0"/>
      <w:divBdr>
        <w:top w:val="none" w:sz="0" w:space="0" w:color="auto"/>
        <w:left w:val="none" w:sz="0" w:space="0" w:color="auto"/>
        <w:bottom w:val="none" w:sz="0" w:space="0" w:color="auto"/>
        <w:right w:val="none" w:sz="0" w:space="0" w:color="auto"/>
      </w:divBdr>
    </w:div>
    <w:div w:id="1326397412">
      <w:bodyDiv w:val="1"/>
      <w:marLeft w:val="0"/>
      <w:marRight w:val="0"/>
      <w:marTop w:val="0"/>
      <w:marBottom w:val="0"/>
      <w:divBdr>
        <w:top w:val="none" w:sz="0" w:space="0" w:color="auto"/>
        <w:left w:val="none" w:sz="0" w:space="0" w:color="auto"/>
        <w:bottom w:val="none" w:sz="0" w:space="0" w:color="auto"/>
        <w:right w:val="none" w:sz="0" w:space="0" w:color="auto"/>
      </w:divBdr>
    </w:div>
    <w:div w:id="1337882279">
      <w:bodyDiv w:val="1"/>
      <w:marLeft w:val="0"/>
      <w:marRight w:val="0"/>
      <w:marTop w:val="0"/>
      <w:marBottom w:val="0"/>
      <w:divBdr>
        <w:top w:val="none" w:sz="0" w:space="0" w:color="auto"/>
        <w:left w:val="none" w:sz="0" w:space="0" w:color="auto"/>
        <w:bottom w:val="none" w:sz="0" w:space="0" w:color="auto"/>
        <w:right w:val="none" w:sz="0" w:space="0" w:color="auto"/>
      </w:divBdr>
    </w:div>
    <w:div w:id="1349139227">
      <w:bodyDiv w:val="1"/>
      <w:marLeft w:val="0"/>
      <w:marRight w:val="0"/>
      <w:marTop w:val="0"/>
      <w:marBottom w:val="0"/>
      <w:divBdr>
        <w:top w:val="none" w:sz="0" w:space="0" w:color="auto"/>
        <w:left w:val="none" w:sz="0" w:space="0" w:color="auto"/>
        <w:bottom w:val="none" w:sz="0" w:space="0" w:color="auto"/>
        <w:right w:val="none" w:sz="0" w:space="0" w:color="auto"/>
      </w:divBdr>
    </w:div>
    <w:div w:id="1363436330">
      <w:bodyDiv w:val="1"/>
      <w:marLeft w:val="0"/>
      <w:marRight w:val="0"/>
      <w:marTop w:val="0"/>
      <w:marBottom w:val="0"/>
      <w:divBdr>
        <w:top w:val="none" w:sz="0" w:space="0" w:color="auto"/>
        <w:left w:val="none" w:sz="0" w:space="0" w:color="auto"/>
        <w:bottom w:val="none" w:sz="0" w:space="0" w:color="auto"/>
        <w:right w:val="none" w:sz="0" w:space="0" w:color="auto"/>
      </w:divBdr>
    </w:div>
    <w:div w:id="1376463969">
      <w:bodyDiv w:val="1"/>
      <w:marLeft w:val="0"/>
      <w:marRight w:val="0"/>
      <w:marTop w:val="0"/>
      <w:marBottom w:val="0"/>
      <w:divBdr>
        <w:top w:val="none" w:sz="0" w:space="0" w:color="auto"/>
        <w:left w:val="none" w:sz="0" w:space="0" w:color="auto"/>
        <w:bottom w:val="none" w:sz="0" w:space="0" w:color="auto"/>
        <w:right w:val="none" w:sz="0" w:space="0" w:color="auto"/>
      </w:divBdr>
    </w:div>
    <w:div w:id="1381706287">
      <w:bodyDiv w:val="1"/>
      <w:marLeft w:val="0"/>
      <w:marRight w:val="0"/>
      <w:marTop w:val="0"/>
      <w:marBottom w:val="0"/>
      <w:divBdr>
        <w:top w:val="none" w:sz="0" w:space="0" w:color="auto"/>
        <w:left w:val="none" w:sz="0" w:space="0" w:color="auto"/>
        <w:bottom w:val="none" w:sz="0" w:space="0" w:color="auto"/>
        <w:right w:val="none" w:sz="0" w:space="0" w:color="auto"/>
      </w:divBdr>
    </w:div>
    <w:div w:id="1412777478">
      <w:bodyDiv w:val="1"/>
      <w:marLeft w:val="0"/>
      <w:marRight w:val="0"/>
      <w:marTop w:val="0"/>
      <w:marBottom w:val="0"/>
      <w:divBdr>
        <w:top w:val="none" w:sz="0" w:space="0" w:color="auto"/>
        <w:left w:val="none" w:sz="0" w:space="0" w:color="auto"/>
        <w:bottom w:val="none" w:sz="0" w:space="0" w:color="auto"/>
        <w:right w:val="none" w:sz="0" w:space="0" w:color="auto"/>
      </w:divBdr>
    </w:div>
    <w:div w:id="1424179573">
      <w:bodyDiv w:val="1"/>
      <w:marLeft w:val="0"/>
      <w:marRight w:val="0"/>
      <w:marTop w:val="0"/>
      <w:marBottom w:val="0"/>
      <w:divBdr>
        <w:top w:val="none" w:sz="0" w:space="0" w:color="auto"/>
        <w:left w:val="none" w:sz="0" w:space="0" w:color="auto"/>
        <w:bottom w:val="none" w:sz="0" w:space="0" w:color="auto"/>
        <w:right w:val="none" w:sz="0" w:space="0" w:color="auto"/>
      </w:divBdr>
    </w:div>
    <w:div w:id="1454471770">
      <w:bodyDiv w:val="1"/>
      <w:marLeft w:val="0"/>
      <w:marRight w:val="0"/>
      <w:marTop w:val="0"/>
      <w:marBottom w:val="0"/>
      <w:divBdr>
        <w:top w:val="none" w:sz="0" w:space="0" w:color="auto"/>
        <w:left w:val="none" w:sz="0" w:space="0" w:color="auto"/>
        <w:bottom w:val="none" w:sz="0" w:space="0" w:color="auto"/>
        <w:right w:val="none" w:sz="0" w:space="0" w:color="auto"/>
      </w:divBdr>
    </w:div>
    <w:div w:id="1501968856">
      <w:bodyDiv w:val="1"/>
      <w:marLeft w:val="0"/>
      <w:marRight w:val="0"/>
      <w:marTop w:val="0"/>
      <w:marBottom w:val="0"/>
      <w:divBdr>
        <w:top w:val="none" w:sz="0" w:space="0" w:color="auto"/>
        <w:left w:val="none" w:sz="0" w:space="0" w:color="auto"/>
        <w:bottom w:val="none" w:sz="0" w:space="0" w:color="auto"/>
        <w:right w:val="none" w:sz="0" w:space="0" w:color="auto"/>
      </w:divBdr>
    </w:div>
    <w:div w:id="1517234987">
      <w:bodyDiv w:val="1"/>
      <w:marLeft w:val="0"/>
      <w:marRight w:val="0"/>
      <w:marTop w:val="0"/>
      <w:marBottom w:val="0"/>
      <w:divBdr>
        <w:top w:val="none" w:sz="0" w:space="0" w:color="auto"/>
        <w:left w:val="none" w:sz="0" w:space="0" w:color="auto"/>
        <w:bottom w:val="none" w:sz="0" w:space="0" w:color="auto"/>
        <w:right w:val="none" w:sz="0" w:space="0" w:color="auto"/>
      </w:divBdr>
    </w:div>
    <w:div w:id="1586186135">
      <w:bodyDiv w:val="1"/>
      <w:marLeft w:val="0"/>
      <w:marRight w:val="0"/>
      <w:marTop w:val="0"/>
      <w:marBottom w:val="0"/>
      <w:divBdr>
        <w:top w:val="none" w:sz="0" w:space="0" w:color="auto"/>
        <w:left w:val="none" w:sz="0" w:space="0" w:color="auto"/>
        <w:bottom w:val="none" w:sz="0" w:space="0" w:color="auto"/>
        <w:right w:val="none" w:sz="0" w:space="0" w:color="auto"/>
      </w:divBdr>
    </w:div>
    <w:div w:id="1600724193">
      <w:bodyDiv w:val="1"/>
      <w:marLeft w:val="0"/>
      <w:marRight w:val="0"/>
      <w:marTop w:val="0"/>
      <w:marBottom w:val="0"/>
      <w:divBdr>
        <w:top w:val="none" w:sz="0" w:space="0" w:color="auto"/>
        <w:left w:val="none" w:sz="0" w:space="0" w:color="auto"/>
        <w:bottom w:val="none" w:sz="0" w:space="0" w:color="auto"/>
        <w:right w:val="none" w:sz="0" w:space="0" w:color="auto"/>
      </w:divBdr>
    </w:div>
    <w:div w:id="1603994467">
      <w:bodyDiv w:val="1"/>
      <w:marLeft w:val="0"/>
      <w:marRight w:val="0"/>
      <w:marTop w:val="0"/>
      <w:marBottom w:val="0"/>
      <w:divBdr>
        <w:top w:val="none" w:sz="0" w:space="0" w:color="auto"/>
        <w:left w:val="none" w:sz="0" w:space="0" w:color="auto"/>
        <w:bottom w:val="none" w:sz="0" w:space="0" w:color="auto"/>
        <w:right w:val="none" w:sz="0" w:space="0" w:color="auto"/>
      </w:divBdr>
    </w:div>
    <w:div w:id="1610510535">
      <w:bodyDiv w:val="1"/>
      <w:marLeft w:val="0"/>
      <w:marRight w:val="0"/>
      <w:marTop w:val="0"/>
      <w:marBottom w:val="0"/>
      <w:divBdr>
        <w:top w:val="none" w:sz="0" w:space="0" w:color="auto"/>
        <w:left w:val="none" w:sz="0" w:space="0" w:color="auto"/>
        <w:bottom w:val="none" w:sz="0" w:space="0" w:color="auto"/>
        <w:right w:val="none" w:sz="0" w:space="0" w:color="auto"/>
      </w:divBdr>
    </w:div>
    <w:div w:id="1623686768">
      <w:bodyDiv w:val="1"/>
      <w:marLeft w:val="0"/>
      <w:marRight w:val="0"/>
      <w:marTop w:val="0"/>
      <w:marBottom w:val="0"/>
      <w:divBdr>
        <w:top w:val="none" w:sz="0" w:space="0" w:color="auto"/>
        <w:left w:val="none" w:sz="0" w:space="0" w:color="auto"/>
        <w:bottom w:val="none" w:sz="0" w:space="0" w:color="auto"/>
        <w:right w:val="none" w:sz="0" w:space="0" w:color="auto"/>
      </w:divBdr>
    </w:div>
    <w:div w:id="1630089092">
      <w:bodyDiv w:val="1"/>
      <w:marLeft w:val="0"/>
      <w:marRight w:val="0"/>
      <w:marTop w:val="0"/>
      <w:marBottom w:val="0"/>
      <w:divBdr>
        <w:top w:val="none" w:sz="0" w:space="0" w:color="auto"/>
        <w:left w:val="none" w:sz="0" w:space="0" w:color="auto"/>
        <w:bottom w:val="none" w:sz="0" w:space="0" w:color="auto"/>
        <w:right w:val="none" w:sz="0" w:space="0" w:color="auto"/>
      </w:divBdr>
    </w:div>
    <w:div w:id="1634363601">
      <w:bodyDiv w:val="1"/>
      <w:marLeft w:val="0"/>
      <w:marRight w:val="0"/>
      <w:marTop w:val="0"/>
      <w:marBottom w:val="0"/>
      <w:divBdr>
        <w:top w:val="none" w:sz="0" w:space="0" w:color="auto"/>
        <w:left w:val="none" w:sz="0" w:space="0" w:color="auto"/>
        <w:bottom w:val="none" w:sz="0" w:space="0" w:color="auto"/>
        <w:right w:val="none" w:sz="0" w:space="0" w:color="auto"/>
      </w:divBdr>
    </w:div>
    <w:div w:id="1641619183">
      <w:bodyDiv w:val="1"/>
      <w:marLeft w:val="0"/>
      <w:marRight w:val="0"/>
      <w:marTop w:val="0"/>
      <w:marBottom w:val="0"/>
      <w:divBdr>
        <w:top w:val="none" w:sz="0" w:space="0" w:color="auto"/>
        <w:left w:val="none" w:sz="0" w:space="0" w:color="auto"/>
        <w:bottom w:val="none" w:sz="0" w:space="0" w:color="auto"/>
        <w:right w:val="none" w:sz="0" w:space="0" w:color="auto"/>
      </w:divBdr>
    </w:div>
    <w:div w:id="1644582840">
      <w:bodyDiv w:val="1"/>
      <w:marLeft w:val="0"/>
      <w:marRight w:val="0"/>
      <w:marTop w:val="0"/>
      <w:marBottom w:val="0"/>
      <w:divBdr>
        <w:top w:val="none" w:sz="0" w:space="0" w:color="auto"/>
        <w:left w:val="none" w:sz="0" w:space="0" w:color="auto"/>
        <w:bottom w:val="none" w:sz="0" w:space="0" w:color="auto"/>
        <w:right w:val="none" w:sz="0" w:space="0" w:color="auto"/>
      </w:divBdr>
    </w:div>
    <w:div w:id="1663848686">
      <w:bodyDiv w:val="1"/>
      <w:marLeft w:val="0"/>
      <w:marRight w:val="0"/>
      <w:marTop w:val="0"/>
      <w:marBottom w:val="0"/>
      <w:divBdr>
        <w:top w:val="none" w:sz="0" w:space="0" w:color="auto"/>
        <w:left w:val="none" w:sz="0" w:space="0" w:color="auto"/>
        <w:bottom w:val="none" w:sz="0" w:space="0" w:color="auto"/>
        <w:right w:val="none" w:sz="0" w:space="0" w:color="auto"/>
      </w:divBdr>
    </w:div>
    <w:div w:id="1684938898">
      <w:bodyDiv w:val="1"/>
      <w:marLeft w:val="0"/>
      <w:marRight w:val="0"/>
      <w:marTop w:val="0"/>
      <w:marBottom w:val="0"/>
      <w:divBdr>
        <w:top w:val="none" w:sz="0" w:space="0" w:color="auto"/>
        <w:left w:val="none" w:sz="0" w:space="0" w:color="auto"/>
        <w:bottom w:val="none" w:sz="0" w:space="0" w:color="auto"/>
        <w:right w:val="none" w:sz="0" w:space="0" w:color="auto"/>
      </w:divBdr>
    </w:div>
    <w:div w:id="1697266654">
      <w:bodyDiv w:val="1"/>
      <w:marLeft w:val="0"/>
      <w:marRight w:val="0"/>
      <w:marTop w:val="0"/>
      <w:marBottom w:val="0"/>
      <w:divBdr>
        <w:top w:val="none" w:sz="0" w:space="0" w:color="auto"/>
        <w:left w:val="none" w:sz="0" w:space="0" w:color="auto"/>
        <w:bottom w:val="none" w:sz="0" w:space="0" w:color="auto"/>
        <w:right w:val="none" w:sz="0" w:space="0" w:color="auto"/>
      </w:divBdr>
    </w:div>
    <w:div w:id="1710572717">
      <w:bodyDiv w:val="1"/>
      <w:marLeft w:val="0"/>
      <w:marRight w:val="0"/>
      <w:marTop w:val="0"/>
      <w:marBottom w:val="0"/>
      <w:divBdr>
        <w:top w:val="none" w:sz="0" w:space="0" w:color="auto"/>
        <w:left w:val="none" w:sz="0" w:space="0" w:color="auto"/>
        <w:bottom w:val="none" w:sz="0" w:space="0" w:color="auto"/>
        <w:right w:val="none" w:sz="0" w:space="0" w:color="auto"/>
      </w:divBdr>
    </w:div>
    <w:div w:id="1721438848">
      <w:bodyDiv w:val="1"/>
      <w:marLeft w:val="0"/>
      <w:marRight w:val="0"/>
      <w:marTop w:val="0"/>
      <w:marBottom w:val="0"/>
      <w:divBdr>
        <w:top w:val="none" w:sz="0" w:space="0" w:color="auto"/>
        <w:left w:val="none" w:sz="0" w:space="0" w:color="auto"/>
        <w:bottom w:val="none" w:sz="0" w:space="0" w:color="auto"/>
        <w:right w:val="none" w:sz="0" w:space="0" w:color="auto"/>
      </w:divBdr>
    </w:div>
    <w:div w:id="1737050911">
      <w:bodyDiv w:val="1"/>
      <w:marLeft w:val="0"/>
      <w:marRight w:val="0"/>
      <w:marTop w:val="0"/>
      <w:marBottom w:val="0"/>
      <w:divBdr>
        <w:top w:val="none" w:sz="0" w:space="0" w:color="auto"/>
        <w:left w:val="none" w:sz="0" w:space="0" w:color="auto"/>
        <w:bottom w:val="none" w:sz="0" w:space="0" w:color="auto"/>
        <w:right w:val="none" w:sz="0" w:space="0" w:color="auto"/>
      </w:divBdr>
    </w:div>
    <w:div w:id="1750153445">
      <w:bodyDiv w:val="1"/>
      <w:marLeft w:val="0"/>
      <w:marRight w:val="0"/>
      <w:marTop w:val="0"/>
      <w:marBottom w:val="0"/>
      <w:divBdr>
        <w:top w:val="none" w:sz="0" w:space="0" w:color="auto"/>
        <w:left w:val="none" w:sz="0" w:space="0" w:color="auto"/>
        <w:bottom w:val="none" w:sz="0" w:space="0" w:color="auto"/>
        <w:right w:val="none" w:sz="0" w:space="0" w:color="auto"/>
      </w:divBdr>
    </w:div>
    <w:div w:id="1757507803">
      <w:bodyDiv w:val="1"/>
      <w:marLeft w:val="0"/>
      <w:marRight w:val="0"/>
      <w:marTop w:val="0"/>
      <w:marBottom w:val="0"/>
      <w:divBdr>
        <w:top w:val="none" w:sz="0" w:space="0" w:color="auto"/>
        <w:left w:val="none" w:sz="0" w:space="0" w:color="auto"/>
        <w:bottom w:val="none" w:sz="0" w:space="0" w:color="auto"/>
        <w:right w:val="none" w:sz="0" w:space="0" w:color="auto"/>
      </w:divBdr>
    </w:div>
    <w:div w:id="1757556902">
      <w:bodyDiv w:val="1"/>
      <w:marLeft w:val="0"/>
      <w:marRight w:val="0"/>
      <w:marTop w:val="0"/>
      <w:marBottom w:val="0"/>
      <w:divBdr>
        <w:top w:val="none" w:sz="0" w:space="0" w:color="auto"/>
        <w:left w:val="none" w:sz="0" w:space="0" w:color="auto"/>
        <w:bottom w:val="none" w:sz="0" w:space="0" w:color="auto"/>
        <w:right w:val="none" w:sz="0" w:space="0" w:color="auto"/>
      </w:divBdr>
    </w:div>
    <w:div w:id="1760783623">
      <w:bodyDiv w:val="1"/>
      <w:marLeft w:val="0"/>
      <w:marRight w:val="0"/>
      <w:marTop w:val="0"/>
      <w:marBottom w:val="0"/>
      <w:divBdr>
        <w:top w:val="none" w:sz="0" w:space="0" w:color="auto"/>
        <w:left w:val="none" w:sz="0" w:space="0" w:color="auto"/>
        <w:bottom w:val="none" w:sz="0" w:space="0" w:color="auto"/>
        <w:right w:val="none" w:sz="0" w:space="0" w:color="auto"/>
      </w:divBdr>
    </w:div>
    <w:div w:id="1778863723">
      <w:bodyDiv w:val="1"/>
      <w:marLeft w:val="0"/>
      <w:marRight w:val="0"/>
      <w:marTop w:val="0"/>
      <w:marBottom w:val="0"/>
      <w:divBdr>
        <w:top w:val="none" w:sz="0" w:space="0" w:color="auto"/>
        <w:left w:val="none" w:sz="0" w:space="0" w:color="auto"/>
        <w:bottom w:val="none" w:sz="0" w:space="0" w:color="auto"/>
        <w:right w:val="none" w:sz="0" w:space="0" w:color="auto"/>
      </w:divBdr>
    </w:div>
    <w:div w:id="1779641493">
      <w:bodyDiv w:val="1"/>
      <w:marLeft w:val="0"/>
      <w:marRight w:val="0"/>
      <w:marTop w:val="0"/>
      <w:marBottom w:val="0"/>
      <w:divBdr>
        <w:top w:val="none" w:sz="0" w:space="0" w:color="auto"/>
        <w:left w:val="none" w:sz="0" w:space="0" w:color="auto"/>
        <w:bottom w:val="none" w:sz="0" w:space="0" w:color="auto"/>
        <w:right w:val="none" w:sz="0" w:space="0" w:color="auto"/>
      </w:divBdr>
    </w:div>
    <w:div w:id="1780757686">
      <w:bodyDiv w:val="1"/>
      <w:marLeft w:val="0"/>
      <w:marRight w:val="0"/>
      <w:marTop w:val="0"/>
      <w:marBottom w:val="0"/>
      <w:divBdr>
        <w:top w:val="none" w:sz="0" w:space="0" w:color="auto"/>
        <w:left w:val="none" w:sz="0" w:space="0" w:color="auto"/>
        <w:bottom w:val="none" w:sz="0" w:space="0" w:color="auto"/>
        <w:right w:val="none" w:sz="0" w:space="0" w:color="auto"/>
      </w:divBdr>
    </w:div>
    <w:div w:id="1781681138">
      <w:bodyDiv w:val="1"/>
      <w:marLeft w:val="0"/>
      <w:marRight w:val="0"/>
      <w:marTop w:val="0"/>
      <w:marBottom w:val="0"/>
      <w:divBdr>
        <w:top w:val="none" w:sz="0" w:space="0" w:color="auto"/>
        <w:left w:val="none" w:sz="0" w:space="0" w:color="auto"/>
        <w:bottom w:val="none" w:sz="0" w:space="0" w:color="auto"/>
        <w:right w:val="none" w:sz="0" w:space="0" w:color="auto"/>
      </w:divBdr>
    </w:div>
    <w:div w:id="1786148361">
      <w:bodyDiv w:val="1"/>
      <w:marLeft w:val="0"/>
      <w:marRight w:val="0"/>
      <w:marTop w:val="0"/>
      <w:marBottom w:val="0"/>
      <w:divBdr>
        <w:top w:val="none" w:sz="0" w:space="0" w:color="auto"/>
        <w:left w:val="none" w:sz="0" w:space="0" w:color="auto"/>
        <w:bottom w:val="none" w:sz="0" w:space="0" w:color="auto"/>
        <w:right w:val="none" w:sz="0" w:space="0" w:color="auto"/>
      </w:divBdr>
    </w:div>
    <w:div w:id="1786462605">
      <w:bodyDiv w:val="1"/>
      <w:marLeft w:val="0"/>
      <w:marRight w:val="0"/>
      <w:marTop w:val="0"/>
      <w:marBottom w:val="0"/>
      <w:divBdr>
        <w:top w:val="none" w:sz="0" w:space="0" w:color="auto"/>
        <w:left w:val="none" w:sz="0" w:space="0" w:color="auto"/>
        <w:bottom w:val="none" w:sz="0" w:space="0" w:color="auto"/>
        <w:right w:val="none" w:sz="0" w:space="0" w:color="auto"/>
      </w:divBdr>
    </w:div>
    <w:div w:id="1843085896">
      <w:bodyDiv w:val="1"/>
      <w:marLeft w:val="0"/>
      <w:marRight w:val="0"/>
      <w:marTop w:val="0"/>
      <w:marBottom w:val="0"/>
      <w:divBdr>
        <w:top w:val="none" w:sz="0" w:space="0" w:color="auto"/>
        <w:left w:val="none" w:sz="0" w:space="0" w:color="auto"/>
        <w:bottom w:val="none" w:sz="0" w:space="0" w:color="auto"/>
        <w:right w:val="none" w:sz="0" w:space="0" w:color="auto"/>
      </w:divBdr>
    </w:div>
    <w:div w:id="1861310316">
      <w:bodyDiv w:val="1"/>
      <w:marLeft w:val="0"/>
      <w:marRight w:val="0"/>
      <w:marTop w:val="0"/>
      <w:marBottom w:val="0"/>
      <w:divBdr>
        <w:top w:val="none" w:sz="0" w:space="0" w:color="auto"/>
        <w:left w:val="none" w:sz="0" w:space="0" w:color="auto"/>
        <w:bottom w:val="none" w:sz="0" w:space="0" w:color="auto"/>
        <w:right w:val="none" w:sz="0" w:space="0" w:color="auto"/>
      </w:divBdr>
    </w:div>
    <w:div w:id="1864513747">
      <w:bodyDiv w:val="1"/>
      <w:marLeft w:val="0"/>
      <w:marRight w:val="0"/>
      <w:marTop w:val="0"/>
      <w:marBottom w:val="0"/>
      <w:divBdr>
        <w:top w:val="none" w:sz="0" w:space="0" w:color="auto"/>
        <w:left w:val="none" w:sz="0" w:space="0" w:color="auto"/>
        <w:bottom w:val="none" w:sz="0" w:space="0" w:color="auto"/>
        <w:right w:val="none" w:sz="0" w:space="0" w:color="auto"/>
      </w:divBdr>
    </w:div>
    <w:div w:id="1876234295">
      <w:bodyDiv w:val="1"/>
      <w:marLeft w:val="0"/>
      <w:marRight w:val="0"/>
      <w:marTop w:val="0"/>
      <w:marBottom w:val="0"/>
      <w:divBdr>
        <w:top w:val="none" w:sz="0" w:space="0" w:color="auto"/>
        <w:left w:val="none" w:sz="0" w:space="0" w:color="auto"/>
        <w:bottom w:val="none" w:sz="0" w:space="0" w:color="auto"/>
        <w:right w:val="none" w:sz="0" w:space="0" w:color="auto"/>
      </w:divBdr>
    </w:div>
    <w:div w:id="1899658873">
      <w:bodyDiv w:val="1"/>
      <w:marLeft w:val="0"/>
      <w:marRight w:val="0"/>
      <w:marTop w:val="0"/>
      <w:marBottom w:val="0"/>
      <w:divBdr>
        <w:top w:val="none" w:sz="0" w:space="0" w:color="auto"/>
        <w:left w:val="none" w:sz="0" w:space="0" w:color="auto"/>
        <w:bottom w:val="none" w:sz="0" w:space="0" w:color="auto"/>
        <w:right w:val="none" w:sz="0" w:space="0" w:color="auto"/>
      </w:divBdr>
    </w:div>
    <w:div w:id="1906798903">
      <w:bodyDiv w:val="1"/>
      <w:marLeft w:val="0"/>
      <w:marRight w:val="0"/>
      <w:marTop w:val="0"/>
      <w:marBottom w:val="0"/>
      <w:divBdr>
        <w:top w:val="none" w:sz="0" w:space="0" w:color="auto"/>
        <w:left w:val="none" w:sz="0" w:space="0" w:color="auto"/>
        <w:bottom w:val="none" w:sz="0" w:space="0" w:color="auto"/>
        <w:right w:val="none" w:sz="0" w:space="0" w:color="auto"/>
      </w:divBdr>
    </w:div>
    <w:div w:id="1949195547">
      <w:bodyDiv w:val="1"/>
      <w:marLeft w:val="0"/>
      <w:marRight w:val="0"/>
      <w:marTop w:val="0"/>
      <w:marBottom w:val="0"/>
      <w:divBdr>
        <w:top w:val="none" w:sz="0" w:space="0" w:color="auto"/>
        <w:left w:val="none" w:sz="0" w:space="0" w:color="auto"/>
        <w:bottom w:val="none" w:sz="0" w:space="0" w:color="auto"/>
        <w:right w:val="none" w:sz="0" w:space="0" w:color="auto"/>
      </w:divBdr>
    </w:div>
    <w:div w:id="1956057446">
      <w:bodyDiv w:val="1"/>
      <w:marLeft w:val="0"/>
      <w:marRight w:val="0"/>
      <w:marTop w:val="0"/>
      <w:marBottom w:val="0"/>
      <w:divBdr>
        <w:top w:val="none" w:sz="0" w:space="0" w:color="auto"/>
        <w:left w:val="none" w:sz="0" w:space="0" w:color="auto"/>
        <w:bottom w:val="none" w:sz="0" w:space="0" w:color="auto"/>
        <w:right w:val="none" w:sz="0" w:space="0" w:color="auto"/>
      </w:divBdr>
    </w:div>
    <w:div w:id="1960143939">
      <w:bodyDiv w:val="1"/>
      <w:marLeft w:val="0"/>
      <w:marRight w:val="0"/>
      <w:marTop w:val="0"/>
      <w:marBottom w:val="0"/>
      <w:divBdr>
        <w:top w:val="none" w:sz="0" w:space="0" w:color="auto"/>
        <w:left w:val="none" w:sz="0" w:space="0" w:color="auto"/>
        <w:bottom w:val="none" w:sz="0" w:space="0" w:color="auto"/>
        <w:right w:val="none" w:sz="0" w:space="0" w:color="auto"/>
      </w:divBdr>
    </w:div>
    <w:div w:id="1960600196">
      <w:bodyDiv w:val="1"/>
      <w:marLeft w:val="0"/>
      <w:marRight w:val="0"/>
      <w:marTop w:val="0"/>
      <w:marBottom w:val="0"/>
      <w:divBdr>
        <w:top w:val="none" w:sz="0" w:space="0" w:color="auto"/>
        <w:left w:val="none" w:sz="0" w:space="0" w:color="auto"/>
        <w:bottom w:val="none" w:sz="0" w:space="0" w:color="auto"/>
        <w:right w:val="none" w:sz="0" w:space="0" w:color="auto"/>
      </w:divBdr>
    </w:div>
    <w:div w:id="1969627193">
      <w:bodyDiv w:val="1"/>
      <w:marLeft w:val="0"/>
      <w:marRight w:val="0"/>
      <w:marTop w:val="0"/>
      <w:marBottom w:val="0"/>
      <w:divBdr>
        <w:top w:val="none" w:sz="0" w:space="0" w:color="auto"/>
        <w:left w:val="none" w:sz="0" w:space="0" w:color="auto"/>
        <w:bottom w:val="none" w:sz="0" w:space="0" w:color="auto"/>
        <w:right w:val="none" w:sz="0" w:space="0" w:color="auto"/>
      </w:divBdr>
    </w:div>
    <w:div w:id="1972974492">
      <w:bodyDiv w:val="1"/>
      <w:marLeft w:val="0"/>
      <w:marRight w:val="0"/>
      <w:marTop w:val="0"/>
      <w:marBottom w:val="0"/>
      <w:divBdr>
        <w:top w:val="none" w:sz="0" w:space="0" w:color="auto"/>
        <w:left w:val="none" w:sz="0" w:space="0" w:color="auto"/>
        <w:bottom w:val="none" w:sz="0" w:space="0" w:color="auto"/>
        <w:right w:val="none" w:sz="0" w:space="0" w:color="auto"/>
      </w:divBdr>
    </w:div>
    <w:div w:id="1995789397">
      <w:bodyDiv w:val="1"/>
      <w:marLeft w:val="0"/>
      <w:marRight w:val="0"/>
      <w:marTop w:val="0"/>
      <w:marBottom w:val="0"/>
      <w:divBdr>
        <w:top w:val="none" w:sz="0" w:space="0" w:color="auto"/>
        <w:left w:val="none" w:sz="0" w:space="0" w:color="auto"/>
        <w:bottom w:val="none" w:sz="0" w:space="0" w:color="auto"/>
        <w:right w:val="none" w:sz="0" w:space="0" w:color="auto"/>
      </w:divBdr>
    </w:div>
    <w:div w:id="1999381222">
      <w:bodyDiv w:val="1"/>
      <w:marLeft w:val="0"/>
      <w:marRight w:val="0"/>
      <w:marTop w:val="0"/>
      <w:marBottom w:val="0"/>
      <w:divBdr>
        <w:top w:val="none" w:sz="0" w:space="0" w:color="auto"/>
        <w:left w:val="none" w:sz="0" w:space="0" w:color="auto"/>
        <w:bottom w:val="none" w:sz="0" w:space="0" w:color="auto"/>
        <w:right w:val="none" w:sz="0" w:space="0" w:color="auto"/>
      </w:divBdr>
    </w:div>
    <w:div w:id="2000576530">
      <w:bodyDiv w:val="1"/>
      <w:marLeft w:val="0"/>
      <w:marRight w:val="0"/>
      <w:marTop w:val="0"/>
      <w:marBottom w:val="0"/>
      <w:divBdr>
        <w:top w:val="none" w:sz="0" w:space="0" w:color="auto"/>
        <w:left w:val="none" w:sz="0" w:space="0" w:color="auto"/>
        <w:bottom w:val="none" w:sz="0" w:space="0" w:color="auto"/>
        <w:right w:val="none" w:sz="0" w:space="0" w:color="auto"/>
      </w:divBdr>
    </w:div>
    <w:div w:id="2003122910">
      <w:bodyDiv w:val="1"/>
      <w:marLeft w:val="0"/>
      <w:marRight w:val="0"/>
      <w:marTop w:val="0"/>
      <w:marBottom w:val="0"/>
      <w:divBdr>
        <w:top w:val="none" w:sz="0" w:space="0" w:color="auto"/>
        <w:left w:val="none" w:sz="0" w:space="0" w:color="auto"/>
        <w:bottom w:val="none" w:sz="0" w:space="0" w:color="auto"/>
        <w:right w:val="none" w:sz="0" w:space="0" w:color="auto"/>
      </w:divBdr>
    </w:div>
    <w:div w:id="2068914767">
      <w:bodyDiv w:val="1"/>
      <w:marLeft w:val="0"/>
      <w:marRight w:val="0"/>
      <w:marTop w:val="0"/>
      <w:marBottom w:val="0"/>
      <w:divBdr>
        <w:top w:val="none" w:sz="0" w:space="0" w:color="auto"/>
        <w:left w:val="none" w:sz="0" w:space="0" w:color="auto"/>
        <w:bottom w:val="none" w:sz="0" w:space="0" w:color="auto"/>
        <w:right w:val="none" w:sz="0" w:space="0" w:color="auto"/>
      </w:divBdr>
    </w:div>
    <w:div w:id="2084987918">
      <w:bodyDiv w:val="1"/>
      <w:marLeft w:val="0"/>
      <w:marRight w:val="0"/>
      <w:marTop w:val="0"/>
      <w:marBottom w:val="0"/>
      <w:divBdr>
        <w:top w:val="none" w:sz="0" w:space="0" w:color="auto"/>
        <w:left w:val="none" w:sz="0" w:space="0" w:color="auto"/>
        <w:bottom w:val="none" w:sz="0" w:space="0" w:color="auto"/>
        <w:right w:val="none" w:sz="0" w:space="0" w:color="auto"/>
      </w:divBdr>
    </w:div>
    <w:div w:id="2101561852">
      <w:bodyDiv w:val="1"/>
      <w:marLeft w:val="0"/>
      <w:marRight w:val="0"/>
      <w:marTop w:val="0"/>
      <w:marBottom w:val="0"/>
      <w:divBdr>
        <w:top w:val="none" w:sz="0" w:space="0" w:color="auto"/>
        <w:left w:val="none" w:sz="0" w:space="0" w:color="auto"/>
        <w:bottom w:val="none" w:sz="0" w:space="0" w:color="auto"/>
        <w:right w:val="none" w:sz="0" w:space="0" w:color="auto"/>
      </w:divBdr>
    </w:div>
    <w:div w:id="212410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94601-6E78-42C1-8400-BB0430E5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2889</Words>
  <Characters>15891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 Ricardo Cachón Pérez</dc:creator>
  <cp:lastModifiedBy>Alvar Ricardo Cachón Pérez</cp:lastModifiedBy>
  <cp:revision>6</cp:revision>
  <cp:lastPrinted>2017-03-21T18:25:00Z</cp:lastPrinted>
  <dcterms:created xsi:type="dcterms:W3CDTF">2018-02-26T19:27:00Z</dcterms:created>
  <dcterms:modified xsi:type="dcterms:W3CDTF">2018-03-14T15:23:00Z</dcterms:modified>
</cp:coreProperties>
</file>