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D8" w:rsidRDefault="006F3019" w:rsidP="006F3019">
      <w:pPr>
        <w:spacing w:line="240" w:lineRule="auto"/>
        <w:jc w:val="center"/>
        <w:rPr>
          <w:rFonts w:cs="Arial"/>
          <w:b/>
          <w:sz w:val="20"/>
          <w:szCs w:val="20"/>
        </w:rPr>
      </w:pPr>
      <w:r w:rsidRPr="003E2DC9">
        <w:rPr>
          <w:rFonts w:cs="Arial"/>
          <w:b/>
          <w:sz w:val="20"/>
          <w:szCs w:val="20"/>
        </w:rPr>
        <w:t>Cuenta Pública</w:t>
      </w:r>
      <w:r w:rsidR="00257DD7">
        <w:rPr>
          <w:rFonts w:cs="Arial"/>
          <w:b/>
          <w:sz w:val="20"/>
          <w:szCs w:val="20"/>
        </w:rPr>
        <w:t xml:space="preserve"> 201</w:t>
      </w:r>
      <w:r w:rsidR="003210C0">
        <w:rPr>
          <w:rFonts w:cs="Arial"/>
          <w:b/>
          <w:sz w:val="20"/>
          <w:szCs w:val="20"/>
        </w:rPr>
        <w:t>7</w:t>
      </w:r>
    </w:p>
    <w:p w:rsidR="006F3019" w:rsidRPr="003E2DC9" w:rsidRDefault="006F0BF0" w:rsidP="006F3019">
      <w:pPr>
        <w:spacing w:line="240" w:lineRule="auto"/>
        <w:jc w:val="center"/>
        <w:rPr>
          <w:rFonts w:cs="Arial"/>
          <w:b/>
          <w:sz w:val="20"/>
          <w:szCs w:val="20"/>
        </w:rPr>
      </w:pPr>
      <w:r w:rsidRPr="003E2DC9">
        <w:rPr>
          <w:rFonts w:cs="Arial"/>
          <w:b/>
          <w:sz w:val="20"/>
          <w:szCs w:val="20"/>
        </w:rPr>
        <w:t>Notas a los Estados Financieros</w:t>
      </w:r>
    </w:p>
    <w:p w:rsidR="006F3019" w:rsidRPr="003E2DC9" w:rsidRDefault="000773CA" w:rsidP="006F3019">
      <w:pPr>
        <w:spacing w:line="240" w:lineRule="auto"/>
        <w:jc w:val="center"/>
        <w:rPr>
          <w:rFonts w:cs="Arial"/>
          <w:b/>
          <w:sz w:val="20"/>
          <w:szCs w:val="20"/>
        </w:rPr>
      </w:pPr>
      <w:r w:rsidRPr="003E2DC9">
        <w:rPr>
          <w:rFonts w:cs="Arial"/>
          <w:b/>
          <w:sz w:val="20"/>
          <w:szCs w:val="20"/>
        </w:rPr>
        <w:t>A</w:t>
      </w:r>
      <w:r w:rsidR="00257DD7">
        <w:rPr>
          <w:rFonts w:cs="Arial"/>
          <w:b/>
          <w:sz w:val="20"/>
          <w:szCs w:val="20"/>
        </w:rPr>
        <w:t>l 3</w:t>
      </w:r>
      <w:r w:rsidR="00E61DE6">
        <w:rPr>
          <w:rFonts w:cs="Arial"/>
          <w:b/>
          <w:sz w:val="20"/>
          <w:szCs w:val="20"/>
        </w:rPr>
        <w:t>1</w:t>
      </w:r>
      <w:r w:rsidR="00257DD7">
        <w:rPr>
          <w:rFonts w:cs="Arial"/>
          <w:b/>
          <w:sz w:val="20"/>
          <w:szCs w:val="20"/>
        </w:rPr>
        <w:t xml:space="preserve"> de </w:t>
      </w:r>
      <w:r w:rsidR="00E61DE6">
        <w:rPr>
          <w:rFonts w:cs="Arial"/>
          <w:b/>
          <w:sz w:val="20"/>
          <w:szCs w:val="20"/>
        </w:rPr>
        <w:t>Diciembre</w:t>
      </w:r>
      <w:r w:rsidR="00257DD7">
        <w:rPr>
          <w:rFonts w:cs="Arial"/>
          <w:b/>
          <w:sz w:val="20"/>
          <w:szCs w:val="20"/>
        </w:rPr>
        <w:t xml:space="preserve"> de 201</w:t>
      </w:r>
      <w:r w:rsidR="00DB78BB">
        <w:rPr>
          <w:rFonts w:cs="Arial"/>
          <w:b/>
          <w:sz w:val="20"/>
          <w:szCs w:val="20"/>
        </w:rPr>
        <w:t>7</w:t>
      </w:r>
    </w:p>
    <w:p w:rsidR="006F3019" w:rsidRPr="003E2DC9" w:rsidRDefault="006F3019" w:rsidP="006F3019">
      <w:pPr>
        <w:spacing w:line="240" w:lineRule="auto"/>
        <w:jc w:val="center"/>
        <w:rPr>
          <w:rFonts w:cs="Arial"/>
          <w:b/>
          <w:sz w:val="20"/>
          <w:szCs w:val="20"/>
        </w:rPr>
      </w:pPr>
      <w:r w:rsidRPr="003E2DC9">
        <w:rPr>
          <w:rFonts w:cs="Arial"/>
          <w:b/>
          <w:sz w:val="20"/>
          <w:szCs w:val="20"/>
        </w:rPr>
        <w:t>(Pesos)</w:t>
      </w:r>
    </w:p>
    <w:p w:rsidR="006F3019" w:rsidRPr="003E2DC9" w:rsidRDefault="006F3019" w:rsidP="006F3019">
      <w:pPr>
        <w:spacing w:line="240" w:lineRule="auto"/>
        <w:jc w:val="center"/>
        <w:rPr>
          <w:rFonts w:cs="Arial"/>
          <w:b/>
          <w:sz w:val="20"/>
          <w:szCs w:val="20"/>
        </w:rPr>
      </w:pPr>
    </w:p>
    <w:p w:rsidR="006F3019" w:rsidRDefault="00257DD7" w:rsidP="006F3019">
      <w:pPr>
        <w:spacing w:line="240" w:lineRule="auto"/>
        <w:rPr>
          <w:rFonts w:cs="Arial"/>
          <w:b/>
          <w:sz w:val="20"/>
          <w:szCs w:val="20"/>
        </w:rPr>
      </w:pPr>
      <w:r>
        <w:rPr>
          <w:rFonts w:cs="Arial"/>
          <w:b/>
          <w:sz w:val="20"/>
          <w:szCs w:val="20"/>
        </w:rPr>
        <w:t>Ente Público</w:t>
      </w:r>
      <w:proofErr w:type="gramStart"/>
      <w:r>
        <w:rPr>
          <w:rFonts w:cs="Arial"/>
          <w:b/>
          <w:sz w:val="20"/>
          <w:szCs w:val="20"/>
        </w:rPr>
        <w:t xml:space="preserve">: </w:t>
      </w:r>
      <w:r w:rsidR="00685096">
        <w:rPr>
          <w:rFonts w:cs="Arial"/>
          <w:b/>
          <w:sz w:val="20"/>
          <w:szCs w:val="20"/>
        </w:rPr>
        <w:t xml:space="preserve"> </w:t>
      </w:r>
      <w:r w:rsidR="00E16957">
        <w:rPr>
          <w:rFonts w:cs="Arial"/>
          <w:b/>
          <w:sz w:val="20"/>
          <w:szCs w:val="20"/>
        </w:rPr>
        <w:t>FIDEICOMISO</w:t>
      </w:r>
      <w:proofErr w:type="gramEnd"/>
      <w:r w:rsidR="00E16957">
        <w:rPr>
          <w:rFonts w:cs="Arial"/>
          <w:b/>
          <w:sz w:val="20"/>
          <w:szCs w:val="20"/>
        </w:rPr>
        <w:t xml:space="preserve"> DE ADMINISTRACIÓN, INVERSIÓN Y  MEDIO DE PAGO DENOMINADO FIAMBIYUC NO. 6231014144</w:t>
      </w:r>
      <w:r w:rsidR="006F3019" w:rsidRPr="003E2DC9">
        <w:rPr>
          <w:rFonts w:cs="Arial"/>
          <w:b/>
          <w:sz w:val="20"/>
          <w:szCs w:val="20"/>
        </w:rPr>
        <w:t xml:space="preserve">  </w:t>
      </w:r>
      <w:r w:rsidR="005620D4">
        <w:rPr>
          <w:rFonts w:cs="Arial"/>
          <w:b/>
          <w:sz w:val="20"/>
          <w:szCs w:val="20"/>
        </w:rPr>
        <w:t xml:space="preserve">    </w:t>
      </w:r>
    </w:p>
    <w:p w:rsidR="00594617" w:rsidRDefault="00594617" w:rsidP="006F3019">
      <w:pPr>
        <w:spacing w:line="240" w:lineRule="auto"/>
        <w:rPr>
          <w:rFonts w:cs="Arial"/>
          <w:b/>
          <w:sz w:val="20"/>
          <w:szCs w:val="20"/>
        </w:rPr>
      </w:pPr>
    </w:p>
    <w:p w:rsidR="00594617" w:rsidRDefault="00594617" w:rsidP="006F3019">
      <w:pPr>
        <w:spacing w:line="240" w:lineRule="auto"/>
        <w:rPr>
          <w:rFonts w:cs="Arial"/>
          <w:b/>
          <w:sz w:val="20"/>
          <w:szCs w:val="20"/>
        </w:rPr>
      </w:pPr>
      <w:r>
        <w:rPr>
          <w:rFonts w:cs="Arial"/>
          <w:b/>
          <w:sz w:val="20"/>
          <w:szCs w:val="20"/>
        </w:rPr>
        <w:t>NOTAS DE GESTIÓN ADMINISTRATIVO</w:t>
      </w:r>
    </w:p>
    <w:p w:rsidR="00594617" w:rsidRPr="002730E4" w:rsidRDefault="001565D4" w:rsidP="002730E4">
      <w:pPr>
        <w:spacing w:line="240" w:lineRule="auto"/>
        <w:jc w:val="both"/>
        <w:rPr>
          <w:rFonts w:cs="Arial"/>
        </w:rPr>
      </w:pPr>
      <w:r w:rsidRPr="002730E4">
        <w:rPr>
          <w:rFonts w:cs="Arial"/>
        </w:rPr>
        <w:t>E</w:t>
      </w:r>
      <w:r w:rsidR="00E60D09" w:rsidRPr="002730E4">
        <w:rPr>
          <w:rFonts w:cs="Arial"/>
        </w:rPr>
        <w:t xml:space="preserve">l Gobierno del Estado de Yucatán, a través de la Secretaría de Desarrollo Urbano y Medio Ambiente, identificó diversos aspectos y necesidades en materia Ambiental, como la carencia de recursos duraderos y de largo plazo que permitan apoyar acciones de conservación y proyectos de </w:t>
      </w:r>
      <w:r w:rsidRPr="002730E4">
        <w:rPr>
          <w:rFonts w:cs="Arial"/>
        </w:rPr>
        <w:t>mitigación</w:t>
      </w:r>
      <w:r w:rsidR="00E60D09" w:rsidRPr="002730E4">
        <w:rPr>
          <w:rFonts w:cs="Arial"/>
        </w:rPr>
        <w:t xml:space="preserve"> eficiente y adaptación</w:t>
      </w:r>
      <w:r w:rsidRPr="002730E4">
        <w:rPr>
          <w:rFonts w:cs="Arial"/>
        </w:rPr>
        <w:t xml:space="preserve"> al cambio climático, entre otros y en general la inexistencia de incentivos económicos suficientes que permitan construir una cultura de protección y conservación del capital natural del Estado.</w:t>
      </w:r>
    </w:p>
    <w:p w:rsidR="001565D4" w:rsidRPr="002730E4" w:rsidRDefault="001565D4" w:rsidP="002730E4">
      <w:pPr>
        <w:spacing w:line="240" w:lineRule="auto"/>
        <w:jc w:val="both"/>
        <w:rPr>
          <w:rFonts w:cs="Arial"/>
        </w:rPr>
      </w:pPr>
      <w:r w:rsidRPr="002730E4">
        <w:rPr>
          <w:rFonts w:cs="Arial"/>
        </w:rPr>
        <w:t xml:space="preserve">Debido a </w:t>
      </w:r>
      <w:r w:rsidR="00977F5C">
        <w:rPr>
          <w:rFonts w:cs="Arial"/>
        </w:rPr>
        <w:t>lo anterior</w:t>
      </w:r>
      <w:r w:rsidRPr="002730E4">
        <w:rPr>
          <w:rFonts w:cs="Arial"/>
        </w:rPr>
        <w:t xml:space="preserve"> se creó y formalizo mediante un contrato firmado el día 12 de Julio del 2012 el Fideicomiso de Administración, Inversión y Medio de Pago denominado “FIAMBIYUC” numero 6231014144; este servirá como herramienta para apoyar las diversas estrategias en materia de sustentabilidad ambiental que el Gobierno del Estado de Yucatán ha implementado en esta materia.</w:t>
      </w:r>
    </w:p>
    <w:p w:rsidR="001565D4" w:rsidRPr="002730E4" w:rsidRDefault="001565D4" w:rsidP="002730E4">
      <w:pPr>
        <w:spacing w:line="240" w:lineRule="auto"/>
        <w:jc w:val="both"/>
        <w:rPr>
          <w:rFonts w:cs="Arial"/>
        </w:rPr>
      </w:pPr>
      <w:r w:rsidRPr="002730E4">
        <w:rPr>
          <w:rFonts w:cs="Arial"/>
        </w:rPr>
        <w:t>Posteriormente se establecieron las Reglas de Operación, estas son de observancia obligatoria y tienen como finalidad precisar los objetivos generales y específicos de los programas, proyectos y convenios sujetos a apoyo, así como los procesos y etapas a seguir para la aprobación y realización de los mismos, y finalmente el control y seguimiento de lo realizado, siempre buscando la correcta administración y ejecución de los fines del Fideicomiso de Administración, Inversión y Medio de Pago.</w:t>
      </w:r>
    </w:p>
    <w:p w:rsidR="0059647A" w:rsidRPr="002730E4" w:rsidRDefault="0059647A" w:rsidP="002730E4">
      <w:pPr>
        <w:spacing w:line="240" w:lineRule="auto"/>
        <w:jc w:val="both"/>
        <w:rPr>
          <w:rFonts w:cs="Arial"/>
        </w:rPr>
      </w:pPr>
      <w:r w:rsidRPr="002730E4">
        <w:rPr>
          <w:rFonts w:cs="Arial"/>
        </w:rPr>
        <w:t>De conformidad con el artículo 80 de la Ley de las Instituciones de crédito, se  conformó un Comité Técnico, mismo que estará encargado de la correcta aplicación de las Reglas de Operación del Fondo.</w:t>
      </w:r>
    </w:p>
    <w:p w:rsidR="0059647A" w:rsidRDefault="0059647A" w:rsidP="0059647A">
      <w:pPr>
        <w:spacing w:line="240" w:lineRule="auto"/>
        <w:rPr>
          <w:rFonts w:cs="Arial"/>
          <w:b/>
          <w:sz w:val="20"/>
          <w:szCs w:val="20"/>
        </w:rPr>
      </w:pPr>
      <w:r>
        <w:rPr>
          <w:rFonts w:cs="Arial"/>
          <w:b/>
          <w:sz w:val="20"/>
          <w:szCs w:val="20"/>
        </w:rPr>
        <w:lastRenderedPageBreak/>
        <w:t>NOTAS DE DESGLOSE</w:t>
      </w:r>
    </w:p>
    <w:p w:rsidR="0059647A" w:rsidRPr="00123EFB" w:rsidRDefault="0059647A" w:rsidP="0059647A">
      <w:pPr>
        <w:spacing w:line="240" w:lineRule="auto"/>
        <w:rPr>
          <w:rFonts w:cs="Arial"/>
          <w:b/>
          <w:sz w:val="20"/>
          <w:szCs w:val="20"/>
        </w:rPr>
      </w:pPr>
      <w:r>
        <w:rPr>
          <w:rFonts w:cs="Arial"/>
          <w:b/>
          <w:sz w:val="20"/>
          <w:szCs w:val="20"/>
        </w:rPr>
        <w:t>I). NOTAS AL ESTADO DE SITUACION FINANCIERA</w:t>
      </w:r>
    </w:p>
    <w:p w:rsidR="0059647A" w:rsidRPr="00123EFB" w:rsidRDefault="0059647A" w:rsidP="0059647A">
      <w:pPr>
        <w:spacing w:line="240" w:lineRule="auto"/>
        <w:rPr>
          <w:rFonts w:cs="Arial"/>
          <w:b/>
          <w:sz w:val="20"/>
          <w:szCs w:val="20"/>
        </w:rPr>
      </w:pPr>
      <w:r w:rsidRPr="00123EFB">
        <w:rPr>
          <w:rFonts w:cs="Arial"/>
          <w:b/>
          <w:sz w:val="20"/>
          <w:szCs w:val="20"/>
        </w:rPr>
        <w:t>ACTIVO</w:t>
      </w:r>
    </w:p>
    <w:p w:rsidR="0059647A" w:rsidRPr="00073179" w:rsidRDefault="0059647A" w:rsidP="0059647A">
      <w:pPr>
        <w:spacing w:line="240" w:lineRule="auto"/>
        <w:rPr>
          <w:rFonts w:cs="Arial"/>
          <w:sz w:val="20"/>
          <w:szCs w:val="20"/>
        </w:rPr>
      </w:pPr>
      <w:r w:rsidRPr="00073179">
        <w:rPr>
          <w:rFonts w:cs="Arial"/>
          <w:sz w:val="20"/>
          <w:szCs w:val="20"/>
        </w:rPr>
        <w:t>EL ACTIVO CIRCULANTE SE ENCUENTRA INTEGRADO POR:</w:t>
      </w:r>
    </w:p>
    <w:p w:rsidR="0059647A" w:rsidRDefault="0059647A" w:rsidP="0059647A">
      <w:pPr>
        <w:spacing w:line="240" w:lineRule="auto"/>
        <w:rPr>
          <w:rFonts w:cs="Arial"/>
          <w:b/>
          <w:sz w:val="20"/>
          <w:szCs w:val="20"/>
        </w:rPr>
      </w:pPr>
      <w:r>
        <w:rPr>
          <w:rFonts w:cs="Arial"/>
          <w:b/>
          <w:sz w:val="20"/>
          <w:szCs w:val="20"/>
        </w:rPr>
        <w:t>EFECTIVO Y EQUIVALENTES</w:t>
      </w:r>
    </w:p>
    <w:p w:rsidR="0059647A" w:rsidRPr="0059647A" w:rsidRDefault="0059647A" w:rsidP="0059647A">
      <w:pPr>
        <w:spacing w:after="0" w:line="240" w:lineRule="auto"/>
        <w:rPr>
          <w:rFonts w:cs="Arial"/>
          <w:sz w:val="20"/>
          <w:szCs w:val="20"/>
        </w:rPr>
      </w:pPr>
      <w:r w:rsidRPr="00073179">
        <w:rPr>
          <w:rFonts w:cs="Arial"/>
          <w:sz w:val="20"/>
          <w:szCs w:val="20"/>
        </w:rPr>
        <w:t>EFECTIVO</w:t>
      </w:r>
      <w:r w:rsidR="00977F5C">
        <w:rPr>
          <w:rFonts w:cs="Arial"/>
          <w:sz w:val="20"/>
          <w:szCs w:val="20"/>
        </w:rPr>
        <w:t xml:space="preserve"> Y EQUIVALENTES</w:t>
      </w:r>
      <w:r w:rsidR="00977F5C">
        <w:rPr>
          <w:rFonts w:cs="Arial"/>
          <w:sz w:val="20"/>
          <w:szCs w:val="20"/>
        </w:rPr>
        <w:tab/>
      </w:r>
      <w:r w:rsidR="00977F5C">
        <w:rPr>
          <w:rFonts w:cs="Arial"/>
          <w:sz w:val="20"/>
          <w:szCs w:val="20"/>
        </w:rPr>
        <w:tab/>
        <w:t xml:space="preserve">               </w:t>
      </w:r>
      <w:r w:rsidR="000822A1">
        <w:rPr>
          <w:rFonts w:cs="Arial"/>
          <w:sz w:val="20"/>
          <w:szCs w:val="20"/>
        </w:rPr>
        <w:t>5, 041,988.38</w:t>
      </w:r>
    </w:p>
    <w:p w:rsidR="003210C0" w:rsidRPr="00AF2F58" w:rsidRDefault="003210C0" w:rsidP="003210C0">
      <w:pPr>
        <w:rPr>
          <w:rFonts w:cs="Arial"/>
          <w:b/>
          <w:bCs/>
          <w:i/>
          <w:sz w:val="20"/>
          <w:szCs w:val="20"/>
        </w:rPr>
      </w:pPr>
      <w:r>
        <w:rPr>
          <w:rFonts w:cs="Arial"/>
          <w:b/>
          <w:sz w:val="20"/>
          <w:szCs w:val="20"/>
        </w:rPr>
        <w:t xml:space="preserve">TOTAL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AF2F58">
        <w:rPr>
          <w:rFonts w:cs="Arial"/>
          <w:b/>
          <w:i/>
          <w:sz w:val="20"/>
          <w:szCs w:val="20"/>
        </w:rPr>
        <w:t xml:space="preserve">            </w:t>
      </w:r>
      <w:r w:rsidR="00AF2F58" w:rsidRPr="00AF2F58">
        <w:rPr>
          <w:rFonts w:cs="Arial"/>
          <w:b/>
          <w:i/>
          <w:sz w:val="20"/>
          <w:szCs w:val="20"/>
        </w:rPr>
        <w:t xml:space="preserve"> </w:t>
      </w:r>
      <w:r w:rsidRPr="00AF2F58">
        <w:rPr>
          <w:rFonts w:cs="Arial"/>
          <w:b/>
          <w:i/>
          <w:sz w:val="20"/>
          <w:szCs w:val="20"/>
        </w:rPr>
        <w:t xml:space="preserve"> </w:t>
      </w:r>
      <w:r w:rsidR="00AF2F58" w:rsidRPr="00AF2F58">
        <w:rPr>
          <w:rFonts w:cs="Arial"/>
          <w:b/>
          <w:i/>
          <w:sz w:val="20"/>
          <w:szCs w:val="20"/>
        </w:rPr>
        <w:t xml:space="preserve"> </w:t>
      </w:r>
      <w:r w:rsidR="000822A1">
        <w:rPr>
          <w:rFonts w:cs="Arial"/>
          <w:b/>
          <w:bCs/>
          <w:i/>
          <w:sz w:val="20"/>
          <w:szCs w:val="20"/>
        </w:rPr>
        <w:t>5, 041,988.38</w:t>
      </w:r>
    </w:p>
    <w:p w:rsidR="0059647A" w:rsidRDefault="0059647A" w:rsidP="0059647A">
      <w:pPr>
        <w:rPr>
          <w:rFonts w:cs="Arial"/>
          <w:b/>
          <w:sz w:val="20"/>
          <w:szCs w:val="20"/>
        </w:rPr>
      </w:pPr>
      <w:r>
        <w:rPr>
          <w:rFonts w:cs="Arial"/>
          <w:b/>
          <w:sz w:val="20"/>
          <w:szCs w:val="20"/>
        </w:rPr>
        <w:t>PASIVO</w:t>
      </w:r>
      <w:r w:rsidR="00AF2F58">
        <w:rPr>
          <w:rFonts w:cs="Arial"/>
          <w:b/>
          <w:sz w:val="20"/>
          <w:szCs w:val="20"/>
        </w:rPr>
        <w:t xml:space="preserve"> </w:t>
      </w:r>
    </w:p>
    <w:p w:rsidR="0059647A" w:rsidRDefault="0059647A" w:rsidP="0059647A">
      <w:pPr>
        <w:rPr>
          <w:rFonts w:cs="Arial"/>
          <w:sz w:val="20"/>
          <w:szCs w:val="20"/>
        </w:rPr>
      </w:pPr>
      <w:r>
        <w:rPr>
          <w:rFonts w:cs="Arial"/>
          <w:sz w:val="20"/>
          <w:szCs w:val="20"/>
        </w:rPr>
        <w:t>A LA FECHA EL FIDEICOMISO, NO TIENE CIFRAS QUE INFORMAR</w:t>
      </w:r>
    </w:p>
    <w:p w:rsidR="0059647A" w:rsidRDefault="0059647A" w:rsidP="0059647A">
      <w:pPr>
        <w:rPr>
          <w:rFonts w:cs="Arial"/>
          <w:b/>
          <w:sz w:val="20"/>
          <w:szCs w:val="20"/>
        </w:rPr>
      </w:pPr>
      <w:r w:rsidRPr="00123EFB">
        <w:rPr>
          <w:rFonts w:cs="Arial"/>
          <w:b/>
          <w:sz w:val="20"/>
          <w:szCs w:val="20"/>
        </w:rPr>
        <w:t>II). NOTAS AL ESTADO DE ACTIVIDADES</w:t>
      </w:r>
    </w:p>
    <w:p w:rsidR="00AF2F58" w:rsidRPr="00AF2F58" w:rsidRDefault="0059647A" w:rsidP="00AF2F58">
      <w:pPr>
        <w:spacing w:after="0"/>
        <w:rPr>
          <w:rFonts w:cs="Arial"/>
          <w:bCs/>
          <w:sz w:val="20"/>
          <w:szCs w:val="20"/>
        </w:rPr>
      </w:pPr>
      <w:r>
        <w:rPr>
          <w:rFonts w:cs="Arial"/>
          <w:sz w:val="20"/>
          <w:szCs w:val="20"/>
        </w:rPr>
        <w:t xml:space="preserve">INGRESOS </w:t>
      </w:r>
      <w:r w:rsidR="00075418">
        <w:rPr>
          <w:rFonts w:cs="Arial"/>
          <w:sz w:val="20"/>
          <w:szCs w:val="20"/>
        </w:rPr>
        <w:t xml:space="preserve">FINANCIEROS                                                  </w:t>
      </w:r>
      <w:r w:rsidR="000822A1">
        <w:rPr>
          <w:rFonts w:cs="Arial"/>
          <w:bCs/>
          <w:sz w:val="20"/>
          <w:szCs w:val="20"/>
        </w:rPr>
        <w:t>48,018.01</w:t>
      </w:r>
    </w:p>
    <w:p w:rsidR="0059647A" w:rsidRPr="00AF2F58" w:rsidRDefault="0059647A" w:rsidP="0059647A">
      <w:pPr>
        <w:rPr>
          <w:rFonts w:cs="Arial"/>
          <w:b/>
          <w:bCs/>
          <w:i/>
          <w:iCs/>
          <w:sz w:val="20"/>
          <w:szCs w:val="20"/>
        </w:rPr>
      </w:pPr>
      <w:r w:rsidRPr="00295638">
        <w:rPr>
          <w:rFonts w:cs="Arial"/>
          <w:b/>
          <w:sz w:val="20"/>
          <w:szCs w:val="20"/>
        </w:rPr>
        <w:t>INGRESO</w:t>
      </w:r>
      <w:r>
        <w:rPr>
          <w:rFonts w:cs="Arial"/>
          <w:b/>
          <w:sz w:val="20"/>
          <w:szCs w:val="20"/>
        </w:rPr>
        <w:t>S TOTALES</w:t>
      </w:r>
      <w:r>
        <w:rPr>
          <w:rFonts w:cs="Arial"/>
          <w:sz w:val="20"/>
          <w:szCs w:val="20"/>
        </w:rPr>
        <w:tab/>
      </w:r>
      <w:r>
        <w:rPr>
          <w:rFonts w:cs="Arial"/>
          <w:sz w:val="20"/>
          <w:szCs w:val="20"/>
        </w:rPr>
        <w:tab/>
      </w:r>
      <w:r>
        <w:rPr>
          <w:rFonts w:cs="Arial"/>
          <w:sz w:val="20"/>
          <w:szCs w:val="20"/>
        </w:rPr>
        <w:tab/>
      </w:r>
      <w:r>
        <w:rPr>
          <w:rFonts w:cs="Arial"/>
          <w:sz w:val="20"/>
          <w:szCs w:val="20"/>
        </w:rPr>
        <w:tab/>
      </w:r>
      <w:r w:rsidR="000822A1">
        <w:rPr>
          <w:rFonts w:cs="Arial"/>
          <w:b/>
          <w:bCs/>
          <w:i/>
          <w:iCs/>
          <w:sz w:val="20"/>
          <w:szCs w:val="20"/>
        </w:rPr>
        <w:t>48,018.01</w:t>
      </w:r>
    </w:p>
    <w:p w:rsidR="0059647A" w:rsidRDefault="007A3FF5" w:rsidP="0059647A">
      <w:pPr>
        <w:spacing w:after="0"/>
        <w:rPr>
          <w:rFonts w:cs="Arial"/>
          <w:sz w:val="20"/>
          <w:szCs w:val="20"/>
        </w:rPr>
      </w:pPr>
      <w:r>
        <w:rPr>
          <w:rFonts w:cs="Arial"/>
          <w:sz w:val="20"/>
          <w:szCs w:val="20"/>
        </w:rPr>
        <w:t xml:space="preserve">SERVICIOS GENERALES </w:t>
      </w:r>
      <w:r w:rsidR="0059647A">
        <w:rPr>
          <w:rFonts w:cs="Arial"/>
          <w:sz w:val="20"/>
          <w:szCs w:val="20"/>
        </w:rPr>
        <w:tab/>
      </w:r>
      <w:r w:rsidR="0059647A">
        <w:rPr>
          <w:rFonts w:cs="Arial"/>
          <w:sz w:val="20"/>
          <w:szCs w:val="20"/>
        </w:rPr>
        <w:tab/>
      </w:r>
      <w:r>
        <w:rPr>
          <w:rFonts w:cs="Arial"/>
          <w:sz w:val="20"/>
          <w:szCs w:val="20"/>
        </w:rPr>
        <w:t xml:space="preserve">                                </w:t>
      </w:r>
      <w:r w:rsidR="000822A1">
        <w:rPr>
          <w:rFonts w:cs="Arial"/>
          <w:sz w:val="20"/>
          <w:szCs w:val="20"/>
        </w:rPr>
        <w:t>30,060.00</w:t>
      </w:r>
    </w:p>
    <w:p w:rsidR="0059647A" w:rsidRDefault="0059647A" w:rsidP="0059647A">
      <w:pPr>
        <w:spacing w:after="0"/>
        <w:rPr>
          <w:rFonts w:cs="Arial"/>
          <w:sz w:val="20"/>
          <w:szCs w:val="20"/>
        </w:rPr>
      </w:pPr>
      <w:r>
        <w:rPr>
          <w:rFonts w:cs="Arial"/>
          <w:sz w:val="20"/>
          <w:szCs w:val="20"/>
        </w:rPr>
        <w:t>IMPUESTOS DIVERSOS</w:t>
      </w:r>
      <w:r>
        <w:rPr>
          <w:rFonts w:cs="Arial"/>
          <w:sz w:val="20"/>
          <w:szCs w:val="20"/>
        </w:rPr>
        <w:tab/>
        <w:t xml:space="preserve"> </w:t>
      </w:r>
      <w:r w:rsidR="007A3FF5">
        <w:rPr>
          <w:rFonts w:cs="Arial"/>
          <w:sz w:val="20"/>
          <w:szCs w:val="20"/>
        </w:rPr>
        <w:t xml:space="preserve">                                               </w:t>
      </w:r>
      <w:r>
        <w:rPr>
          <w:rFonts w:cs="Arial"/>
          <w:sz w:val="20"/>
          <w:szCs w:val="20"/>
        </w:rPr>
        <w:t xml:space="preserve"> </w:t>
      </w:r>
      <w:r w:rsidR="007A3FF5">
        <w:rPr>
          <w:rFonts w:cs="Arial"/>
          <w:sz w:val="20"/>
          <w:szCs w:val="20"/>
        </w:rPr>
        <w:t xml:space="preserve"> </w:t>
      </w:r>
      <w:r w:rsidR="00816B69">
        <w:rPr>
          <w:rFonts w:cs="Arial"/>
          <w:sz w:val="20"/>
          <w:szCs w:val="20"/>
        </w:rPr>
        <w:t>4</w:t>
      </w:r>
      <w:r w:rsidR="000822A1">
        <w:rPr>
          <w:rFonts w:cs="Arial"/>
          <w:sz w:val="20"/>
          <w:szCs w:val="20"/>
        </w:rPr>
        <w:t>,809.60</w:t>
      </w:r>
    </w:p>
    <w:p w:rsidR="007A3FF5" w:rsidRPr="007A3FF5" w:rsidRDefault="007A3FF5" w:rsidP="007A3FF5">
      <w:pPr>
        <w:rPr>
          <w:rFonts w:cs="Arial"/>
          <w:b/>
          <w:bCs/>
          <w:i/>
          <w:iCs/>
          <w:sz w:val="20"/>
          <w:szCs w:val="20"/>
        </w:rPr>
      </w:pPr>
      <w:r>
        <w:rPr>
          <w:rFonts w:cs="Arial"/>
          <w:b/>
          <w:sz w:val="20"/>
          <w:szCs w:val="20"/>
        </w:rPr>
        <w:t xml:space="preserve">GASTOS </w:t>
      </w:r>
      <w:r w:rsidR="0059647A" w:rsidRPr="00295638">
        <w:rPr>
          <w:rFonts w:cs="Arial"/>
          <w:b/>
          <w:sz w:val="20"/>
          <w:szCs w:val="20"/>
        </w:rPr>
        <w:t>TOTAL</w:t>
      </w:r>
      <w:r>
        <w:rPr>
          <w:rFonts w:cs="Arial"/>
          <w:b/>
          <w:sz w:val="20"/>
          <w:szCs w:val="20"/>
        </w:rPr>
        <w:t>ES</w:t>
      </w:r>
      <w:r>
        <w:rPr>
          <w:rFonts w:cs="Arial"/>
          <w:sz w:val="20"/>
          <w:szCs w:val="20"/>
        </w:rPr>
        <w:tab/>
      </w:r>
      <w:r>
        <w:rPr>
          <w:rFonts w:cs="Arial"/>
          <w:sz w:val="20"/>
          <w:szCs w:val="20"/>
        </w:rPr>
        <w:tab/>
      </w:r>
      <w:r>
        <w:rPr>
          <w:rFonts w:cs="Arial"/>
          <w:sz w:val="20"/>
          <w:szCs w:val="20"/>
        </w:rPr>
        <w:tab/>
        <w:t xml:space="preserve">                </w:t>
      </w:r>
      <w:r w:rsidR="000822A1">
        <w:rPr>
          <w:rFonts w:cs="Arial"/>
          <w:b/>
          <w:bCs/>
          <w:i/>
          <w:iCs/>
          <w:sz w:val="20"/>
          <w:szCs w:val="20"/>
        </w:rPr>
        <w:t>34,869.60</w:t>
      </w:r>
    </w:p>
    <w:p w:rsidR="00340B37" w:rsidRDefault="00340B37" w:rsidP="006F3019">
      <w:pPr>
        <w:spacing w:line="240" w:lineRule="auto"/>
        <w:rPr>
          <w:rFonts w:cs="Arial"/>
          <w:b/>
          <w:sz w:val="20"/>
          <w:szCs w:val="20"/>
        </w:rPr>
      </w:pPr>
    </w:p>
    <w:p w:rsidR="0059293C" w:rsidRDefault="0059293C" w:rsidP="006F3019">
      <w:pPr>
        <w:spacing w:line="240" w:lineRule="auto"/>
        <w:rPr>
          <w:rFonts w:cs="Arial"/>
          <w:b/>
          <w:sz w:val="20"/>
          <w:szCs w:val="20"/>
        </w:rPr>
      </w:pPr>
    </w:p>
    <w:p w:rsidR="00594617" w:rsidRDefault="00594617" w:rsidP="006F3019">
      <w:pPr>
        <w:spacing w:line="240" w:lineRule="auto"/>
        <w:rPr>
          <w:rFonts w:cs="Arial"/>
          <w:b/>
          <w:sz w:val="20"/>
          <w:szCs w:val="20"/>
        </w:rPr>
      </w:pPr>
    </w:p>
    <w:p w:rsidR="00750D9C" w:rsidRPr="00750D9C" w:rsidRDefault="00750D9C" w:rsidP="00750D9C">
      <w:pPr>
        <w:spacing w:after="0"/>
        <w:rPr>
          <w:rFonts w:cs="Arial"/>
          <w:b/>
          <w:sz w:val="20"/>
          <w:szCs w:val="20"/>
        </w:rPr>
      </w:pPr>
      <w:r w:rsidRPr="00750D9C">
        <w:rPr>
          <w:rFonts w:cs="Arial"/>
          <w:b/>
          <w:sz w:val="20"/>
          <w:szCs w:val="20"/>
        </w:rPr>
        <w:lastRenderedPageBreak/>
        <w:t>III). NOTAS AL ESTADO DE VARIACION EN LA HACIENDA PUBLICA</w:t>
      </w:r>
    </w:p>
    <w:p w:rsidR="00750D9C" w:rsidRPr="00750D9C" w:rsidRDefault="00750D9C" w:rsidP="00750D9C">
      <w:pPr>
        <w:rPr>
          <w:rFonts w:cs="Arial"/>
          <w:sz w:val="20"/>
          <w:szCs w:val="20"/>
        </w:rPr>
      </w:pPr>
      <w:r>
        <w:rPr>
          <w:rFonts w:cs="Arial"/>
          <w:sz w:val="20"/>
          <w:szCs w:val="20"/>
        </w:rPr>
        <w:t xml:space="preserve">APORTACIONES (VARIACION </w:t>
      </w:r>
      <w:r w:rsidR="00D653C8">
        <w:rPr>
          <w:rFonts w:cs="Arial"/>
          <w:sz w:val="20"/>
          <w:szCs w:val="20"/>
        </w:rPr>
        <w:t>4to</w:t>
      </w:r>
      <w:r w:rsidR="002A60D8">
        <w:rPr>
          <w:rFonts w:cs="Arial"/>
          <w:sz w:val="20"/>
          <w:szCs w:val="20"/>
        </w:rPr>
        <w:t xml:space="preserve"> Trimestre 2017</w:t>
      </w:r>
      <w:r>
        <w:rPr>
          <w:rFonts w:cs="Arial"/>
          <w:sz w:val="20"/>
          <w:szCs w:val="20"/>
        </w:rPr>
        <w:t xml:space="preserve">)       </w:t>
      </w:r>
      <w:r w:rsidR="002511ED">
        <w:rPr>
          <w:rFonts w:cs="Arial"/>
          <w:sz w:val="20"/>
          <w:szCs w:val="20"/>
        </w:rPr>
        <w:t xml:space="preserve">  </w:t>
      </w:r>
      <w:r w:rsidR="00D653C8">
        <w:rPr>
          <w:rFonts w:cs="Arial"/>
          <w:sz w:val="20"/>
          <w:szCs w:val="20"/>
        </w:rPr>
        <w:t>1, 282,616.14</w:t>
      </w:r>
    </w:p>
    <w:p w:rsidR="00750D9C" w:rsidRPr="00750D9C" w:rsidRDefault="00750D9C" w:rsidP="00750D9C">
      <w:pPr>
        <w:spacing w:after="0"/>
        <w:rPr>
          <w:rFonts w:cs="Arial"/>
          <w:b/>
          <w:sz w:val="20"/>
          <w:szCs w:val="20"/>
        </w:rPr>
      </w:pPr>
      <w:r w:rsidRPr="00750D9C">
        <w:rPr>
          <w:rFonts w:cs="Arial"/>
          <w:b/>
          <w:sz w:val="20"/>
          <w:szCs w:val="20"/>
        </w:rPr>
        <w:t xml:space="preserve">IV). NOTAS AL ESTADO </w:t>
      </w:r>
      <w:r w:rsidR="002A60D8">
        <w:rPr>
          <w:rFonts w:cs="Arial"/>
          <w:b/>
          <w:sz w:val="20"/>
          <w:szCs w:val="20"/>
        </w:rPr>
        <w:t>DE FL</w:t>
      </w:r>
      <w:r w:rsidR="004754B4">
        <w:rPr>
          <w:rFonts w:cs="Arial"/>
          <w:b/>
          <w:sz w:val="20"/>
          <w:szCs w:val="20"/>
        </w:rPr>
        <w:t>UJO DE EFECTIVO</w:t>
      </w:r>
      <w:r w:rsidR="004754B4">
        <w:rPr>
          <w:rFonts w:cs="Arial"/>
          <w:b/>
          <w:sz w:val="20"/>
          <w:szCs w:val="20"/>
        </w:rPr>
        <w:tab/>
      </w:r>
      <w:r w:rsidR="004754B4">
        <w:rPr>
          <w:rFonts w:cs="Arial"/>
          <w:b/>
          <w:sz w:val="20"/>
          <w:szCs w:val="20"/>
        </w:rPr>
        <w:tab/>
      </w:r>
      <w:r w:rsidR="004754B4">
        <w:rPr>
          <w:rFonts w:cs="Arial"/>
          <w:b/>
          <w:sz w:val="20"/>
          <w:szCs w:val="20"/>
        </w:rPr>
        <w:tab/>
        <w:t xml:space="preserve">    </w:t>
      </w:r>
      <w:r w:rsidR="002A60D8">
        <w:rPr>
          <w:rFonts w:cs="Arial"/>
          <w:b/>
          <w:sz w:val="20"/>
          <w:szCs w:val="20"/>
        </w:rPr>
        <w:t xml:space="preserve"> </w:t>
      </w:r>
      <w:r w:rsidR="00D653C8">
        <w:rPr>
          <w:rFonts w:cs="Arial"/>
          <w:b/>
          <w:sz w:val="20"/>
          <w:szCs w:val="20"/>
        </w:rPr>
        <w:t>31</w:t>
      </w:r>
      <w:r w:rsidR="004754B4">
        <w:rPr>
          <w:rFonts w:cs="Arial"/>
          <w:b/>
          <w:sz w:val="20"/>
          <w:szCs w:val="20"/>
        </w:rPr>
        <w:t xml:space="preserve"> </w:t>
      </w:r>
      <w:r w:rsidR="00D653C8">
        <w:rPr>
          <w:rFonts w:cs="Arial"/>
          <w:b/>
          <w:sz w:val="20"/>
          <w:szCs w:val="20"/>
        </w:rPr>
        <w:t>DICIEMBRE</w:t>
      </w:r>
      <w:r w:rsidR="004754B4">
        <w:rPr>
          <w:rFonts w:cs="Arial"/>
          <w:b/>
          <w:sz w:val="20"/>
          <w:szCs w:val="20"/>
        </w:rPr>
        <w:t xml:space="preserve"> DE</w:t>
      </w:r>
      <w:r w:rsidR="002A60D8">
        <w:rPr>
          <w:rFonts w:cs="Arial"/>
          <w:b/>
          <w:sz w:val="20"/>
          <w:szCs w:val="20"/>
        </w:rPr>
        <w:t xml:space="preserve"> 2017</w:t>
      </w:r>
      <w:r w:rsidR="004754B4">
        <w:rPr>
          <w:rFonts w:cs="Arial"/>
          <w:b/>
          <w:sz w:val="20"/>
          <w:szCs w:val="20"/>
        </w:rPr>
        <w:t xml:space="preserve">               1 DE ENERO DE</w:t>
      </w:r>
      <w:r w:rsidRPr="00750D9C">
        <w:rPr>
          <w:rFonts w:cs="Arial"/>
          <w:b/>
          <w:sz w:val="20"/>
          <w:szCs w:val="20"/>
        </w:rPr>
        <w:t xml:space="preserve"> 201</w:t>
      </w:r>
      <w:r w:rsidR="00E378B2">
        <w:rPr>
          <w:rFonts w:cs="Arial"/>
          <w:b/>
          <w:sz w:val="20"/>
          <w:szCs w:val="20"/>
        </w:rPr>
        <w:t>7</w:t>
      </w:r>
    </w:p>
    <w:p w:rsidR="00750D9C" w:rsidRPr="00750D9C" w:rsidRDefault="00750D9C" w:rsidP="00750D9C">
      <w:pPr>
        <w:rPr>
          <w:rFonts w:cs="Arial"/>
          <w:bCs/>
          <w:sz w:val="20"/>
          <w:szCs w:val="20"/>
        </w:rPr>
      </w:pPr>
      <w:r w:rsidRPr="00750D9C">
        <w:rPr>
          <w:rFonts w:cs="Arial"/>
          <w:sz w:val="20"/>
          <w:szCs w:val="20"/>
        </w:rPr>
        <w:t>EFE</w:t>
      </w:r>
      <w:r w:rsidR="008A376C">
        <w:rPr>
          <w:rFonts w:cs="Arial"/>
          <w:sz w:val="20"/>
          <w:szCs w:val="20"/>
        </w:rPr>
        <w:t>CTIVO E INVERSIONES</w:t>
      </w:r>
      <w:r w:rsidR="00D070AC">
        <w:rPr>
          <w:rFonts w:cs="Arial"/>
          <w:sz w:val="20"/>
          <w:szCs w:val="20"/>
        </w:rPr>
        <w:t xml:space="preserve"> DEL EJERCICIO</w:t>
      </w:r>
      <w:r w:rsidR="008A376C">
        <w:rPr>
          <w:rFonts w:cs="Arial"/>
          <w:sz w:val="20"/>
          <w:szCs w:val="20"/>
        </w:rPr>
        <w:t xml:space="preserve"> </w:t>
      </w:r>
      <w:r w:rsidR="006A3820">
        <w:rPr>
          <w:rFonts w:cs="Arial"/>
          <w:sz w:val="20"/>
          <w:szCs w:val="20"/>
        </w:rPr>
        <w:t>(</w:t>
      </w:r>
      <w:r w:rsidR="00D653C8">
        <w:rPr>
          <w:rFonts w:cs="Arial"/>
          <w:sz w:val="20"/>
          <w:szCs w:val="20"/>
        </w:rPr>
        <w:t>4to</w:t>
      </w:r>
      <w:r w:rsidR="006A3820">
        <w:rPr>
          <w:rFonts w:cs="Arial"/>
          <w:sz w:val="20"/>
          <w:szCs w:val="20"/>
        </w:rPr>
        <w:t xml:space="preserve"> T</w:t>
      </w:r>
      <w:r w:rsidR="002A60D8">
        <w:rPr>
          <w:rFonts w:cs="Arial"/>
          <w:sz w:val="20"/>
          <w:szCs w:val="20"/>
        </w:rPr>
        <w:t xml:space="preserve">rimestre 2017)                       </w:t>
      </w:r>
      <w:r w:rsidR="00D070AC">
        <w:rPr>
          <w:rFonts w:cs="Arial"/>
          <w:sz w:val="20"/>
          <w:szCs w:val="20"/>
        </w:rPr>
        <w:t xml:space="preserve"> </w:t>
      </w:r>
      <w:r w:rsidR="00D653C8">
        <w:rPr>
          <w:rFonts w:cs="Arial"/>
          <w:sz w:val="20"/>
          <w:szCs w:val="20"/>
        </w:rPr>
        <w:t xml:space="preserve"> </w:t>
      </w:r>
      <w:r w:rsidR="00D653C8">
        <w:rPr>
          <w:rFonts w:cs="Arial"/>
          <w:bCs/>
          <w:sz w:val="20"/>
          <w:szCs w:val="20"/>
        </w:rPr>
        <w:t>5, 041,988.38</w:t>
      </w:r>
      <w:r w:rsidRPr="00750D9C">
        <w:rPr>
          <w:rFonts w:cs="Arial"/>
          <w:bCs/>
          <w:sz w:val="20"/>
          <w:szCs w:val="20"/>
        </w:rPr>
        <w:t xml:space="preserve">                  </w:t>
      </w:r>
      <w:r w:rsidR="002A60D8">
        <w:rPr>
          <w:rFonts w:cs="Arial"/>
          <w:bCs/>
          <w:sz w:val="20"/>
          <w:szCs w:val="20"/>
        </w:rPr>
        <w:t xml:space="preserve">   </w:t>
      </w:r>
      <w:r w:rsidRPr="00750D9C">
        <w:rPr>
          <w:rFonts w:cs="Arial"/>
          <w:bCs/>
          <w:sz w:val="20"/>
          <w:szCs w:val="20"/>
        </w:rPr>
        <w:t xml:space="preserve">  </w:t>
      </w:r>
      <w:r w:rsidR="00D070AC">
        <w:rPr>
          <w:rFonts w:cs="Arial"/>
          <w:bCs/>
          <w:sz w:val="20"/>
          <w:szCs w:val="20"/>
        </w:rPr>
        <w:t xml:space="preserve">  </w:t>
      </w:r>
      <w:r w:rsidR="00D653C8">
        <w:rPr>
          <w:rFonts w:cs="Arial"/>
          <w:bCs/>
          <w:sz w:val="20"/>
          <w:szCs w:val="20"/>
        </w:rPr>
        <w:t xml:space="preserve">         </w:t>
      </w:r>
      <w:r w:rsidRPr="00750D9C">
        <w:rPr>
          <w:rFonts w:cs="Arial"/>
          <w:bCs/>
          <w:sz w:val="20"/>
          <w:szCs w:val="20"/>
        </w:rPr>
        <w:t xml:space="preserve"> </w:t>
      </w:r>
      <w:r w:rsidR="002A60D8">
        <w:rPr>
          <w:rFonts w:cs="Arial"/>
          <w:bCs/>
          <w:sz w:val="20"/>
          <w:szCs w:val="20"/>
        </w:rPr>
        <w:t>3, 719,917.80</w:t>
      </w:r>
    </w:p>
    <w:p w:rsidR="00594617" w:rsidRDefault="00594617" w:rsidP="006F3019">
      <w:pPr>
        <w:spacing w:line="240" w:lineRule="auto"/>
        <w:rPr>
          <w:rFonts w:cs="Arial"/>
          <w:b/>
          <w:sz w:val="20"/>
          <w:szCs w:val="20"/>
        </w:rPr>
      </w:pPr>
    </w:p>
    <w:p w:rsidR="0059293C" w:rsidRDefault="0059293C" w:rsidP="006F3019">
      <w:pPr>
        <w:spacing w:line="240" w:lineRule="auto"/>
        <w:rPr>
          <w:rFonts w:cs="Arial"/>
          <w:b/>
          <w:sz w:val="20"/>
          <w:szCs w:val="20"/>
        </w:rPr>
      </w:pPr>
    </w:p>
    <w:p w:rsidR="00594617" w:rsidRDefault="00594617" w:rsidP="006F3019">
      <w:pPr>
        <w:spacing w:line="240" w:lineRule="auto"/>
        <w:rPr>
          <w:rFonts w:cs="Arial"/>
          <w:b/>
          <w:sz w:val="20"/>
          <w:szCs w:val="20"/>
        </w:rPr>
      </w:pPr>
      <w:r>
        <w:rPr>
          <w:rFonts w:cs="Arial"/>
          <w:b/>
          <w:sz w:val="20"/>
          <w:szCs w:val="20"/>
        </w:rPr>
        <w:t>NOTAS DE MEMORIA</w:t>
      </w:r>
    </w:p>
    <w:p w:rsidR="002C58EF" w:rsidRDefault="002C58EF" w:rsidP="006F3019">
      <w:pPr>
        <w:spacing w:line="240" w:lineRule="auto"/>
        <w:rPr>
          <w:rFonts w:cs="Arial"/>
          <w:b/>
          <w:sz w:val="20"/>
          <w:szCs w:val="20"/>
        </w:rPr>
      </w:pPr>
    </w:p>
    <w:p w:rsidR="00685096" w:rsidRDefault="00685096" w:rsidP="006F3019">
      <w:pPr>
        <w:spacing w:line="240" w:lineRule="auto"/>
        <w:rPr>
          <w:rFonts w:cs="Arial"/>
          <w:b/>
          <w:sz w:val="20"/>
          <w:szCs w:val="20"/>
        </w:rPr>
      </w:pPr>
    </w:p>
    <w:p w:rsidR="00980006" w:rsidRDefault="00980006" w:rsidP="006F3019">
      <w:pPr>
        <w:spacing w:line="240" w:lineRule="auto"/>
        <w:rPr>
          <w:rFonts w:cs="Arial"/>
          <w:b/>
          <w:sz w:val="20"/>
          <w:szCs w:val="20"/>
        </w:rPr>
      </w:pPr>
    </w:p>
    <w:p w:rsidR="00980006" w:rsidRDefault="00980006" w:rsidP="006F3019">
      <w:pPr>
        <w:spacing w:line="240" w:lineRule="auto"/>
        <w:rPr>
          <w:rFonts w:cs="Arial"/>
          <w:b/>
          <w:sz w:val="20"/>
          <w:szCs w:val="20"/>
        </w:rPr>
      </w:pPr>
    </w:p>
    <w:p w:rsidR="0059293C" w:rsidRDefault="0059293C" w:rsidP="006F3019">
      <w:pPr>
        <w:spacing w:line="240" w:lineRule="auto"/>
        <w:rPr>
          <w:rFonts w:cs="Arial"/>
          <w:b/>
          <w:sz w:val="20"/>
          <w:szCs w:val="20"/>
        </w:rPr>
      </w:pPr>
      <w:bookmarkStart w:id="0" w:name="_GoBack"/>
      <w:bookmarkEnd w:id="0"/>
    </w:p>
    <w:p w:rsidR="002C58EF" w:rsidRPr="00685096" w:rsidRDefault="006D0C6B" w:rsidP="006F3019">
      <w:pPr>
        <w:spacing w:line="240" w:lineRule="auto"/>
        <w:rPr>
          <w:rFonts w:cs="Arial"/>
          <w:sz w:val="20"/>
          <w:szCs w:val="20"/>
        </w:rPr>
      </w:pPr>
      <w:r w:rsidRPr="00685096">
        <w:rPr>
          <w:rFonts w:cs="Arial"/>
          <w:sz w:val="20"/>
          <w:szCs w:val="20"/>
        </w:rPr>
        <w:t>Bajo protesta de decir</w:t>
      </w:r>
      <w:r w:rsidR="002C58EF" w:rsidRPr="00685096">
        <w:rPr>
          <w:rFonts w:cs="Arial"/>
          <w:sz w:val="20"/>
          <w:szCs w:val="20"/>
        </w:rPr>
        <w:t xml:space="preserve"> verdad declaramos que</w:t>
      </w:r>
      <w:r w:rsidR="00980006">
        <w:rPr>
          <w:rFonts w:cs="Arial"/>
          <w:sz w:val="20"/>
          <w:szCs w:val="20"/>
        </w:rPr>
        <w:t xml:space="preserve"> los Estados Financieros y sus N</w:t>
      </w:r>
      <w:r w:rsidR="002C58EF" w:rsidRPr="00685096">
        <w:rPr>
          <w:rFonts w:cs="Arial"/>
          <w:sz w:val="20"/>
          <w:szCs w:val="20"/>
        </w:rPr>
        <w:t>otas son razonablemente correctos y responsabilidad del emisor.</w:t>
      </w:r>
    </w:p>
    <w:sectPr w:rsidR="002C58EF" w:rsidRPr="00685096" w:rsidSect="00685096">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75418"/>
    <w:rsid w:val="000773CA"/>
    <w:rsid w:val="000822A1"/>
    <w:rsid w:val="001565D4"/>
    <w:rsid w:val="001D3501"/>
    <w:rsid w:val="002511ED"/>
    <w:rsid w:val="00257DD7"/>
    <w:rsid w:val="002730E4"/>
    <w:rsid w:val="002A60D8"/>
    <w:rsid w:val="002C58EF"/>
    <w:rsid w:val="003129FF"/>
    <w:rsid w:val="003210C0"/>
    <w:rsid w:val="00340B37"/>
    <w:rsid w:val="00362104"/>
    <w:rsid w:val="003E2DC9"/>
    <w:rsid w:val="003E5BEC"/>
    <w:rsid w:val="00427A74"/>
    <w:rsid w:val="004754B4"/>
    <w:rsid w:val="005620D4"/>
    <w:rsid w:val="0059293C"/>
    <w:rsid w:val="00594617"/>
    <w:rsid w:val="0059647A"/>
    <w:rsid w:val="00626156"/>
    <w:rsid w:val="00626DFB"/>
    <w:rsid w:val="0067300E"/>
    <w:rsid w:val="00681567"/>
    <w:rsid w:val="00685096"/>
    <w:rsid w:val="006A3820"/>
    <w:rsid w:val="006D0C6B"/>
    <w:rsid w:val="006F0BF0"/>
    <w:rsid w:val="006F3019"/>
    <w:rsid w:val="00750D9C"/>
    <w:rsid w:val="007A3FF5"/>
    <w:rsid w:val="007D2747"/>
    <w:rsid w:val="00816B69"/>
    <w:rsid w:val="008A376C"/>
    <w:rsid w:val="00915AD7"/>
    <w:rsid w:val="00977F5C"/>
    <w:rsid w:val="00980006"/>
    <w:rsid w:val="009A32C3"/>
    <w:rsid w:val="009F0748"/>
    <w:rsid w:val="00AF2F58"/>
    <w:rsid w:val="00AF43B8"/>
    <w:rsid w:val="00B23082"/>
    <w:rsid w:val="00B56042"/>
    <w:rsid w:val="00BF6CAF"/>
    <w:rsid w:val="00D070AC"/>
    <w:rsid w:val="00D653C8"/>
    <w:rsid w:val="00D83798"/>
    <w:rsid w:val="00DB78BB"/>
    <w:rsid w:val="00DD67FD"/>
    <w:rsid w:val="00E16957"/>
    <w:rsid w:val="00E378B2"/>
    <w:rsid w:val="00E60D09"/>
    <w:rsid w:val="00E61DE6"/>
    <w:rsid w:val="00EF1EF7"/>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9087">
      <w:bodyDiv w:val="1"/>
      <w:marLeft w:val="0"/>
      <w:marRight w:val="0"/>
      <w:marTop w:val="0"/>
      <w:marBottom w:val="0"/>
      <w:divBdr>
        <w:top w:val="none" w:sz="0" w:space="0" w:color="auto"/>
        <w:left w:val="none" w:sz="0" w:space="0" w:color="auto"/>
        <w:bottom w:val="none" w:sz="0" w:space="0" w:color="auto"/>
        <w:right w:val="none" w:sz="0" w:space="0" w:color="auto"/>
      </w:divBdr>
    </w:div>
    <w:div w:id="207106833">
      <w:bodyDiv w:val="1"/>
      <w:marLeft w:val="0"/>
      <w:marRight w:val="0"/>
      <w:marTop w:val="0"/>
      <w:marBottom w:val="0"/>
      <w:divBdr>
        <w:top w:val="none" w:sz="0" w:space="0" w:color="auto"/>
        <w:left w:val="none" w:sz="0" w:space="0" w:color="auto"/>
        <w:bottom w:val="none" w:sz="0" w:space="0" w:color="auto"/>
        <w:right w:val="none" w:sz="0" w:space="0" w:color="auto"/>
      </w:divBdr>
    </w:div>
    <w:div w:id="293099606">
      <w:bodyDiv w:val="1"/>
      <w:marLeft w:val="0"/>
      <w:marRight w:val="0"/>
      <w:marTop w:val="0"/>
      <w:marBottom w:val="0"/>
      <w:divBdr>
        <w:top w:val="none" w:sz="0" w:space="0" w:color="auto"/>
        <w:left w:val="none" w:sz="0" w:space="0" w:color="auto"/>
        <w:bottom w:val="none" w:sz="0" w:space="0" w:color="auto"/>
        <w:right w:val="none" w:sz="0" w:space="0" w:color="auto"/>
      </w:divBdr>
    </w:div>
    <w:div w:id="363288129">
      <w:bodyDiv w:val="1"/>
      <w:marLeft w:val="0"/>
      <w:marRight w:val="0"/>
      <w:marTop w:val="0"/>
      <w:marBottom w:val="0"/>
      <w:divBdr>
        <w:top w:val="none" w:sz="0" w:space="0" w:color="auto"/>
        <w:left w:val="none" w:sz="0" w:space="0" w:color="auto"/>
        <w:bottom w:val="none" w:sz="0" w:space="0" w:color="auto"/>
        <w:right w:val="none" w:sz="0" w:space="0" w:color="auto"/>
      </w:divBdr>
    </w:div>
    <w:div w:id="376469813">
      <w:bodyDiv w:val="1"/>
      <w:marLeft w:val="0"/>
      <w:marRight w:val="0"/>
      <w:marTop w:val="0"/>
      <w:marBottom w:val="0"/>
      <w:divBdr>
        <w:top w:val="none" w:sz="0" w:space="0" w:color="auto"/>
        <w:left w:val="none" w:sz="0" w:space="0" w:color="auto"/>
        <w:bottom w:val="none" w:sz="0" w:space="0" w:color="auto"/>
        <w:right w:val="none" w:sz="0" w:space="0" w:color="auto"/>
      </w:divBdr>
    </w:div>
    <w:div w:id="378288395">
      <w:bodyDiv w:val="1"/>
      <w:marLeft w:val="0"/>
      <w:marRight w:val="0"/>
      <w:marTop w:val="0"/>
      <w:marBottom w:val="0"/>
      <w:divBdr>
        <w:top w:val="none" w:sz="0" w:space="0" w:color="auto"/>
        <w:left w:val="none" w:sz="0" w:space="0" w:color="auto"/>
        <w:bottom w:val="none" w:sz="0" w:space="0" w:color="auto"/>
        <w:right w:val="none" w:sz="0" w:space="0" w:color="auto"/>
      </w:divBdr>
    </w:div>
    <w:div w:id="484978685">
      <w:bodyDiv w:val="1"/>
      <w:marLeft w:val="0"/>
      <w:marRight w:val="0"/>
      <w:marTop w:val="0"/>
      <w:marBottom w:val="0"/>
      <w:divBdr>
        <w:top w:val="none" w:sz="0" w:space="0" w:color="auto"/>
        <w:left w:val="none" w:sz="0" w:space="0" w:color="auto"/>
        <w:bottom w:val="none" w:sz="0" w:space="0" w:color="auto"/>
        <w:right w:val="none" w:sz="0" w:space="0" w:color="auto"/>
      </w:divBdr>
    </w:div>
    <w:div w:id="575895548">
      <w:bodyDiv w:val="1"/>
      <w:marLeft w:val="0"/>
      <w:marRight w:val="0"/>
      <w:marTop w:val="0"/>
      <w:marBottom w:val="0"/>
      <w:divBdr>
        <w:top w:val="none" w:sz="0" w:space="0" w:color="auto"/>
        <w:left w:val="none" w:sz="0" w:space="0" w:color="auto"/>
        <w:bottom w:val="none" w:sz="0" w:space="0" w:color="auto"/>
        <w:right w:val="none" w:sz="0" w:space="0" w:color="auto"/>
      </w:divBdr>
    </w:div>
    <w:div w:id="626132493">
      <w:bodyDiv w:val="1"/>
      <w:marLeft w:val="0"/>
      <w:marRight w:val="0"/>
      <w:marTop w:val="0"/>
      <w:marBottom w:val="0"/>
      <w:divBdr>
        <w:top w:val="none" w:sz="0" w:space="0" w:color="auto"/>
        <w:left w:val="none" w:sz="0" w:space="0" w:color="auto"/>
        <w:bottom w:val="none" w:sz="0" w:space="0" w:color="auto"/>
        <w:right w:val="none" w:sz="0" w:space="0" w:color="auto"/>
      </w:divBdr>
    </w:div>
    <w:div w:id="765612390">
      <w:bodyDiv w:val="1"/>
      <w:marLeft w:val="0"/>
      <w:marRight w:val="0"/>
      <w:marTop w:val="0"/>
      <w:marBottom w:val="0"/>
      <w:divBdr>
        <w:top w:val="none" w:sz="0" w:space="0" w:color="auto"/>
        <w:left w:val="none" w:sz="0" w:space="0" w:color="auto"/>
        <w:bottom w:val="none" w:sz="0" w:space="0" w:color="auto"/>
        <w:right w:val="none" w:sz="0" w:space="0" w:color="auto"/>
      </w:divBdr>
    </w:div>
    <w:div w:id="1092970126">
      <w:bodyDiv w:val="1"/>
      <w:marLeft w:val="0"/>
      <w:marRight w:val="0"/>
      <w:marTop w:val="0"/>
      <w:marBottom w:val="0"/>
      <w:divBdr>
        <w:top w:val="none" w:sz="0" w:space="0" w:color="auto"/>
        <w:left w:val="none" w:sz="0" w:space="0" w:color="auto"/>
        <w:bottom w:val="none" w:sz="0" w:space="0" w:color="auto"/>
        <w:right w:val="none" w:sz="0" w:space="0" w:color="auto"/>
      </w:divBdr>
    </w:div>
    <w:div w:id="1509520655">
      <w:bodyDiv w:val="1"/>
      <w:marLeft w:val="0"/>
      <w:marRight w:val="0"/>
      <w:marTop w:val="0"/>
      <w:marBottom w:val="0"/>
      <w:divBdr>
        <w:top w:val="none" w:sz="0" w:space="0" w:color="auto"/>
        <w:left w:val="none" w:sz="0" w:space="0" w:color="auto"/>
        <w:bottom w:val="none" w:sz="0" w:space="0" w:color="auto"/>
        <w:right w:val="none" w:sz="0" w:space="0" w:color="auto"/>
      </w:divBdr>
    </w:div>
    <w:div w:id="1580751527">
      <w:bodyDiv w:val="1"/>
      <w:marLeft w:val="0"/>
      <w:marRight w:val="0"/>
      <w:marTop w:val="0"/>
      <w:marBottom w:val="0"/>
      <w:divBdr>
        <w:top w:val="none" w:sz="0" w:space="0" w:color="auto"/>
        <w:left w:val="none" w:sz="0" w:space="0" w:color="auto"/>
        <w:bottom w:val="none" w:sz="0" w:space="0" w:color="auto"/>
        <w:right w:val="none" w:sz="0" w:space="0" w:color="auto"/>
      </w:divBdr>
    </w:div>
    <w:div w:id="1777293048">
      <w:bodyDiv w:val="1"/>
      <w:marLeft w:val="0"/>
      <w:marRight w:val="0"/>
      <w:marTop w:val="0"/>
      <w:marBottom w:val="0"/>
      <w:divBdr>
        <w:top w:val="none" w:sz="0" w:space="0" w:color="auto"/>
        <w:left w:val="none" w:sz="0" w:space="0" w:color="auto"/>
        <w:bottom w:val="none" w:sz="0" w:space="0" w:color="auto"/>
        <w:right w:val="none" w:sz="0" w:space="0" w:color="auto"/>
      </w:divBdr>
    </w:div>
    <w:div w:id="1791782345">
      <w:bodyDiv w:val="1"/>
      <w:marLeft w:val="0"/>
      <w:marRight w:val="0"/>
      <w:marTop w:val="0"/>
      <w:marBottom w:val="0"/>
      <w:divBdr>
        <w:top w:val="none" w:sz="0" w:space="0" w:color="auto"/>
        <w:left w:val="none" w:sz="0" w:space="0" w:color="auto"/>
        <w:bottom w:val="none" w:sz="0" w:space="0" w:color="auto"/>
        <w:right w:val="none" w:sz="0" w:space="0" w:color="auto"/>
      </w:divBdr>
    </w:div>
    <w:div w:id="1948148163">
      <w:bodyDiv w:val="1"/>
      <w:marLeft w:val="0"/>
      <w:marRight w:val="0"/>
      <w:marTop w:val="0"/>
      <w:marBottom w:val="0"/>
      <w:divBdr>
        <w:top w:val="none" w:sz="0" w:space="0" w:color="auto"/>
        <w:left w:val="none" w:sz="0" w:space="0" w:color="auto"/>
        <w:bottom w:val="none" w:sz="0" w:space="0" w:color="auto"/>
        <w:right w:val="none" w:sz="0" w:space="0" w:color="auto"/>
      </w:divBdr>
    </w:div>
    <w:div w:id="19877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Alvar Ricardo Cachón Pérez</cp:lastModifiedBy>
  <cp:revision>7</cp:revision>
  <cp:lastPrinted>2015-12-03T22:33:00Z</cp:lastPrinted>
  <dcterms:created xsi:type="dcterms:W3CDTF">2018-02-14T18:50:00Z</dcterms:created>
  <dcterms:modified xsi:type="dcterms:W3CDTF">2018-03-15T19:18:00Z</dcterms:modified>
</cp:coreProperties>
</file>