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Cuenta Pública</w:t>
      </w:r>
      <w:r w:rsidR="00BE3121">
        <w:rPr>
          <w:rFonts w:cs="Arial"/>
          <w:b/>
          <w:sz w:val="20"/>
          <w:szCs w:val="20"/>
        </w:rPr>
        <w:t xml:space="preserve"> 201</w:t>
      </w:r>
      <w:r w:rsidR="00602DD7">
        <w:rPr>
          <w:rFonts w:cs="Arial"/>
          <w:b/>
          <w:sz w:val="20"/>
          <w:szCs w:val="20"/>
        </w:rPr>
        <w:t>7</w:t>
      </w:r>
    </w:p>
    <w:p w:rsidR="006F3019" w:rsidRPr="003E2DC9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Notas a los Estados Financieros</w:t>
      </w:r>
    </w:p>
    <w:p w:rsidR="006F3019" w:rsidRPr="003E2DC9" w:rsidRDefault="000773C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A</w:t>
      </w:r>
      <w:r w:rsidR="00915AD7">
        <w:rPr>
          <w:rFonts w:cs="Arial"/>
          <w:b/>
          <w:sz w:val="20"/>
          <w:szCs w:val="20"/>
        </w:rPr>
        <w:t>l 3</w:t>
      </w:r>
      <w:r w:rsidR="000C7492">
        <w:rPr>
          <w:rFonts w:cs="Arial"/>
          <w:b/>
          <w:sz w:val="20"/>
          <w:szCs w:val="20"/>
        </w:rPr>
        <w:t>1</w:t>
      </w:r>
      <w:r w:rsidR="00915AD7">
        <w:rPr>
          <w:rFonts w:cs="Arial"/>
          <w:b/>
          <w:sz w:val="20"/>
          <w:szCs w:val="20"/>
        </w:rPr>
        <w:t xml:space="preserve"> de </w:t>
      </w:r>
      <w:r w:rsidR="000C7492">
        <w:rPr>
          <w:rFonts w:cs="Arial"/>
          <w:b/>
          <w:sz w:val="20"/>
          <w:szCs w:val="20"/>
        </w:rPr>
        <w:t>dic</w:t>
      </w:r>
      <w:r w:rsidR="00D169B9">
        <w:rPr>
          <w:rFonts w:cs="Arial"/>
          <w:b/>
          <w:sz w:val="20"/>
          <w:szCs w:val="20"/>
        </w:rPr>
        <w:t>iembre</w:t>
      </w:r>
      <w:r w:rsidR="00915AD7">
        <w:rPr>
          <w:rFonts w:cs="Arial"/>
          <w:b/>
          <w:sz w:val="20"/>
          <w:szCs w:val="20"/>
        </w:rPr>
        <w:t xml:space="preserve"> de 201</w:t>
      </w:r>
      <w:r w:rsidR="00602DD7">
        <w:rPr>
          <w:rFonts w:cs="Arial"/>
          <w:b/>
          <w:sz w:val="20"/>
          <w:szCs w:val="20"/>
        </w:rPr>
        <w:t>7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(Pesos)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1614D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BE3121">
        <w:rPr>
          <w:rFonts w:cs="Arial"/>
          <w:b/>
          <w:sz w:val="20"/>
          <w:szCs w:val="20"/>
        </w:rPr>
        <w:t>FIDEICOMISO</w:t>
      </w:r>
      <w:proofErr w:type="gramEnd"/>
      <w:r w:rsidR="00BE3121">
        <w:rPr>
          <w:rFonts w:cs="Arial"/>
          <w:b/>
          <w:sz w:val="20"/>
          <w:szCs w:val="20"/>
        </w:rPr>
        <w:t xml:space="preserve"> FONDO DE PARTICIPACIÓN CIUDADANA </w:t>
      </w:r>
      <w:r>
        <w:rPr>
          <w:rFonts w:cs="Arial"/>
          <w:b/>
          <w:sz w:val="20"/>
          <w:szCs w:val="20"/>
        </w:rPr>
        <w:t>(IEPAC)</w:t>
      </w: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</w:p>
    <w:p w:rsidR="00594617" w:rsidRPr="005F74FA" w:rsidRDefault="00594617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5F74FA">
        <w:rPr>
          <w:rFonts w:cs="Arial"/>
          <w:b/>
          <w:sz w:val="20"/>
          <w:szCs w:val="20"/>
          <w:u w:val="single"/>
        </w:rPr>
        <w:t>NOTAS DE GESTIÓN ADMINISTRATIVO</w:t>
      </w:r>
    </w:p>
    <w:p w:rsidR="005F0E96" w:rsidRDefault="005F0E96" w:rsidP="00424B74">
      <w:pPr>
        <w:spacing w:line="240" w:lineRule="auto"/>
        <w:jc w:val="both"/>
        <w:rPr>
          <w:rFonts w:cs="Arial"/>
          <w:b/>
          <w:sz w:val="20"/>
          <w:szCs w:val="20"/>
        </w:rPr>
      </w:pPr>
    </w:p>
    <w:p w:rsidR="00594617" w:rsidRPr="005F0E96" w:rsidRDefault="00BA5317" w:rsidP="00C437A3">
      <w:pPr>
        <w:jc w:val="both"/>
        <w:rPr>
          <w:rFonts w:cs="Arial"/>
          <w:sz w:val="20"/>
          <w:szCs w:val="20"/>
        </w:rPr>
      </w:pPr>
      <w:r w:rsidRPr="005F0E96">
        <w:rPr>
          <w:rFonts w:cs="Arial"/>
          <w:sz w:val="20"/>
          <w:szCs w:val="20"/>
        </w:rPr>
        <w:t>De los Programas Operativos Anuales 2008 del Gobierno del Estado de Yucatán, fue autorizada la partida asignada a la creación del FONDO DE PARTICIPACIÓN CIUDADANA, que sería destinado a la realización de las acciones procesales que permitan la intervención activa de los ciudadanos en la toma de decisiones públicas y la resolución de problemas de interés general, mediante la figura del Plebiscito y Referéndum previstas en el Título Segundo de la Ley de Participación Ciudadana que regula el Plebiscito, Referéndum y la Iniciativa Popular en el Estado de Yucatán.</w:t>
      </w:r>
    </w:p>
    <w:p w:rsidR="00E36CEB" w:rsidRPr="005F0E96" w:rsidRDefault="00E36CEB" w:rsidP="00C437A3">
      <w:pPr>
        <w:jc w:val="both"/>
        <w:rPr>
          <w:rFonts w:cs="Arial"/>
          <w:sz w:val="20"/>
          <w:szCs w:val="20"/>
        </w:rPr>
      </w:pPr>
      <w:r w:rsidRPr="005F0E96">
        <w:rPr>
          <w:rFonts w:cs="Arial"/>
          <w:sz w:val="20"/>
          <w:szCs w:val="20"/>
        </w:rPr>
        <w:t>Mediante el Decreto 47 publicado en el Diario Oficial del Estado de Yucatán con fecha 24 de diciembre de 2007, en sus transi</w:t>
      </w:r>
      <w:r w:rsidR="00BA5317" w:rsidRPr="005F0E96">
        <w:rPr>
          <w:rFonts w:cs="Arial"/>
          <w:sz w:val="20"/>
          <w:szCs w:val="20"/>
        </w:rPr>
        <w:t>torios se instruyó al entonces Instituto de Procedimientos Electorales y de Participación Ciudadana del Estado de Yucatán ahora Instituto Electoral y de Participación Ciudadana de Yucatán, para que los recursos asignados para el Fondo de Participación Ciudadana, se manejen mediante la constitución de un Fideicomiso durante el año 2008.</w:t>
      </w:r>
    </w:p>
    <w:p w:rsidR="00BA5317" w:rsidRDefault="00061A1D" w:rsidP="00C437A3">
      <w:pPr>
        <w:jc w:val="both"/>
        <w:rPr>
          <w:rFonts w:cs="Arial"/>
          <w:sz w:val="20"/>
          <w:szCs w:val="20"/>
        </w:rPr>
      </w:pPr>
      <w:r w:rsidRPr="005F0E96">
        <w:rPr>
          <w:rFonts w:cs="Arial"/>
          <w:sz w:val="20"/>
          <w:szCs w:val="20"/>
        </w:rPr>
        <w:t>Con fecha 14 de Marzo de 2008 se constituye un Fideicomiso Irrevocable de Administración e Inversión denominado “FIDEICOMISO DE PARTICIPACIÓN CIUDADANA DEL ESTADO DE YUCATÁN” por la cantidad de $ 4</w:t>
      </w:r>
      <w:proofErr w:type="gramStart"/>
      <w:r w:rsidRPr="005F0E96">
        <w:rPr>
          <w:rFonts w:cs="Arial"/>
          <w:sz w:val="20"/>
          <w:szCs w:val="20"/>
        </w:rPr>
        <w:t>,999,999.00</w:t>
      </w:r>
      <w:proofErr w:type="gramEnd"/>
      <w:r w:rsidRPr="005F0E96">
        <w:rPr>
          <w:rFonts w:cs="Arial"/>
          <w:sz w:val="20"/>
          <w:szCs w:val="20"/>
        </w:rPr>
        <w:t xml:space="preserve"> como aportación inicial del presente Fideicomiso. </w:t>
      </w:r>
    </w:p>
    <w:p w:rsidR="001614DF" w:rsidRPr="005F0E96" w:rsidRDefault="001614DF" w:rsidP="00C437A3">
      <w:pPr>
        <w:jc w:val="both"/>
        <w:rPr>
          <w:rFonts w:cs="Arial"/>
          <w:sz w:val="20"/>
          <w:szCs w:val="20"/>
        </w:rPr>
      </w:pPr>
    </w:p>
    <w:p w:rsidR="00061A1D" w:rsidRPr="005F74FA" w:rsidRDefault="00061A1D" w:rsidP="00C437A3">
      <w:pPr>
        <w:jc w:val="both"/>
        <w:rPr>
          <w:rFonts w:cs="Arial"/>
          <w:b/>
          <w:sz w:val="20"/>
          <w:szCs w:val="20"/>
          <w:u w:val="single"/>
        </w:rPr>
      </w:pPr>
      <w:r w:rsidRPr="005F74FA">
        <w:rPr>
          <w:rFonts w:cs="Arial"/>
          <w:b/>
          <w:sz w:val="20"/>
          <w:szCs w:val="20"/>
          <w:u w:val="single"/>
        </w:rPr>
        <w:lastRenderedPageBreak/>
        <w:t>PARTES DEL FIDEICOMISO:</w:t>
      </w:r>
    </w:p>
    <w:p w:rsidR="00061A1D" w:rsidRPr="005F0E96" w:rsidRDefault="00061A1D" w:rsidP="00C437A3">
      <w:pPr>
        <w:jc w:val="both"/>
        <w:rPr>
          <w:rFonts w:cs="Arial"/>
          <w:sz w:val="20"/>
          <w:szCs w:val="20"/>
        </w:rPr>
      </w:pPr>
      <w:r w:rsidRPr="005F0E96">
        <w:rPr>
          <w:rFonts w:cs="Arial"/>
          <w:sz w:val="20"/>
          <w:szCs w:val="20"/>
        </w:rPr>
        <w:t>FIDEICOMITENTE Y FIDEICOMISARIO: Instituto Electoral y de Participación Ciudadana de Yucatán</w:t>
      </w:r>
    </w:p>
    <w:p w:rsidR="00061A1D" w:rsidRPr="005F0E96" w:rsidRDefault="00061A1D" w:rsidP="00C437A3">
      <w:pPr>
        <w:jc w:val="both"/>
        <w:rPr>
          <w:rFonts w:cs="Arial"/>
          <w:sz w:val="20"/>
          <w:szCs w:val="20"/>
        </w:rPr>
      </w:pPr>
      <w:r w:rsidRPr="005F0E96">
        <w:rPr>
          <w:rFonts w:cs="Arial"/>
          <w:sz w:val="20"/>
          <w:szCs w:val="20"/>
        </w:rPr>
        <w:t>FIDUCIARIO: HSBC MÉXICO, S.A. Institución de Banca Múltiple, Grupo Financiero HSBC, División Fiduciaria.</w:t>
      </w:r>
    </w:p>
    <w:p w:rsidR="005F0E96" w:rsidRPr="005F74FA" w:rsidRDefault="005F0E96" w:rsidP="005F0E96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5F74FA">
        <w:rPr>
          <w:rFonts w:cs="Arial"/>
          <w:b/>
          <w:sz w:val="20"/>
          <w:szCs w:val="20"/>
          <w:u w:val="single"/>
        </w:rPr>
        <w:t>FINES DEL FIDEICOMISO:</w:t>
      </w:r>
    </w:p>
    <w:p w:rsidR="00594617" w:rsidRPr="005F0E96" w:rsidRDefault="005F0E96" w:rsidP="00C437A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Fideicomiso es la creación de un fondo que será destinado siempre por Instrucciones por escrito del Comité Técnico a cubrir hasta dónde éste alcance los costos y gastos que se generen para la realización de los Plebiscitos y Referéndums previstos en el Título Segundo de la Ley de Participación Ciudadana que regula el Plebiscito, Referéndum y la Iniciativa Popular en el Estado de Yucatán. </w:t>
      </w:r>
    </w:p>
    <w:p w:rsidR="00594617" w:rsidRDefault="00594617" w:rsidP="00061A1D">
      <w:pPr>
        <w:spacing w:line="240" w:lineRule="auto"/>
        <w:jc w:val="both"/>
        <w:rPr>
          <w:rFonts w:cs="Arial"/>
          <w:b/>
          <w:sz w:val="20"/>
          <w:szCs w:val="20"/>
        </w:rPr>
      </w:pP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5F74FA">
        <w:rPr>
          <w:rFonts w:cs="Arial"/>
          <w:b/>
          <w:sz w:val="20"/>
          <w:szCs w:val="20"/>
          <w:u w:val="single"/>
        </w:rPr>
        <w:t>NOTAS DE DESGLOSE</w:t>
      </w:r>
    </w:p>
    <w:p w:rsidR="005F74FA" w:rsidRPr="005F74FA" w:rsidRDefault="005F74FA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594617" w:rsidRDefault="000A1251" w:rsidP="00E675B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E675BF">
        <w:rPr>
          <w:rFonts w:cs="Arial"/>
          <w:sz w:val="20"/>
          <w:szCs w:val="20"/>
        </w:rPr>
        <w:t>El saldo de la cu</w:t>
      </w:r>
      <w:r w:rsidR="00602DD7" w:rsidRPr="00E675BF">
        <w:rPr>
          <w:rFonts w:cs="Arial"/>
          <w:sz w:val="20"/>
          <w:szCs w:val="20"/>
        </w:rPr>
        <w:t>enta de Inversión al 3</w:t>
      </w:r>
      <w:r w:rsidR="00A9304B">
        <w:rPr>
          <w:rFonts w:cs="Arial"/>
          <w:sz w:val="20"/>
          <w:szCs w:val="20"/>
        </w:rPr>
        <w:t>1</w:t>
      </w:r>
      <w:r w:rsidR="00602DD7" w:rsidRPr="00E675BF">
        <w:rPr>
          <w:rFonts w:cs="Arial"/>
          <w:sz w:val="20"/>
          <w:szCs w:val="20"/>
        </w:rPr>
        <w:t xml:space="preserve"> de </w:t>
      </w:r>
      <w:r w:rsidR="00A9304B">
        <w:rPr>
          <w:rFonts w:cs="Arial"/>
          <w:sz w:val="20"/>
          <w:szCs w:val="20"/>
        </w:rPr>
        <w:t>dici</w:t>
      </w:r>
      <w:r w:rsidR="00D60FCA">
        <w:rPr>
          <w:rFonts w:cs="Arial"/>
          <w:sz w:val="20"/>
          <w:szCs w:val="20"/>
        </w:rPr>
        <w:t>embre</w:t>
      </w:r>
      <w:r w:rsidR="00602DD7" w:rsidRPr="00E675BF">
        <w:rPr>
          <w:rFonts w:cs="Arial"/>
          <w:sz w:val="20"/>
          <w:szCs w:val="20"/>
        </w:rPr>
        <w:t xml:space="preserve"> de 2017 </w:t>
      </w:r>
      <w:r w:rsidRPr="00E675BF">
        <w:rPr>
          <w:rFonts w:cs="Arial"/>
          <w:sz w:val="20"/>
          <w:szCs w:val="20"/>
        </w:rPr>
        <w:t xml:space="preserve">es de $ </w:t>
      </w:r>
      <w:r w:rsidR="00E07AE6">
        <w:rPr>
          <w:rFonts w:cs="Arial"/>
          <w:sz w:val="20"/>
          <w:szCs w:val="20"/>
        </w:rPr>
        <w:t>4,</w:t>
      </w:r>
      <w:r w:rsidR="00A9304B">
        <w:rPr>
          <w:rFonts w:cs="Arial"/>
          <w:sz w:val="20"/>
          <w:szCs w:val="20"/>
        </w:rPr>
        <w:t>623</w:t>
      </w:r>
      <w:r w:rsidR="00E07AE6">
        <w:rPr>
          <w:rFonts w:cs="Arial"/>
          <w:sz w:val="20"/>
          <w:szCs w:val="20"/>
        </w:rPr>
        <w:t>,7</w:t>
      </w:r>
      <w:r w:rsidR="00A9304B">
        <w:rPr>
          <w:rFonts w:cs="Arial"/>
          <w:sz w:val="20"/>
          <w:szCs w:val="20"/>
        </w:rPr>
        <w:t>65</w:t>
      </w:r>
      <w:r w:rsidR="00E07AE6">
        <w:rPr>
          <w:rFonts w:cs="Arial"/>
          <w:sz w:val="20"/>
          <w:szCs w:val="20"/>
        </w:rPr>
        <w:t>.</w:t>
      </w:r>
      <w:r w:rsidR="00A9304B">
        <w:rPr>
          <w:rFonts w:cs="Arial"/>
          <w:sz w:val="20"/>
          <w:szCs w:val="20"/>
        </w:rPr>
        <w:t>16</w:t>
      </w:r>
      <w:r w:rsidRPr="00E675BF">
        <w:rPr>
          <w:rFonts w:cs="Arial"/>
          <w:sz w:val="20"/>
          <w:szCs w:val="20"/>
        </w:rPr>
        <w:t xml:space="preserve"> </w:t>
      </w:r>
      <w:r w:rsidR="0079181D">
        <w:rPr>
          <w:rFonts w:cs="Arial"/>
          <w:sz w:val="20"/>
          <w:szCs w:val="20"/>
        </w:rPr>
        <w:t xml:space="preserve">a una tasa nominal anual </w:t>
      </w:r>
      <w:r w:rsidR="00E07AE6">
        <w:rPr>
          <w:rFonts w:cs="Arial"/>
          <w:sz w:val="20"/>
          <w:szCs w:val="20"/>
        </w:rPr>
        <w:t>del 6.1 % al cierre del c</w:t>
      </w:r>
      <w:r w:rsidR="00A9304B">
        <w:rPr>
          <w:rFonts w:cs="Arial"/>
          <w:sz w:val="20"/>
          <w:szCs w:val="20"/>
        </w:rPr>
        <w:t>ua</w:t>
      </w:r>
      <w:r w:rsidR="00E07AE6">
        <w:rPr>
          <w:rFonts w:cs="Arial"/>
          <w:sz w:val="20"/>
          <w:szCs w:val="20"/>
        </w:rPr>
        <w:t>r</w:t>
      </w:r>
      <w:r w:rsidR="00A9304B">
        <w:rPr>
          <w:rFonts w:cs="Arial"/>
          <w:sz w:val="20"/>
          <w:szCs w:val="20"/>
        </w:rPr>
        <w:t>to</w:t>
      </w:r>
      <w:r w:rsidR="00E07AE6">
        <w:rPr>
          <w:rFonts w:cs="Arial"/>
          <w:sz w:val="20"/>
          <w:szCs w:val="20"/>
        </w:rPr>
        <w:t xml:space="preserve"> trimestre</w:t>
      </w:r>
    </w:p>
    <w:p w:rsidR="005F74FA" w:rsidRDefault="005F74FA" w:rsidP="005F74FA">
      <w:pPr>
        <w:pStyle w:val="Prrafodelista"/>
        <w:spacing w:line="360" w:lineRule="auto"/>
        <w:jc w:val="both"/>
        <w:rPr>
          <w:rFonts w:cs="Arial"/>
          <w:sz w:val="20"/>
          <w:szCs w:val="20"/>
        </w:rPr>
      </w:pPr>
    </w:p>
    <w:p w:rsidR="00594617" w:rsidRDefault="00B777D5" w:rsidP="00E675B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E675BF">
        <w:rPr>
          <w:rFonts w:cs="Arial"/>
          <w:sz w:val="20"/>
          <w:szCs w:val="20"/>
        </w:rPr>
        <w:t xml:space="preserve">Los ingresos financieros del </w:t>
      </w:r>
      <w:r w:rsidR="00D60FCA">
        <w:rPr>
          <w:rFonts w:cs="Arial"/>
          <w:sz w:val="20"/>
          <w:szCs w:val="20"/>
        </w:rPr>
        <w:t>c</w:t>
      </w:r>
      <w:r w:rsidR="00A9304B">
        <w:rPr>
          <w:rFonts w:cs="Arial"/>
          <w:sz w:val="20"/>
          <w:szCs w:val="20"/>
        </w:rPr>
        <w:t>ua</w:t>
      </w:r>
      <w:r w:rsidR="00D60FCA">
        <w:rPr>
          <w:rFonts w:cs="Arial"/>
          <w:sz w:val="20"/>
          <w:szCs w:val="20"/>
        </w:rPr>
        <w:t>r</w:t>
      </w:r>
      <w:r w:rsidR="00A9304B">
        <w:rPr>
          <w:rFonts w:cs="Arial"/>
          <w:sz w:val="20"/>
          <w:szCs w:val="20"/>
        </w:rPr>
        <w:t>to</w:t>
      </w:r>
      <w:r w:rsidR="00602DD7" w:rsidRPr="00E675BF">
        <w:rPr>
          <w:rFonts w:cs="Arial"/>
          <w:sz w:val="20"/>
          <w:szCs w:val="20"/>
        </w:rPr>
        <w:t xml:space="preserve"> trimestre del 2017</w:t>
      </w:r>
      <w:r w:rsidRPr="00E675BF">
        <w:rPr>
          <w:rFonts w:cs="Arial"/>
          <w:sz w:val="20"/>
          <w:szCs w:val="20"/>
        </w:rPr>
        <w:t xml:space="preserve"> fueron por $ </w:t>
      </w:r>
      <w:r w:rsidR="00A9304B">
        <w:rPr>
          <w:rFonts w:cs="Arial"/>
          <w:sz w:val="20"/>
          <w:szCs w:val="20"/>
        </w:rPr>
        <w:t>48</w:t>
      </w:r>
      <w:r w:rsidR="00E07AE6">
        <w:rPr>
          <w:rFonts w:cs="Arial"/>
          <w:sz w:val="20"/>
          <w:szCs w:val="20"/>
        </w:rPr>
        <w:t>,</w:t>
      </w:r>
      <w:r w:rsidR="00A9304B">
        <w:rPr>
          <w:rFonts w:cs="Arial"/>
          <w:sz w:val="20"/>
          <w:szCs w:val="20"/>
        </w:rPr>
        <w:t>38</w:t>
      </w:r>
      <w:r w:rsidR="00E07AE6">
        <w:rPr>
          <w:rFonts w:cs="Arial"/>
          <w:sz w:val="20"/>
          <w:szCs w:val="20"/>
        </w:rPr>
        <w:t>7.</w:t>
      </w:r>
      <w:r w:rsidR="00A9304B">
        <w:rPr>
          <w:rFonts w:cs="Arial"/>
          <w:sz w:val="20"/>
          <w:szCs w:val="20"/>
        </w:rPr>
        <w:t>2</w:t>
      </w:r>
      <w:r w:rsidR="00E07AE6">
        <w:rPr>
          <w:rFonts w:cs="Arial"/>
          <w:sz w:val="20"/>
          <w:szCs w:val="20"/>
        </w:rPr>
        <w:t>1</w:t>
      </w:r>
      <w:r w:rsidR="00A9304B">
        <w:rPr>
          <w:rFonts w:cs="Arial"/>
          <w:sz w:val="20"/>
          <w:szCs w:val="20"/>
        </w:rPr>
        <w:t xml:space="preserve"> (no se registran los intereses de diciembre ya que no se cuenta con los estados de cuenta bancarios a la fecha del cierre contable).</w:t>
      </w:r>
    </w:p>
    <w:p w:rsidR="005F74FA" w:rsidRPr="005F74FA" w:rsidRDefault="005F74FA" w:rsidP="005F74FA">
      <w:pPr>
        <w:pStyle w:val="Prrafodelista"/>
        <w:rPr>
          <w:rFonts w:cs="Arial"/>
          <w:sz w:val="20"/>
          <w:szCs w:val="20"/>
        </w:rPr>
      </w:pP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NOTAS DE MEMORIA</w:t>
      </w:r>
    </w:p>
    <w:p w:rsidR="002C58EF" w:rsidRDefault="002C58E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2C58EF" w:rsidRPr="001614DF" w:rsidRDefault="00AC6200" w:rsidP="006F301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2C58EF" w:rsidRPr="001614DF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2C58EF" w:rsidRPr="001614DF">
        <w:rPr>
          <w:rFonts w:cs="Arial"/>
          <w:sz w:val="20"/>
          <w:szCs w:val="20"/>
        </w:rPr>
        <w:t>verdad declaramos que</w:t>
      </w:r>
      <w:r w:rsidR="000A12C1">
        <w:rPr>
          <w:rFonts w:cs="Arial"/>
          <w:sz w:val="20"/>
          <w:szCs w:val="20"/>
        </w:rPr>
        <w:t xml:space="preserve"> los Estados Financieros y sus N</w:t>
      </w:r>
      <w:r w:rsidR="002C58EF" w:rsidRPr="001614DF">
        <w:rPr>
          <w:rFonts w:cs="Arial"/>
          <w:sz w:val="20"/>
          <w:szCs w:val="20"/>
        </w:rPr>
        <w:t>otas son razonablemente correctos y responsabilidad del emisor.</w:t>
      </w:r>
    </w:p>
    <w:sectPr w:rsidR="002C58EF" w:rsidRPr="001614DF" w:rsidSect="001614DF">
      <w:footerReference w:type="default" r:id="rId8"/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3" w:rsidRDefault="009344D3" w:rsidP="00C437A3">
      <w:pPr>
        <w:spacing w:after="0" w:line="240" w:lineRule="auto"/>
      </w:pPr>
      <w:r>
        <w:separator/>
      </w:r>
    </w:p>
  </w:endnote>
  <w:endnote w:type="continuationSeparator" w:id="0">
    <w:p w:rsidR="009344D3" w:rsidRDefault="009344D3" w:rsidP="00C4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157111"/>
      <w:docPartObj>
        <w:docPartGallery w:val="Page Numbers (Bottom of Page)"/>
        <w:docPartUnique/>
      </w:docPartObj>
    </w:sdtPr>
    <w:sdtEndPr/>
    <w:sdtContent>
      <w:p w:rsidR="00C437A3" w:rsidRDefault="00C437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00" w:rsidRPr="00AC6200">
          <w:rPr>
            <w:noProof/>
            <w:lang w:val="es-ES"/>
          </w:rPr>
          <w:t>2</w:t>
        </w:r>
        <w:r>
          <w:fldChar w:fldCharType="end"/>
        </w:r>
      </w:p>
    </w:sdtContent>
  </w:sdt>
  <w:p w:rsidR="00C437A3" w:rsidRDefault="00C437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3" w:rsidRDefault="009344D3" w:rsidP="00C437A3">
      <w:pPr>
        <w:spacing w:after="0" w:line="240" w:lineRule="auto"/>
      </w:pPr>
      <w:r>
        <w:separator/>
      </w:r>
    </w:p>
  </w:footnote>
  <w:footnote w:type="continuationSeparator" w:id="0">
    <w:p w:rsidR="009344D3" w:rsidRDefault="009344D3" w:rsidP="00C4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1A"/>
    <w:multiLevelType w:val="hybridMultilevel"/>
    <w:tmpl w:val="3A344EC8"/>
    <w:lvl w:ilvl="0" w:tplc="B5484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61A1D"/>
    <w:rsid w:val="000773CA"/>
    <w:rsid w:val="000A1251"/>
    <w:rsid w:val="000A12C1"/>
    <w:rsid w:val="000C7492"/>
    <w:rsid w:val="00142199"/>
    <w:rsid w:val="001614DF"/>
    <w:rsid w:val="00193A59"/>
    <w:rsid w:val="001D6145"/>
    <w:rsid w:val="001E50C5"/>
    <w:rsid w:val="001E7C0E"/>
    <w:rsid w:val="00263CA4"/>
    <w:rsid w:val="002C58EF"/>
    <w:rsid w:val="003129FF"/>
    <w:rsid w:val="003E2DC9"/>
    <w:rsid w:val="003E5BEC"/>
    <w:rsid w:val="00424B74"/>
    <w:rsid w:val="005620D4"/>
    <w:rsid w:val="0057307E"/>
    <w:rsid w:val="00594617"/>
    <w:rsid w:val="005F0E96"/>
    <w:rsid w:val="005F74FA"/>
    <w:rsid w:val="00602DD7"/>
    <w:rsid w:val="006052A6"/>
    <w:rsid w:val="00626DFB"/>
    <w:rsid w:val="0067300E"/>
    <w:rsid w:val="006F0BF0"/>
    <w:rsid w:val="006F3019"/>
    <w:rsid w:val="007772BE"/>
    <w:rsid w:val="0079181D"/>
    <w:rsid w:val="007A3B49"/>
    <w:rsid w:val="007F0362"/>
    <w:rsid w:val="008C7F33"/>
    <w:rsid w:val="00915AD7"/>
    <w:rsid w:val="00917213"/>
    <w:rsid w:val="009344D3"/>
    <w:rsid w:val="009A4243"/>
    <w:rsid w:val="009F0748"/>
    <w:rsid w:val="00A76127"/>
    <w:rsid w:val="00A9304B"/>
    <w:rsid w:val="00AC6200"/>
    <w:rsid w:val="00B56042"/>
    <w:rsid w:val="00B62F6A"/>
    <w:rsid w:val="00B777D5"/>
    <w:rsid w:val="00BA5317"/>
    <w:rsid w:val="00BE3121"/>
    <w:rsid w:val="00BF6CAF"/>
    <w:rsid w:val="00C1308F"/>
    <w:rsid w:val="00C437A3"/>
    <w:rsid w:val="00CB2208"/>
    <w:rsid w:val="00D169B9"/>
    <w:rsid w:val="00D60FCA"/>
    <w:rsid w:val="00D83798"/>
    <w:rsid w:val="00E07AE6"/>
    <w:rsid w:val="00E36CEB"/>
    <w:rsid w:val="00E675BF"/>
    <w:rsid w:val="00F57685"/>
    <w:rsid w:val="00F77405"/>
    <w:rsid w:val="00FA6772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75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A3"/>
  </w:style>
  <w:style w:type="paragraph" w:styleId="Piedepgina">
    <w:name w:val="footer"/>
    <w:basedOn w:val="Normal"/>
    <w:link w:val="PiedepginaCar"/>
    <w:uiPriority w:val="99"/>
    <w:unhideWhenUsed/>
    <w:rsid w:val="00C4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75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A3"/>
  </w:style>
  <w:style w:type="paragraph" w:styleId="Piedepgina">
    <w:name w:val="footer"/>
    <w:basedOn w:val="Normal"/>
    <w:link w:val="PiedepginaCar"/>
    <w:uiPriority w:val="99"/>
    <w:unhideWhenUsed/>
    <w:rsid w:val="00C4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cp:lastPrinted>2017-01-20T21:22:00Z</cp:lastPrinted>
  <dcterms:created xsi:type="dcterms:W3CDTF">2018-02-23T18:36:00Z</dcterms:created>
  <dcterms:modified xsi:type="dcterms:W3CDTF">2018-03-13T16:18:00Z</dcterms:modified>
</cp:coreProperties>
</file>