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D7" w:rsidRPr="00BC7BD7" w:rsidRDefault="00B6165C" w:rsidP="00BC7BD7">
      <w:pPr>
        <w:spacing w:line="240" w:lineRule="auto"/>
        <w:jc w:val="center"/>
        <w:rPr>
          <w:rFonts w:cstheme="minorHAnsi"/>
          <w:b/>
          <w:sz w:val="20"/>
          <w:szCs w:val="20"/>
        </w:rPr>
      </w:pPr>
      <w:r>
        <w:rPr>
          <w:rFonts w:cstheme="minorHAnsi"/>
          <w:b/>
          <w:sz w:val="20"/>
          <w:szCs w:val="20"/>
        </w:rPr>
        <w:t>Cuenta Pública 2017</w:t>
      </w:r>
    </w:p>
    <w:p w:rsidR="00BC7BD7" w:rsidRPr="00BC7BD7" w:rsidRDefault="00BC7BD7" w:rsidP="00BC7BD7">
      <w:pPr>
        <w:spacing w:line="240" w:lineRule="auto"/>
        <w:jc w:val="center"/>
        <w:rPr>
          <w:rFonts w:cstheme="minorHAnsi"/>
          <w:b/>
          <w:sz w:val="20"/>
          <w:szCs w:val="20"/>
        </w:rPr>
      </w:pPr>
      <w:r w:rsidRPr="00BC7BD7">
        <w:rPr>
          <w:rFonts w:cstheme="minorHAnsi"/>
          <w:b/>
          <w:sz w:val="20"/>
          <w:szCs w:val="20"/>
        </w:rPr>
        <w:t>Notas a los Estados Financieros</w:t>
      </w:r>
    </w:p>
    <w:p w:rsidR="00BC7BD7" w:rsidRPr="00BC7BD7" w:rsidRDefault="00B6165C" w:rsidP="00BC7BD7">
      <w:pPr>
        <w:spacing w:line="240" w:lineRule="auto"/>
        <w:jc w:val="center"/>
        <w:rPr>
          <w:rFonts w:cstheme="minorHAnsi"/>
          <w:b/>
          <w:sz w:val="20"/>
          <w:szCs w:val="20"/>
        </w:rPr>
      </w:pPr>
      <w:r>
        <w:rPr>
          <w:rFonts w:cstheme="minorHAnsi"/>
          <w:b/>
          <w:sz w:val="20"/>
          <w:szCs w:val="20"/>
        </w:rPr>
        <w:t>Al 31 de Diciembre de 2017</w:t>
      </w:r>
    </w:p>
    <w:p w:rsidR="00BC7BD7" w:rsidRPr="00BC7BD7" w:rsidRDefault="00BC7BD7" w:rsidP="00BC7BD7">
      <w:pPr>
        <w:spacing w:line="240" w:lineRule="auto"/>
        <w:jc w:val="center"/>
        <w:rPr>
          <w:rFonts w:cstheme="minorHAnsi"/>
          <w:b/>
          <w:sz w:val="20"/>
          <w:szCs w:val="20"/>
        </w:rPr>
      </w:pPr>
      <w:r w:rsidRPr="00BC7BD7">
        <w:rPr>
          <w:rFonts w:cstheme="minorHAnsi"/>
          <w:b/>
          <w:sz w:val="20"/>
          <w:szCs w:val="20"/>
        </w:rPr>
        <w:t>(Pesos)</w:t>
      </w:r>
    </w:p>
    <w:p w:rsidR="00BC7BD7" w:rsidRPr="00BC7BD7" w:rsidRDefault="00BC7BD7" w:rsidP="00BC7BD7">
      <w:pPr>
        <w:spacing w:line="240" w:lineRule="auto"/>
        <w:rPr>
          <w:rFonts w:cstheme="minorHAnsi"/>
          <w:b/>
          <w:sz w:val="20"/>
          <w:szCs w:val="20"/>
        </w:rPr>
      </w:pPr>
    </w:p>
    <w:p w:rsidR="00BC7BD7" w:rsidRPr="00BC7BD7" w:rsidRDefault="00BC7BD7" w:rsidP="00BC7BD7">
      <w:pPr>
        <w:spacing w:line="240" w:lineRule="auto"/>
        <w:rPr>
          <w:rFonts w:cstheme="minorHAnsi"/>
          <w:b/>
          <w:sz w:val="20"/>
          <w:szCs w:val="20"/>
        </w:rPr>
      </w:pPr>
      <w:r w:rsidRPr="00BC7BD7">
        <w:rPr>
          <w:rFonts w:cstheme="minorHAnsi"/>
          <w:b/>
          <w:sz w:val="20"/>
          <w:szCs w:val="20"/>
        </w:rPr>
        <w:t xml:space="preserve">Ente Público:  </w:t>
      </w:r>
      <w:r w:rsidR="006D0476" w:rsidRPr="006D0476">
        <w:rPr>
          <w:rFonts w:cstheme="minorHAnsi"/>
          <w:b/>
          <w:sz w:val="20"/>
          <w:szCs w:val="20"/>
        </w:rPr>
        <w:t>FIDEICOMISO FONDO INTEGRAL PARA EL DESARROLLO ECONÓMICO DEL ESTADO DE YUCATÁN</w:t>
      </w:r>
    </w:p>
    <w:tbl>
      <w:tblPr>
        <w:tblpPr w:leftFromText="141" w:rightFromText="141" w:vertAnchor="page" w:horzAnchor="margin" w:tblpY="5791"/>
        <w:tblW w:w="12081" w:type="dxa"/>
        <w:tblCellMar>
          <w:left w:w="70" w:type="dxa"/>
          <w:right w:w="70" w:type="dxa"/>
        </w:tblCellMar>
        <w:tblLook w:val="04A0" w:firstRow="1" w:lastRow="0" w:firstColumn="1" w:lastColumn="0" w:noHBand="0" w:noVBand="1"/>
      </w:tblPr>
      <w:tblGrid>
        <w:gridCol w:w="146"/>
        <w:gridCol w:w="2154"/>
        <w:gridCol w:w="3038"/>
        <w:gridCol w:w="2571"/>
        <w:gridCol w:w="186"/>
        <w:gridCol w:w="186"/>
        <w:gridCol w:w="3508"/>
        <w:gridCol w:w="146"/>
        <w:gridCol w:w="146"/>
      </w:tblGrid>
      <w:tr w:rsidR="00B2766F" w:rsidRPr="00BC7BD7" w:rsidTr="00B2766F">
        <w:trPr>
          <w:trHeight w:val="439"/>
        </w:trPr>
        <w:tc>
          <w:tcPr>
            <w:tcW w:w="12081" w:type="dxa"/>
            <w:gridSpan w:val="9"/>
            <w:tcBorders>
              <w:top w:val="nil"/>
              <w:left w:val="nil"/>
              <w:bottom w:val="nil"/>
              <w:right w:val="nil"/>
            </w:tcBorders>
            <w:shd w:val="clear" w:color="auto" w:fill="auto"/>
            <w:hideMark/>
          </w:tcPr>
          <w:p w:rsidR="00B2766F" w:rsidRPr="00BC7BD7" w:rsidRDefault="00B2766F" w:rsidP="00B2766F">
            <w:pPr>
              <w:spacing w:after="0" w:line="240" w:lineRule="auto"/>
              <w:jc w:val="both"/>
              <w:rPr>
                <w:rFonts w:eastAsia="Times New Roman" w:cs="Arial"/>
                <w:sz w:val="20"/>
                <w:szCs w:val="20"/>
                <w:lang w:eastAsia="es-MX"/>
              </w:rPr>
            </w:pPr>
            <w:r w:rsidRPr="00BC7BD7">
              <w:rPr>
                <w:rFonts w:eastAsia="Times New Roman" w:cs="Arial"/>
                <w:sz w:val="20"/>
                <w:szCs w:val="20"/>
                <w:lang w:eastAsia="es-MX"/>
              </w:rPr>
              <w:t>Este rubro está integrado por las cuentas bancarias del FIDEY y de los programas federales en los que participa como organismo intermedio y se desglosa de la siguiente manera:</w:t>
            </w:r>
          </w:p>
        </w:tc>
      </w:tr>
      <w:tr w:rsidR="00B2766F" w:rsidRPr="00BC7BD7" w:rsidTr="00B2766F">
        <w:trPr>
          <w:trHeight w:val="214"/>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164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766F" w:rsidRPr="00BC7BD7" w:rsidRDefault="00B2766F" w:rsidP="00B2766F">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CUENTAS DE CHEQUES</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14"/>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8" w:space="0" w:color="auto"/>
              <w:right w:val="single" w:sz="8" w:space="0" w:color="auto"/>
            </w:tcBorders>
            <w:shd w:val="clear" w:color="auto" w:fill="auto"/>
            <w:noWrap/>
            <w:vAlign w:val="bottom"/>
            <w:hideMark/>
          </w:tcPr>
          <w:p w:rsidR="00B2766F" w:rsidRPr="00BC7BD7" w:rsidRDefault="00B2766F" w:rsidP="00B2766F">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 Cuenta</w:t>
            </w:r>
          </w:p>
        </w:tc>
        <w:tc>
          <w:tcPr>
            <w:tcW w:w="3038" w:type="dxa"/>
            <w:tcBorders>
              <w:top w:val="nil"/>
              <w:left w:val="nil"/>
              <w:bottom w:val="single" w:sz="8" w:space="0" w:color="auto"/>
              <w:right w:val="single" w:sz="8" w:space="0" w:color="auto"/>
            </w:tcBorders>
            <w:shd w:val="clear" w:color="auto" w:fill="auto"/>
            <w:noWrap/>
            <w:vAlign w:val="bottom"/>
            <w:hideMark/>
          </w:tcPr>
          <w:p w:rsidR="00B2766F" w:rsidRPr="00BC7BD7" w:rsidRDefault="00B2766F" w:rsidP="00B2766F">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Banco</w:t>
            </w:r>
          </w:p>
        </w:tc>
        <w:tc>
          <w:tcPr>
            <w:tcW w:w="294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B2766F" w:rsidRPr="00BC7BD7" w:rsidRDefault="00B2766F" w:rsidP="00B2766F">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Programa</w:t>
            </w:r>
          </w:p>
        </w:tc>
        <w:tc>
          <w:tcPr>
            <w:tcW w:w="3508" w:type="dxa"/>
            <w:tcBorders>
              <w:top w:val="nil"/>
              <w:left w:val="nil"/>
              <w:bottom w:val="single" w:sz="8" w:space="0" w:color="auto"/>
              <w:right w:val="single" w:sz="8" w:space="0" w:color="auto"/>
            </w:tcBorders>
            <w:shd w:val="clear" w:color="auto" w:fill="auto"/>
            <w:noWrap/>
            <w:vAlign w:val="bottom"/>
            <w:hideMark/>
          </w:tcPr>
          <w:p w:rsidR="00B2766F" w:rsidRPr="00BC7BD7" w:rsidRDefault="00B2766F" w:rsidP="00B2766F">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Importe</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jc w:val="right"/>
              <w:rPr>
                <w:rFonts w:eastAsia="Times New Roman" w:cs="Arial"/>
                <w:sz w:val="20"/>
                <w:szCs w:val="20"/>
                <w:lang w:eastAsia="es-MX"/>
              </w:rPr>
            </w:pPr>
            <w:r w:rsidRPr="00BC7BD7">
              <w:rPr>
                <w:rFonts w:eastAsia="Times New Roman" w:cs="Arial"/>
                <w:sz w:val="20"/>
                <w:szCs w:val="20"/>
                <w:lang w:eastAsia="es-MX"/>
              </w:rPr>
              <w:t>135781280</w:t>
            </w:r>
          </w:p>
        </w:tc>
        <w:tc>
          <w:tcPr>
            <w:tcW w:w="3038"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BBVA Bancomer</w:t>
            </w:r>
          </w:p>
        </w:tc>
        <w:tc>
          <w:tcPr>
            <w:tcW w:w="2571" w:type="dxa"/>
            <w:tcBorders>
              <w:top w:val="nil"/>
              <w:left w:val="nil"/>
              <w:bottom w:val="single" w:sz="4" w:space="0" w:color="auto"/>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FIDEY</w:t>
            </w:r>
          </w:p>
        </w:tc>
        <w:tc>
          <w:tcPr>
            <w:tcW w:w="186" w:type="dxa"/>
            <w:tcBorders>
              <w:top w:val="nil"/>
              <w:left w:val="nil"/>
              <w:bottom w:val="single" w:sz="4" w:space="0" w:color="auto"/>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86"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508" w:type="dxa"/>
            <w:tcBorders>
              <w:top w:val="nil"/>
              <w:left w:val="nil"/>
              <w:bottom w:val="single" w:sz="4" w:space="0" w:color="auto"/>
              <w:right w:val="single" w:sz="8" w:space="0" w:color="auto"/>
            </w:tcBorders>
            <w:shd w:val="clear" w:color="auto" w:fill="auto"/>
            <w:noWrap/>
            <w:vAlign w:val="bottom"/>
            <w:hideMark/>
          </w:tcPr>
          <w:p w:rsidR="00B2766F" w:rsidRPr="00BC7BD7" w:rsidRDefault="00B2766F" w:rsidP="00F56DDD">
            <w:pPr>
              <w:spacing w:after="0" w:line="240" w:lineRule="auto"/>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sidR="00F56DDD">
              <w:rPr>
                <w:rFonts w:eastAsia="Times New Roman" w:cs="Times New Roman"/>
                <w:color w:val="000000"/>
                <w:sz w:val="20"/>
                <w:szCs w:val="20"/>
                <w:lang w:eastAsia="es-MX"/>
              </w:rPr>
              <w:t>2,258,315.35</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jc w:val="right"/>
              <w:rPr>
                <w:rFonts w:eastAsia="Times New Roman" w:cs="Arial"/>
                <w:sz w:val="20"/>
                <w:szCs w:val="20"/>
                <w:lang w:eastAsia="es-MX"/>
              </w:rPr>
            </w:pPr>
            <w:r w:rsidRPr="00BC7BD7">
              <w:rPr>
                <w:rFonts w:eastAsia="Times New Roman" w:cs="Arial"/>
                <w:sz w:val="20"/>
                <w:szCs w:val="20"/>
                <w:lang w:eastAsia="es-MX"/>
              </w:rPr>
              <w:t>551904556</w:t>
            </w:r>
          </w:p>
        </w:tc>
        <w:tc>
          <w:tcPr>
            <w:tcW w:w="3038"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Banorte</w:t>
            </w:r>
          </w:p>
        </w:tc>
        <w:tc>
          <w:tcPr>
            <w:tcW w:w="2571" w:type="dxa"/>
            <w:tcBorders>
              <w:top w:val="nil"/>
              <w:left w:val="nil"/>
              <w:bottom w:val="single" w:sz="4" w:space="0" w:color="auto"/>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MI TORTILLA</w:t>
            </w:r>
          </w:p>
        </w:tc>
        <w:tc>
          <w:tcPr>
            <w:tcW w:w="186" w:type="dxa"/>
            <w:tcBorders>
              <w:top w:val="nil"/>
              <w:left w:val="nil"/>
              <w:bottom w:val="single" w:sz="4" w:space="0" w:color="auto"/>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86"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508" w:type="dxa"/>
            <w:tcBorders>
              <w:top w:val="nil"/>
              <w:left w:val="nil"/>
              <w:bottom w:val="single" w:sz="4" w:space="0" w:color="auto"/>
              <w:right w:val="single" w:sz="8" w:space="0" w:color="auto"/>
            </w:tcBorders>
            <w:shd w:val="clear" w:color="auto" w:fill="auto"/>
            <w:noWrap/>
            <w:vAlign w:val="bottom"/>
            <w:hideMark/>
          </w:tcPr>
          <w:p w:rsidR="00B2766F" w:rsidRPr="00BC7BD7" w:rsidRDefault="00F56DDD" w:rsidP="00B2766F">
            <w:pPr>
              <w:spacing w:after="0" w:line="240" w:lineRule="auto"/>
              <w:rPr>
                <w:rFonts w:eastAsia="Times New Roman" w:cs="Times New Roman"/>
                <w:color w:val="000000"/>
                <w:sz w:val="20"/>
                <w:szCs w:val="20"/>
                <w:lang w:eastAsia="es-MX"/>
              </w:rPr>
            </w:pPr>
            <w:r>
              <w:rPr>
                <w:rFonts w:eastAsia="Times New Roman" w:cs="Times New Roman"/>
                <w:color w:val="000000"/>
                <w:sz w:val="20"/>
                <w:szCs w:val="20"/>
                <w:lang w:eastAsia="es-MX"/>
              </w:rPr>
              <w:t xml:space="preserve">           1,134,557.41</w:t>
            </w:r>
            <w:r w:rsidR="00B2766F" w:rsidRPr="00BC7BD7">
              <w:rPr>
                <w:rFonts w:eastAsia="Times New Roman" w:cs="Times New Roman"/>
                <w:color w:val="000000"/>
                <w:sz w:val="20"/>
                <w:szCs w:val="20"/>
                <w:lang w:eastAsia="es-MX"/>
              </w:rPr>
              <w:t xml:space="preserve">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jc w:val="right"/>
              <w:rPr>
                <w:rFonts w:eastAsia="Times New Roman" w:cs="Arial"/>
                <w:sz w:val="20"/>
                <w:szCs w:val="20"/>
                <w:lang w:eastAsia="es-MX"/>
              </w:rPr>
            </w:pPr>
            <w:r w:rsidRPr="00BC7BD7">
              <w:rPr>
                <w:rFonts w:eastAsia="Times New Roman" w:cs="Arial"/>
                <w:sz w:val="20"/>
                <w:szCs w:val="20"/>
                <w:lang w:eastAsia="es-MX"/>
              </w:rPr>
              <w:t>158716447</w:t>
            </w:r>
          </w:p>
        </w:tc>
        <w:tc>
          <w:tcPr>
            <w:tcW w:w="3038"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BBVA Bancomer</w:t>
            </w:r>
          </w:p>
        </w:tc>
        <w:tc>
          <w:tcPr>
            <w:tcW w:w="2757" w:type="dxa"/>
            <w:gridSpan w:val="2"/>
            <w:tcBorders>
              <w:top w:val="single" w:sz="4" w:space="0" w:color="auto"/>
              <w:left w:val="single" w:sz="4" w:space="0" w:color="auto"/>
              <w:bottom w:val="single" w:sz="4" w:space="0" w:color="auto"/>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CAPITAL SEMILLA</w:t>
            </w:r>
          </w:p>
        </w:tc>
        <w:tc>
          <w:tcPr>
            <w:tcW w:w="186"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508" w:type="dxa"/>
            <w:tcBorders>
              <w:top w:val="nil"/>
              <w:left w:val="nil"/>
              <w:bottom w:val="single" w:sz="4" w:space="0" w:color="auto"/>
              <w:right w:val="single" w:sz="8" w:space="0" w:color="auto"/>
            </w:tcBorders>
            <w:shd w:val="clear" w:color="auto" w:fill="auto"/>
            <w:noWrap/>
            <w:vAlign w:val="bottom"/>
            <w:hideMark/>
          </w:tcPr>
          <w:p w:rsidR="00B2766F" w:rsidRPr="00BC7BD7" w:rsidRDefault="00B2766F" w:rsidP="00B2766F">
            <w:pPr>
              <w:spacing w:after="0" w:line="240" w:lineRule="auto"/>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155,699.11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jc w:val="right"/>
              <w:rPr>
                <w:rFonts w:eastAsia="Times New Roman" w:cs="Arial"/>
                <w:sz w:val="20"/>
                <w:szCs w:val="20"/>
                <w:lang w:eastAsia="es-MX"/>
              </w:rPr>
            </w:pPr>
            <w:r w:rsidRPr="00BC7BD7">
              <w:rPr>
                <w:rFonts w:eastAsia="Times New Roman" w:cs="Arial"/>
                <w:sz w:val="20"/>
                <w:szCs w:val="20"/>
                <w:lang w:eastAsia="es-MX"/>
              </w:rPr>
              <w:t>575928651</w:t>
            </w:r>
          </w:p>
        </w:tc>
        <w:tc>
          <w:tcPr>
            <w:tcW w:w="3038"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Banorte</w:t>
            </w:r>
          </w:p>
        </w:tc>
        <w:tc>
          <w:tcPr>
            <w:tcW w:w="2757" w:type="dxa"/>
            <w:gridSpan w:val="2"/>
            <w:tcBorders>
              <w:top w:val="single" w:sz="4" w:space="0" w:color="auto"/>
              <w:left w:val="single" w:sz="4" w:space="0" w:color="auto"/>
              <w:bottom w:val="single" w:sz="4" w:space="0" w:color="auto"/>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FONDO PYME 2008</w:t>
            </w:r>
          </w:p>
        </w:tc>
        <w:tc>
          <w:tcPr>
            <w:tcW w:w="186"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508" w:type="dxa"/>
            <w:tcBorders>
              <w:top w:val="nil"/>
              <w:left w:val="nil"/>
              <w:bottom w:val="single" w:sz="4" w:space="0" w:color="auto"/>
              <w:right w:val="single" w:sz="8" w:space="0" w:color="auto"/>
            </w:tcBorders>
            <w:shd w:val="clear" w:color="auto" w:fill="auto"/>
            <w:noWrap/>
            <w:vAlign w:val="bottom"/>
            <w:hideMark/>
          </w:tcPr>
          <w:p w:rsidR="00B2766F" w:rsidRPr="00BC7BD7" w:rsidRDefault="00F56DDD" w:rsidP="00B2766F">
            <w:pPr>
              <w:spacing w:after="0" w:line="240" w:lineRule="auto"/>
              <w:rPr>
                <w:rFonts w:eastAsia="Times New Roman" w:cs="Times New Roman"/>
                <w:color w:val="000000"/>
                <w:sz w:val="20"/>
                <w:szCs w:val="20"/>
                <w:lang w:eastAsia="es-MX"/>
              </w:rPr>
            </w:pPr>
            <w:r>
              <w:rPr>
                <w:rFonts w:eastAsia="Times New Roman" w:cs="Times New Roman"/>
                <w:color w:val="000000"/>
                <w:sz w:val="20"/>
                <w:szCs w:val="20"/>
                <w:lang w:eastAsia="es-MX"/>
              </w:rPr>
              <w:t xml:space="preserve">           5,17</w:t>
            </w:r>
            <w:r w:rsidR="00B2766F" w:rsidRPr="00BC7BD7">
              <w:rPr>
                <w:rFonts w:eastAsia="Times New Roman" w:cs="Times New Roman"/>
                <w:color w:val="000000"/>
                <w:sz w:val="20"/>
                <w:szCs w:val="20"/>
                <w:lang w:eastAsia="es-MX"/>
              </w:rPr>
              <w:t xml:space="preserve">6,539.06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jc w:val="right"/>
              <w:rPr>
                <w:rFonts w:eastAsia="Times New Roman" w:cs="Arial"/>
                <w:sz w:val="20"/>
                <w:szCs w:val="20"/>
                <w:lang w:eastAsia="es-MX"/>
              </w:rPr>
            </w:pPr>
            <w:r w:rsidRPr="00BC7BD7">
              <w:rPr>
                <w:rFonts w:eastAsia="Times New Roman" w:cs="Arial"/>
                <w:sz w:val="20"/>
                <w:szCs w:val="20"/>
                <w:lang w:eastAsia="es-MX"/>
              </w:rPr>
              <w:t>622783464</w:t>
            </w:r>
          </w:p>
        </w:tc>
        <w:tc>
          <w:tcPr>
            <w:tcW w:w="3038"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Banorte</w:t>
            </w:r>
          </w:p>
        </w:tc>
        <w:tc>
          <w:tcPr>
            <w:tcW w:w="29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PROY. CAPITAL SEMILLA 2010</w:t>
            </w:r>
          </w:p>
        </w:tc>
        <w:tc>
          <w:tcPr>
            <w:tcW w:w="3508" w:type="dxa"/>
            <w:tcBorders>
              <w:top w:val="nil"/>
              <w:left w:val="nil"/>
              <w:bottom w:val="single" w:sz="4" w:space="0" w:color="auto"/>
              <w:right w:val="single" w:sz="8" w:space="0" w:color="auto"/>
            </w:tcBorders>
            <w:shd w:val="clear" w:color="auto" w:fill="auto"/>
            <w:noWrap/>
            <w:vAlign w:val="bottom"/>
            <w:hideMark/>
          </w:tcPr>
          <w:p w:rsidR="00B2766F" w:rsidRPr="00BC7BD7" w:rsidRDefault="00B2766F" w:rsidP="00F56DDD">
            <w:pPr>
              <w:spacing w:after="0" w:line="240" w:lineRule="auto"/>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81,</w:t>
            </w:r>
            <w:r w:rsidR="00F56DDD">
              <w:rPr>
                <w:rFonts w:eastAsia="Times New Roman" w:cs="Times New Roman"/>
                <w:color w:val="000000"/>
                <w:sz w:val="20"/>
                <w:szCs w:val="20"/>
                <w:lang w:eastAsia="es-MX"/>
              </w:rPr>
              <w:t>304.22</w:t>
            </w:r>
            <w:r w:rsidRPr="00BC7BD7">
              <w:rPr>
                <w:rFonts w:eastAsia="Times New Roman" w:cs="Times New Roman"/>
                <w:color w:val="000000"/>
                <w:sz w:val="20"/>
                <w:szCs w:val="20"/>
                <w:lang w:eastAsia="es-MX"/>
              </w:rPr>
              <w:t xml:space="preserve">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jc w:val="right"/>
              <w:rPr>
                <w:rFonts w:eastAsia="Times New Roman" w:cs="Arial"/>
                <w:sz w:val="20"/>
                <w:szCs w:val="20"/>
                <w:lang w:eastAsia="es-MX"/>
              </w:rPr>
            </w:pPr>
            <w:r w:rsidRPr="00BC7BD7">
              <w:rPr>
                <w:rFonts w:eastAsia="Times New Roman" w:cs="Arial"/>
                <w:sz w:val="20"/>
                <w:szCs w:val="20"/>
                <w:lang w:eastAsia="es-MX"/>
              </w:rPr>
              <w:t>628538684</w:t>
            </w:r>
          </w:p>
        </w:tc>
        <w:tc>
          <w:tcPr>
            <w:tcW w:w="3038" w:type="dxa"/>
            <w:tcBorders>
              <w:top w:val="nil"/>
              <w:left w:val="nil"/>
              <w:bottom w:val="single" w:sz="4"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Banorte</w:t>
            </w:r>
          </w:p>
        </w:tc>
        <w:tc>
          <w:tcPr>
            <w:tcW w:w="29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PROG "ZONAS MARGINADAS 2010</w:t>
            </w:r>
          </w:p>
        </w:tc>
        <w:tc>
          <w:tcPr>
            <w:tcW w:w="3508" w:type="dxa"/>
            <w:tcBorders>
              <w:top w:val="nil"/>
              <w:left w:val="nil"/>
              <w:bottom w:val="single" w:sz="4" w:space="0" w:color="auto"/>
              <w:right w:val="single" w:sz="8" w:space="0" w:color="auto"/>
            </w:tcBorders>
            <w:shd w:val="clear" w:color="auto" w:fill="auto"/>
            <w:noWrap/>
            <w:vAlign w:val="bottom"/>
            <w:hideMark/>
          </w:tcPr>
          <w:p w:rsidR="00B2766F" w:rsidRPr="00BC7BD7" w:rsidRDefault="00B2766F" w:rsidP="00B2766F">
            <w:pPr>
              <w:spacing w:after="0" w:line="240" w:lineRule="auto"/>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212,013.91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single" w:sz="8" w:space="0" w:color="auto"/>
              <w:bottom w:val="nil"/>
              <w:right w:val="single" w:sz="4" w:space="0" w:color="auto"/>
            </w:tcBorders>
            <w:shd w:val="clear" w:color="auto" w:fill="auto"/>
            <w:noWrap/>
            <w:vAlign w:val="bottom"/>
            <w:hideMark/>
          </w:tcPr>
          <w:p w:rsidR="00B2766F" w:rsidRPr="00BC7BD7" w:rsidRDefault="00B2766F" w:rsidP="00B2766F">
            <w:pPr>
              <w:spacing w:after="0" w:line="240" w:lineRule="auto"/>
              <w:jc w:val="right"/>
              <w:rPr>
                <w:rFonts w:eastAsia="Times New Roman" w:cs="Arial"/>
                <w:sz w:val="20"/>
                <w:szCs w:val="20"/>
                <w:lang w:eastAsia="es-MX"/>
              </w:rPr>
            </w:pPr>
            <w:r w:rsidRPr="00BC7BD7">
              <w:rPr>
                <w:rFonts w:eastAsia="Times New Roman" w:cs="Arial"/>
                <w:sz w:val="20"/>
                <w:szCs w:val="20"/>
                <w:lang w:eastAsia="es-MX"/>
              </w:rPr>
              <w:t>661758199</w:t>
            </w:r>
          </w:p>
        </w:tc>
        <w:tc>
          <w:tcPr>
            <w:tcW w:w="3038" w:type="dxa"/>
            <w:tcBorders>
              <w:top w:val="nil"/>
              <w:left w:val="nil"/>
              <w:bottom w:val="nil"/>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Banorte</w:t>
            </w:r>
          </w:p>
        </w:tc>
        <w:tc>
          <w:tcPr>
            <w:tcW w:w="29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PROY. PRODUCTIVOS PYME 2010</w:t>
            </w:r>
          </w:p>
        </w:tc>
        <w:tc>
          <w:tcPr>
            <w:tcW w:w="3508" w:type="dxa"/>
            <w:tcBorders>
              <w:top w:val="nil"/>
              <w:left w:val="nil"/>
              <w:bottom w:val="nil"/>
              <w:right w:val="single" w:sz="8" w:space="0" w:color="auto"/>
            </w:tcBorders>
            <w:shd w:val="clear" w:color="auto" w:fill="auto"/>
            <w:noWrap/>
            <w:vAlign w:val="bottom"/>
            <w:hideMark/>
          </w:tcPr>
          <w:p w:rsidR="00B2766F" w:rsidRPr="00BC7BD7" w:rsidRDefault="00B2766F" w:rsidP="00F56DDD">
            <w:pPr>
              <w:spacing w:after="0" w:line="240" w:lineRule="auto"/>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4,</w:t>
            </w:r>
            <w:r w:rsidR="00F56DDD">
              <w:rPr>
                <w:rFonts w:eastAsia="Times New Roman" w:cs="Times New Roman"/>
                <w:color w:val="000000"/>
                <w:sz w:val="20"/>
                <w:szCs w:val="20"/>
                <w:lang w:eastAsia="es-MX"/>
              </w:rPr>
              <w:t>531,195.39</w:t>
            </w:r>
            <w:r w:rsidRPr="00BC7BD7">
              <w:rPr>
                <w:rFonts w:eastAsia="Times New Roman" w:cs="Times New Roman"/>
                <w:color w:val="000000"/>
                <w:sz w:val="20"/>
                <w:szCs w:val="20"/>
                <w:lang w:eastAsia="es-MX"/>
              </w:rPr>
              <w:t xml:space="preserve">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single" w:sz="4" w:space="0" w:color="auto"/>
              <w:left w:val="single" w:sz="8" w:space="0" w:color="auto"/>
              <w:bottom w:val="nil"/>
              <w:right w:val="single" w:sz="4" w:space="0" w:color="auto"/>
            </w:tcBorders>
            <w:shd w:val="clear" w:color="auto" w:fill="auto"/>
            <w:noWrap/>
            <w:vAlign w:val="bottom"/>
            <w:hideMark/>
          </w:tcPr>
          <w:p w:rsidR="00B2766F" w:rsidRPr="00BC7BD7" w:rsidRDefault="00B2766F" w:rsidP="00B2766F">
            <w:pPr>
              <w:spacing w:after="0" w:line="240" w:lineRule="auto"/>
              <w:jc w:val="right"/>
              <w:rPr>
                <w:rFonts w:eastAsia="Times New Roman" w:cs="Arial"/>
                <w:sz w:val="20"/>
                <w:szCs w:val="20"/>
                <w:lang w:eastAsia="es-MX"/>
              </w:rPr>
            </w:pPr>
            <w:r w:rsidRPr="00BC7BD7">
              <w:rPr>
                <w:rFonts w:eastAsia="Times New Roman" w:cs="Arial"/>
                <w:sz w:val="20"/>
                <w:szCs w:val="20"/>
                <w:lang w:eastAsia="es-MX"/>
              </w:rPr>
              <w:t>686619716</w:t>
            </w:r>
          </w:p>
        </w:tc>
        <w:tc>
          <w:tcPr>
            <w:tcW w:w="3038" w:type="dxa"/>
            <w:tcBorders>
              <w:top w:val="single" w:sz="4" w:space="0" w:color="auto"/>
              <w:left w:val="nil"/>
              <w:bottom w:val="nil"/>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Banorte</w:t>
            </w:r>
          </w:p>
        </w:tc>
        <w:tc>
          <w:tcPr>
            <w:tcW w:w="294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PROG "ZONAS MARGINADAS 2011</w:t>
            </w:r>
          </w:p>
        </w:tc>
        <w:tc>
          <w:tcPr>
            <w:tcW w:w="3508" w:type="dxa"/>
            <w:tcBorders>
              <w:top w:val="single" w:sz="4" w:space="0" w:color="auto"/>
              <w:left w:val="nil"/>
              <w:bottom w:val="nil"/>
              <w:right w:val="single" w:sz="8" w:space="0" w:color="auto"/>
            </w:tcBorders>
            <w:shd w:val="clear" w:color="auto" w:fill="auto"/>
            <w:noWrap/>
            <w:vAlign w:val="bottom"/>
            <w:hideMark/>
          </w:tcPr>
          <w:p w:rsidR="00B2766F" w:rsidRPr="00BC7BD7" w:rsidRDefault="00B2766F" w:rsidP="00B2766F">
            <w:pPr>
              <w:spacing w:after="0" w:line="240" w:lineRule="auto"/>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359,091.21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36"/>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single" w:sz="4" w:space="0" w:color="auto"/>
              <w:left w:val="single" w:sz="8" w:space="0" w:color="auto"/>
              <w:bottom w:val="nil"/>
              <w:right w:val="single" w:sz="4" w:space="0" w:color="auto"/>
            </w:tcBorders>
            <w:shd w:val="clear" w:color="auto" w:fill="auto"/>
            <w:noWrap/>
            <w:vAlign w:val="bottom"/>
            <w:hideMark/>
          </w:tcPr>
          <w:p w:rsidR="00B2766F" w:rsidRPr="00BC7BD7" w:rsidRDefault="00B2766F" w:rsidP="00B2766F">
            <w:pPr>
              <w:spacing w:after="0" w:line="240" w:lineRule="auto"/>
              <w:jc w:val="right"/>
              <w:rPr>
                <w:rFonts w:eastAsia="Times New Roman" w:cs="Arial"/>
                <w:sz w:val="20"/>
                <w:szCs w:val="20"/>
                <w:lang w:eastAsia="es-MX"/>
              </w:rPr>
            </w:pPr>
            <w:r w:rsidRPr="00BC7BD7">
              <w:rPr>
                <w:rFonts w:eastAsia="Times New Roman" w:cs="Arial"/>
                <w:sz w:val="20"/>
                <w:szCs w:val="20"/>
                <w:lang w:eastAsia="es-MX"/>
              </w:rPr>
              <w:t>212151165</w:t>
            </w:r>
          </w:p>
        </w:tc>
        <w:tc>
          <w:tcPr>
            <w:tcW w:w="3038" w:type="dxa"/>
            <w:tcBorders>
              <w:top w:val="single" w:sz="4" w:space="0" w:color="auto"/>
              <w:left w:val="nil"/>
              <w:bottom w:val="nil"/>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Banorte</w:t>
            </w:r>
          </w:p>
        </w:tc>
        <w:tc>
          <w:tcPr>
            <w:tcW w:w="294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PARTE ESTATAL PROG. INADEM</w:t>
            </w:r>
          </w:p>
        </w:tc>
        <w:tc>
          <w:tcPr>
            <w:tcW w:w="3508" w:type="dxa"/>
            <w:tcBorders>
              <w:top w:val="single" w:sz="4" w:space="0" w:color="auto"/>
              <w:left w:val="nil"/>
              <w:bottom w:val="nil"/>
              <w:right w:val="single" w:sz="8" w:space="0" w:color="auto"/>
            </w:tcBorders>
            <w:shd w:val="clear" w:color="auto" w:fill="auto"/>
            <w:noWrap/>
            <w:vAlign w:val="bottom"/>
            <w:hideMark/>
          </w:tcPr>
          <w:p w:rsidR="00B2766F" w:rsidRPr="00BC7BD7" w:rsidRDefault="00F56DDD" w:rsidP="00B2766F">
            <w:pPr>
              <w:spacing w:after="0" w:line="240" w:lineRule="auto"/>
              <w:rPr>
                <w:rFonts w:eastAsia="Times New Roman" w:cs="Times New Roman"/>
                <w:color w:val="000000"/>
                <w:sz w:val="20"/>
                <w:szCs w:val="20"/>
                <w:lang w:eastAsia="es-MX"/>
              </w:rPr>
            </w:pPr>
            <w:r>
              <w:rPr>
                <w:rFonts w:eastAsia="Times New Roman" w:cs="Times New Roman"/>
                <w:color w:val="000000"/>
                <w:sz w:val="20"/>
                <w:szCs w:val="20"/>
                <w:lang w:eastAsia="es-MX"/>
              </w:rPr>
              <w:t xml:space="preserve">                      0</w:t>
            </w:r>
            <w:r w:rsidR="00B2766F" w:rsidRPr="00BC7BD7">
              <w:rPr>
                <w:rFonts w:eastAsia="Times New Roman" w:cs="Times New Roman"/>
                <w:color w:val="000000"/>
                <w:sz w:val="20"/>
                <w:szCs w:val="20"/>
                <w:lang w:eastAsia="es-MX"/>
              </w:rPr>
              <w:t xml:space="preserve">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49"/>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766F" w:rsidRPr="00BC7BD7" w:rsidRDefault="00B2766F" w:rsidP="00B2766F">
            <w:pPr>
              <w:spacing w:after="0" w:line="240" w:lineRule="auto"/>
              <w:jc w:val="right"/>
              <w:rPr>
                <w:rFonts w:eastAsia="Times New Roman" w:cs="Arial"/>
                <w:sz w:val="20"/>
                <w:szCs w:val="20"/>
                <w:lang w:eastAsia="es-MX"/>
              </w:rPr>
            </w:pPr>
            <w:r w:rsidRPr="00BC7BD7">
              <w:rPr>
                <w:rFonts w:eastAsia="Times New Roman" w:cs="Arial"/>
                <w:sz w:val="20"/>
                <w:szCs w:val="20"/>
                <w:lang w:eastAsia="es-MX"/>
              </w:rPr>
              <w:t>212151174</w:t>
            </w:r>
          </w:p>
        </w:tc>
        <w:tc>
          <w:tcPr>
            <w:tcW w:w="3038" w:type="dxa"/>
            <w:tcBorders>
              <w:top w:val="single" w:sz="4" w:space="0" w:color="auto"/>
              <w:left w:val="nil"/>
              <w:bottom w:val="single" w:sz="8" w:space="0" w:color="auto"/>
              <w:right w:val="single" w:sz="4" w:space="0" w:color="auto"/>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Banorte</w:t>
            </w:r>
          </w:p>
        </w:tc>
        <w:tc>
          <w:tcPr>
            <w:tcW w:w="2943"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r w:rsidRPr="00BC7BD7">
              <w:rPr>
                <w:rFonts w:eastAsia="Times New Roman" w:cs="Arial"/>
                <w:sz w:val="20"/>
                <w:szCs w:val="20"/>
                <w:lang w:eastAsia="es-MX"/>
              </w:rPr>
              <w:t>PARTE FEDERAL PROG. INADEM</w:t>
            </w:r>
          </w:p>
        </w:tc>
        <w:tc>
          <w:tcPr>
            <w:tcW w:w="3508" w:type="dxa"/>
            <w:tcBorders>
              <w:top w:val="single" w:sz="4" w:space="0" w:color="auto"/>
              <w:left w:val="nil"/>
              <w:bottom w:val="single" w:sz="8" w:space="0" w:color="auto"/>
              <w:right w:val="single" w:sz="8" w:space="0" w:color="auto"/>
            </w:tcBorders>
            <w:shd w:val="clear" w:color="auto" w:fill="auto"/>
            <w:noWrap/>
            <w:vAlign w:val="bottom"/>
            <w:hideMark/>
          </w:tcPr>
          <w:p w:rsidR="00B2766F" w:rsidRPr="00BC7BD7" w:rsidRDefault="00B2766F" w:rsidP="00B2766F">
            <w:pPr>
              <w:spacing w:after="0" w:line="240" w:lineRule="auto"/>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6,137.82 </w:t>
            </w: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49"/>
        </w:trPr>
        <w:tc>
          <w:tcPr>
            <w:tcW w:w="146" w:type="dxa"/>
            <w:tcBorders>
              <w:top w:val="nil"/>
              <w:left w:val="nil"/>
              <w:bottom w:val="nil"/>
              <w:right w:val="nil"/>
            </w:tcBorders>
            <w:shd w:val="clear" w:color="auto" w:fill="auto"/>
            <w:noWrap/>
            <w:vAlign w:val="bottom"/>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single" w:sz="4" w:space="0" w:color="auto"/>
              <w:left w:val="single" w:sz="8" w:space="0" w:color="auto"/>
              <w:bottom w:val="single" w:sz="8" w:space="0" w:color="auto"/>
              <w:right w:val="single" w:sz="4" w:space="0" w:color="auto"/>
            </w:tcBorders>
            <w:shd w:val="clear" w:color="auto" w:fill="auto"/>
            <w:noWrap/>
            <w:vAlign w:val="bottom"/>
          </w:tcPr>
          <w:p w:rsidR="00B2766F" w:rsidRPr="00BC7BD7" w:rsidRDefault="00B2766F" w:rsidP="00B2766F">
            <w:pPr>
              <w:spacing w:after="0" w:line="240" w:lineRule="auto"/>
              <w:jc w:val="right"/>
              <w:rPr>
                <w:rFonts w:eastAsia="Times New Roman" w:cs="Arial"/>
                <w:sz w:val="20"/>
                <w:szCs w:val="20"/>
                <w:lang w:eastAsia="es-MX"/>
              </w:rPr>
            </w:pPr>
          </w:p>
        </w:tc>
        <w:tc>
          <w:tcPr>
            <w:tcW w:w="3038" w:type="dxa"/>
            <w:tcBorders>
              <w:top w:val="single" w:sz="4" w:space="0" w:color="auto"/>
              <w:left w:val="nil"/>
              <w:bottom w:val="single" w:sz="8" w:space="0" w:color="auto"/>
              <w:right w:val="single" w:sz="4" w:space="0" w:color="auto"/>
            </w:tcBorders>
            <w:shd w:val="clear" w:color="auto" w:fill="auto"/>
            <w:noWrap/>
            <w:vAlign w:val="bottom"/>
          </w:tcPr>
          <w:p w:rsidR="00B2766F" w:rsidRPr="00BC7BD7" w:rsidRDefault="00B2766F" w:rsidP="00B2766F">
            <w:pPr>
              <w:spacing w:after="0" w:line="240" w:lineRule="auto"/>
              <w:rPr>
                <w:rFonts w:eastAsia="Times New Roman" w:cs="Arial"/>
                <w:sz w:val="20"/>
                <w:szCs w:val="20"/>
                <w:lang w:eastAsia="es-MX"/>
              </w:rPr>
            </w:pPr>
          </w:p>
        </w:tc>
        <w:tc>
          <w:tcPr>
            <w:tcW w:w="2943"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tcPr>
          <w:p w:rsidR="00B2766F" w:rsidRPr="00BC7BD7" w:rsidRDefault="00B2766F" w:rsidP="00B2766F">
            <w:pPr>
              <w:spacing w:after="0" w:line="240" w:lineRule="auto"/>
              <w:rPr>
                <w:rFonts w:eastAsia="Times New Roman" w:cs="Arial"/>
                <w:sz w:val="20"/>
                <w:szCs w:val="20"/>
                <w:lang w:eastAsia="es-MX"/>
              </w:rPr>
            </w:pPr>
          </w:p>
        </w:tc>
        <w:tc>
          <w:tcPr>
            <w:tcW w:w="3508" w:type="dxa"/>
            <w:tcBorders>
              <w:top w:val="single" w:sz="4" w:space="0" w:color="auto"/>
              <w:left w:val="nil"/>
              <w:bottom w:val="single" w:sz="8" w:space="0" w:color="auto"/>
              <w:right w:val="single" w:sz="8" w:space="0" w:color="auto"/>
            </w:tcBorders>
            <w:shd w:val="clear" w:color="auto" w:fill="auto"/>
            <w:noWrap/>
            <w:vAlign w:val="bottom"/>
          </w:tcPr>
          <w:p w:rsidR="00B2766F" w:rsidRPr="00BC7BD7" w:rsidRDefault="00B2766F" w:rsidP="00B2766F">
            <w:pPr>
              <w:spacing w:after="0" w:line="240" w:lineRule="auto"/>
              <w:rPr>
                <w:rFonts w:eastAsia="Times New Roman" w:cs="Times New Roman"/>
                <w:color w:val="000000"/>
                <w:sz w:val="20"/>
                <w:szCs w:val="20"/>
                <w:lang w:eastAsia="es-MX"/>
              </w:rPr>
            </w:pPr>
          </w:p>
        </w:tc>
        <w:tc>
          <w:tcPr>
            <w:tcW w:w="146" w:type="dxa"/>
            <w:tcBorders>
              <w:top w:val="nil"/>
              <w:left w:val="nil"/>
              <w:bottom w:val="nil"/>
              <w:right w:val="nil"/>
            </w:tcBorders>
            <w:shd w:val="clear" w:color="auto" w:fill="auto"/>
            <w:noWrap/>
            <w:vAlign w:val="bottom"/>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tcPr>
          <w:p w:rsidR="00B2766F" w:rsidRPr="00BC7BD7" w:rsidRDefault="00B2766F" w:rsidP="00B2766F">
            <w:pPr>
              <w:spacing w:after="0" w:line="240" w:lineRule="auto"/>
              <w:rPr>
                <w:rFonts w:eastAsia="Times New Roman" w:cs="Arial"/>
                <w:sz w:val="20"/>
                <w:szCs w:val="20"/>
                <w:lang w:eastAsia="es-MX"/>
              </w:rPr>
            </w:pPr>
          </w:p>
        </w:tc>
      </w:tr>
      <w:tr w:rsidR="00B2766F" w:rsidRPr="00BC7BD7" w:rsidTr="00B2766F">
        <w:trPr>
          <w:trHeight w:val="201"/>
        </w:trPr>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154"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3038"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2571"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8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8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3508" w:type="dxa"/>
            <w:tcBorders>
              <w:top w:val="nil"/>
              <w:left w:val="nil"/>
              <w:bottom w:val="nil"/>
              <w:right w:val="nil"/>
            </w:tcBorders>
            <w:shd w:val="clear" w:color="auto" w:fill="auto"/>
            <w:noWrap/>
            <w:vAlign w:val="bottom"/>
            <w:hideMark/>
          </w:tcPr>
          <w:p w:rsidR="00B2766F" w:rsidRDefault="00B2766F" w:rsidP="00B2766F">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w:t>
            </w:r>
            <w:r w:rsidR="00F56DDD">
              <w:rPr>
                <w:rFonts w:eastAsia="Times New Roman" w:cs="Arial"/>
                <w:b/>
                <w:bCs/>
                <w:sz w:val="20"/>
                <w:szCs w:val="20"/>
                <w:lang w:eastAsia="es-MX"/>
              </w:rPr>
              <w:t xml:space="preserve">           13,914,853.48</w:t>
            </w:r>
          </w:p>
          <w:p w:rsidR="00B2766F" w:rsidRDefault="00B2766F" w:rsidP="00B2766F">
            <w:pPr>
              <w:spacing w:after="0" w:line="240" w:lineRule="auto"/>
              <w:rPr>
                <w:rFonts w:eastAsia="Times New Roman" w:cs="Arial"/>
                <w:b/>
                <w:bCs/>
                <w:sz w:val="20"/>
                <w:szCs w:val="20"/>
                <w:lang w:eastAsia="es-MX"/>
              </w:rPr>
            </w:pPr>
          </w:p>
          <w:p w:rsidR="00B2766F" w:rsidRPr="00BC7BD7" w:rsidRDefault="00B2766F" w:rsidP="00B2766F">
            <w:pPr>
              <w:spacing w:after="0" w:line="240" w:lineRule="auto"/>
              <w:rPr>
                <w:rFonts w:eastAsia="Times New Roman" w:cs="Arial"/>
                <w:b/>
                <w:bCs/>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B2766F" w:rsidRPr="00BC7BD7" w:rsidRDefault="00B2766F" w:rsidP="00B2766F">
            <w:pPr>
              <w:spacing w:after="0" w:line="240" w:lineRule="auto"/>
              <w:rPr>
                <w:rFonts w:eastAsia="Times New Roman" w:cs="Arial"/>
                <w:sz w:val="20"/>
                <w:szCs w:val="20"/>
                <w:lang w:eastAsia="es-MX"/>
              </w:rPr>
            </w:pPr>
          </w:p>
        </w:tc>
      </w:tr>
    </w:tbl>
    <w:p w:rsidR="00BC7BD7" w:rsidRPr="00BC7BD7" w:rsidRDefault="00BC7BD7" w:rsidP="00712A1E">
      <w:pPr>
        <w:rPr>
          <w:sz w:val="20"/>
          <w:szCs w:val="20"/>
        </w:rPr>
      </w:pPr>
    </w:p>
    <w:p w:rsidR="00BC7BD7" w:rsidRPr="00BC7BD7" w:rsidRDefault="00BC7BD7">
      <w:pPr>
        <w:rPr>
          <w:sz w:val="20"/>
          <w:szCs w:val="20"/>
        </w:rPr>
      </w:pPr>
    </w:p>
    <w:p w:rsidR="00712A1E" w:rsidRDefault="00712A1E">
      <w:pPr>
        <w:rPr>
          <w:sz w:val="20"/>
          <w:szCs w:val="20"/>
        </w:rPr>
      </w:pPr>
    </w:p>
    <w:p w:rsidR="00712A1E" w:rsidRPr="00712A1E" w:rsidRDefault="00712A1E" w:rsidP="00712A1E">
      <w:pPr>
        <w:rPr>
          <w:sz w:val="20"/>
          <w:szCs w:val="20"/>
        </w:rPr>
      </w:pPr>
    </w:p>
    <w:p w:rsidR="00712A1E" w:rsidRPr="00712A1E" w:rsidRDefault="00712A1E" w:rsidP="00712A1E">
      <w:pPr>
        <w:rPr>
          <w:sz w:val="20"/>
          <w:szCs w:val="20"/>
        </w:rPr>
      </w:pPr>
    </w:p>
    <w:p w:rsidR="00712A1E" w:rsidRPr="00712A1E" w:rsidRDefault="00712A1E" w:rsidP="00712A1E">
      <w:pPr>
        <w:rPr>
          <w:sz w:val="20"/>
          <w:szCs w:val="20"/>
        </w:rPr>
      </w:pPr>
    </w:p>
    <w:p w:rsidR="00712A1E" w:rsidRDefault="00712A1E" w:rsidP="00712A1E">
      <w:pPr>
        <w:rPr>
          <w:sz w:val="20"/>
          <w:szCs w:val="20"/>
        </w:rPr>
      </w:pPr>
    </w:p>
    <w:p w:rsidR="001352BE" w:rsidRPr="00712A1E" w:rsidRDefault="001352BE" w:rsidP="00712A1E">
      <w:pPr>
        <w:rPr>
          <w:sz w:val="20"/>
          <w:szCs w:val="20"/>
        </w:rPr>
      </w:pPr>
    </w:p>
    <w:tbl>
      <w:tblPr>
        <w:tblW w:w="14562" w:type="dxa"/>
        <w:tblInd w:w="-994" w:type="dxa"/>
        <w:tblCellMar>
          <w:left w:w="70" w:type="dxa"/>
          <w:right w:w="70" w:type="dxa"/>
        </w:tblCellMar>
        <w:tblLook w:val="04A0" w:firstRow="1" w:lastRow="0" w:firstColumn="1" w:lastColumn="0" w:noHBand="0" w:noVBand="1"/>
      </w:tblPr>
      <w:tblGrid>
        <w:gridCol w:w="1600"/>
        <w:gridCol w:w="2067"/>
        <w:gridCol w:w="1763"/>
        <w:gridCol w:w="2779"/>
        <w:gridCol w:w="387"/>
        <w:gridCol w:w="387"/>
        <w:gridCol w:w="2971"/>
        <w:gridCol w:w="2608"/>
      </w:tblGrid>
      <w:tr w:rsidR="001352BE" w:rsidRPr="00BC7BD7" w:rsidTr="001352BE">
        <w:trPr>
          <w:trHeight w:val="270"/>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296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CUENTAS DE INVERSION</w:t>
            </w:r>
          </w:p>
        </w:tc>
      </w:tr>
      <w:tr w:rsidR="001352BE" w:rsidRPr="00BC7BD7" w:rsidTr="001352BE">
        <w:trPr>
          <w:trHeight w:val="270"/>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067" w:type="dxa"/>
            <w:tcBorders>
              <w:top w:val="nil"/>
              <w:left w:val="single" w:sz="8" w:space="0" w:color="auto"/>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 Cuenta</w:t>
            </w:r>
          </w:p>
        </w:tc>
        <w:tc>
          <w:tcPr>
            <w:tcW w:w="1763" w:type="dxa"/>
            <w:tcBorders>
              <w:top w:val="nil"/>
              <w:left w:val="nil"/>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Banco</w:t>
            </w:r>
          </w:p>
        </w:tc>
        <w:tc>
          <w:tcPr>
            <w:tcW w:w="355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Programa</w:t>
            </w:r>
          </w:p>
        </w:tc>
        <w:tc>
          <w:tcPr>
            <w:tcW w:w="2971" w:type="dxa"/>
            <w:tcBorders>
              <w:top w:val="nil"/>
              <w:left w:val="nil"/>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Importe</w:t>
            </w:r>
          </w:p>
        </w:tc>
        <w:tc>
          <w:tcPr>
            <w:tcW w:w="2608" w:type="dxa"/>
            <w:tcBorders>
              <w:top w:val="nil"/>
              <w:left w:val="nil"/>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Tipo</w:t>
            </w:r>
          </w:p>
        </w:tc>
      </w:tr>
      <w:tr w:rsidR="001352BE" w:rsidRPr="00BC7BD7" w:rsidTr="001352BE">
        <w:trPr>
          <w:trHeight w:val="255"/>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067" w:type="dxa"/>
            <w:tcBorders>
              <w:top w:val="nil"/>
              <w:left w:val="single" w:sz="8" w:space="0" w:color="auto"/>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jc w:val="right"/>
              <w:rPr>
                <w:rFonts w:eastAsia="Times New Roman" w:cs="Arial"/>
                <w:color w:val="000000"/>
                <w:sz w:val="20"/>
                <w:szCs w:val="20"/>
                <w:lang w:eastAsia="es-MX"/>
              </w:rPr>
            </w:pPr>
            <w:r w:rsidRPr="00BC7BD7">
              <w:rPr>
                <w:rFonts w:eastAsia="Times New Roman" w:cs="Arial"/>
                <w:color w:val="000000"/>
                <w:sz w:val="20"/>
                <w:szCs w:val="20"/>
                <w:lang w:eastAsia="es-MX"/>
              </w:rPr>
              <w:t>2026594506</w:t>
            </w:r>
          </w:p>
        </w:tc>
        <w:tc>
          <w:tcPr>
            <w:tcW w:w="1763" w:type="dxa"/>
            <w:tcBorders>
              <w:top w:val="nil"/>
              <w:left w:val="nil"/>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Bancomer</w:t>
            </w:r>
          </w:p>
        </w:tc>
        <w:tc>
          <w:tcPr>
            <w:tcW w:w="2779" w:type="dxa"/>
            <w:tcBorders>
              <w:top w:val="nil"/>
              <w:left w:val="nil"/>
              <w:bottom w:val="single" w:sz="4"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color w:val="000000"/>
                <w:sz w:val="20"/>
                <w:szCs w:val="20"/>
                <w:lang w:eastAsia="es-MX"/>
              </w:rPr>
            </w:pPr>
            <w:r w:rsidRPr="00BC7BD7">
              <w:rPr>
                <w:rFonts w:eastAsia="Times New Roman" w:cs="Arial"/>
                <w:color w:val="000000"/>
                <w:sz w:val="20"/>
                <w:szCs w:val="20"/>
                <w:lang w:eastAsia="es-MX"/>
              </w:rPr>
              <w:t>FIDEY</w:t>
            </w:r>
          </w:p>
        </w:tc>
        <w:tc>
          <w:tcPr>
            <w:tcW w:w="387" w:type="dxa"/>
            <w:tcBorders>
              <w:top w:val="nil"/>
              <w:left w:val="nil"/>
              <w:bottom w:val="single" w:sz="4"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87" w:type="dxa"/>
            <w:tcBorders>
              <w:top w:val="nil"/>
              <w:left w:val="nil"/>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2971" w:type="dxa"/>
            <w:tcBorders>
              <w:top w:val="nil"/>
              <w:left w:val="nil"/>
              <w:bottom w:val="single" w:sz="4" w:space="0" w:color="auto"/>
              <w:right w:val="single" w:sz="4" w:space="0" w:color="auto"/>
            </w:tcBorders>
            <w:shd w:val="clear" w:color="auto" w:fill="auto"/>
            <w:noWrap/>
            <w:vAlign w:val="bottom"/>
            <w:hideMark/>
          </w:tcPr>
          <w:p w:rsidR="001352BE" w:rsidRPr="00BC7BD7" w:rsidRDefault="001352BE" w:rsidP="00F56DDD">
            <w:pPr>
              <w:spacing w:after="0" w:line="240" w:lineRule="auto"/>
              <w:rPr>
                <w:rFonts w:eastAsia="Times New Roman" w:cs="Arial"/>
                <w:color w:val="000000"/>
                <w:sz w:val="20"/>
                <w:szCs w:val="20"/>
                <w:lang w:eastAsia="es-MX"/>
              </w:rPr>
            </w:pPr>
            <w:r w:rsidRPr="00BC7BD7">
              <w:rPr>
                <w:rFonts w:eastAsia="Times New Roman" w:cs="Arial"/>
                <w:color w:val="000000"/>
                <w:sz w:val="20"/>
                <w:szCs w:val="20"/>
                <w:lang w:eastAsia="es-MX"/>
              </w:rPr>
              <w:t xml:space="preserve">      1</w:t>
            </w:r>
            <w:r w:rsidR="00F56DDD">
              <w:rPr>
                <w:rFonts w:eastAsia="Times New Roman" w:cs="Arial"/>
                <w:color w:val="000000"/>
                <w:sz w:val="20"/>
                <w:szCs w:val="20"/>
                <w:lang w:eastAsia="es-MX"/>
              </w:rPr>
              <w:t>1,622,717.28</w:t>
            </w:r>
            <w:r w:rsidRPr="00BC7BD7">
              <w:rPr>
                <w:rFonts w:eastAsia="Times New Roman" w:cs="Arial"/>
                <w:color w:val="000000"/>
                <w:sz w:val="20"/>
                <w:szCs w:val="20"/>
                <w:lang w:eastAsia="es-MX"/>
              </w:rPr>
              <w:t xml:space="preserve"> </w:t>
            </w:r>
          </w:p>
        </w:tc>
        <w:tc>
          <w:tcPr>
            <w:tcW w:w="2608" w:type="dxa"/>
            <w:tcBorders>
              <w:top w:val="nil"/>
              <w:left w:val="nil"/>
              <w:bottom w:val="single" w:sz="4" w:space="0" w:color="auto"/>
              <w:right w:val="single" w:sz="8"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Mesa de Dinero</w:t>
            </w:r>
          </w:p>
        </w:tc>
      </w:tr>
      <w:tr w:rsidR="001352BE" w:rsidRPr="00BC7BD7" w:rsidTr="001352BE">
        <w:trPr>
          <w:trHeight w:val="270"/>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067" w:type="dxa"/>
            <w:tcBorders>
              <w:top w:val="nil"/>
              <w:left w:val="single" w:sz="8" w:space="0" w:color="auto"/>
              <w:bottom w:val="single" w:sz="8" w:space="0" w:color="auto"/>
              <w:right w:val="single" w:sz="4" w:space="0" w:color="auto"/>
            </w:tcBorders>
            <w:shd w:val="clear" w:color="auto" w:fill="auto"/>
            <w:noWrap/>
            <w:vAlign w:val="bottom"/>
            <w:hideMark/>
          </w:tcPr>
          <w:p w:rsidR="001352BE" w:rsidRPr="00BC7BD7" w:rsidRDefault="001352BE" w:rsidP="001352BE">
            <w:pPr>
              <w:spacing w:after="0" w:line="240" w:lineRule="auto"/>
              <w:jc w:val="right"/>
              <w:rPr>
                <w:rFonts w:eastAsia="Times New Roman" w:cs="Arial"/>
                <w:color w:val="000000"/>
                <w:sz w:val="20"/>
                <w:szCs w:val="20"/>
                <w:lang w:eastAsia="es-MX"/>
              </w:rPr>
            </w:pPr>
            <w:r w:rsidRPr="00BC7BD7">
              <w:rPr>
                <w:rFonts w:eastAsia="Times New Roman" w:cs="Arial"/>
                <w:color w:val="000000"/>
                <w:sz w:val="20"/>
                <w:szCs w:val="20"/>
                <w:lang w:eastAsia="es-MX"/>
              </w:rPr>
              <w:t>1060056</w:t>
            </w:r>
          </w:p>
        </w:tc>
        <w:tc>
          <w:tcPr>
            <w:tcW w:w="1763" w:type="dxa"/>
            <w:tcBorders>
              <w:top w:val="nil"/>
              <w:left w:val="nil"/>
              <w:bottom w:val="single" w:sz="8"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Nafin SNC</w:t>
            </w:r>
          </w:p>
        </w:tc>
        <w:tc>
          <w:tcPr>
            <w:tcW w:w="2779" w:type="dxa"/>
            <w:tcBorders>
              <w:top w:val="nil"/>
              <w:left w:val="nil"/>
              <w:bottom w:val="single" w:sz="8"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color w:val="000000"/>
                <w:sz w:val="20"/>
                <w:szCs w:val="20"/>
                <w:lang w:eastAsia="es-MX"/>
              </w:rPr>
            </w:pPr>
            <w:r w:rsidRPr="00BC7BD7">
              <w:rPr>
                <w:rFonts w:eastAsia="Times New Roman" w:cs="Arial"/>
                <w:color w:val="000000"/>
                <w:sz w:val="20"/>
                <w:szCs w:val="20"/>
                <w:lang w:eastAsia="es-MX"/>
              </w:rPr>
              <w:t>FIDEY</w:t>
            </w:r>
          </w:p>
        </w:tc>
        <w:tc>
          <w:tcPr>
            <w:tcW w:w="387" w:type="dxa"/>
            <w:tcBorders>
              <w:top w:val="nil"/>
              <w:left w:val="nil"/>
              <w:bottom w:val="single" w:sz="8"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87" w:type="dxa"/>
            <w:tcBorders>
              <w:top w:val="nil"/>
              <w:left w:val="nil"/>
              <w:bottom w:val="single" w:sz="8"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2971" w:type="dxa"/>
            <w:tcBorders>
              <w:top w:val="nil"/>
              <w:left w:val="nil"/>
              <w:bottom w:val="single" w:sz="8" w:space="0" w:color="auto"/>
              <w:right w:val="single" w:sz="4" w:space="0" w:color="auto"/>
            </w:tcBorders>
            <w:shd w:val="clear" w:color="auto" w:fill="auto"/>
            <w:noWrap/>
            <w:vAlign w:val="bottom"/>
            <w:hideMark/>
          </w:tcPr>
          <w:p w:rsidR="001352BE" w:rsidRPr="00BC7BD7" w:rsidRDefault="00F56DDD" w:rsidP="00F56DDD">
            <w:pPr>
              <w:spacing w:after="0" w:line="240" w:lineRule="auto"/>
              <w:rPr>
                <w:rFonts w:eastAsia="Times New Roman" w:cs="Arial"/>
                <w:color w:val="000000"/>
                <w:sz w:val="20"/>
                <w:szCs w:val="20"/>
                <w:lang w:eastAsia="es-MX"/>
              </w:rPr>
            </w:pPr>
            <w:r>
              <w:rPr>
                <w:rFonts w:eastAsia="Times New Roman" w:cs="Arial"/>
                <w:color w:val="000000"/>
                <w:sz w:val="20"/>
                <w:szCs w:val="20"/>
                <w:lang w:eastAsia="es-MX"/>
              </w:rPr>
              <w:t xml:space="preserve">         3,797,227.72</w:t>
            </w:r>
            <w:r w:rsidR="001352BE" w:rsidRPr="00BC7BD7">
              <w:rPr>
                <w:rFonts w:eastAsia="Times New Roman" w:cs="Arial"/>
                <w:color w:val="000000"/>
                <w:sz w:val="20"/>
                <w:szCs w:val="20"/>
                <w:lang w:eastAsia="es-MX"/>
              </w:rPr>
              <w:t xml:space="preserve"> </w:t>
            </w:r>
          </w:p>
        </w:tc>
        <w:tc>
          <w:tcPr>
            <w:tcW w:w="2608" w:type="dxa"/>
            <w:tcBorders>
              <w:top w:val="nil"/>
              <w:left w:val="nil"/>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Mesa de Dinero</w:t>
            </w:r>
          </w:p>
        </w:tc>
      </w:tr>
      <w:tr w:rsidR="001352BE" w:rsidRPr="00BC7BD7" w:rsidTr="001352BE">
        <w:trPr>
          <w:trHeight w:val="255"/>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067"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763"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779"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387"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387"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971" w:type="dxa"/>
            <w:tcBorders>
              <w:top w:val="nil"/>
              <w:left w:val="nil"/>
              <w:bottom w:val="nil"/>
              <w:right w:val="nil"/>
            </w:tcBorders>
            <w:shd w:val="clear" w:color="auto" w:fill="auto"/>
            <w:noWrap/>
            <w:vAlign w:val="bottom"/>
            <w:hideMark/>
          </w:tcPr>
          <w:p w:rsidR="001352BE" w:rsidRPr="00BC7BD7" w:rsidRDefault="001352BE" w:rsidP="00F56DDD">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1</w:t>
            </w:r>
            <w:r w:rsidR="00F56DDD">
              <w:rPr>
                <w:rFonts w:eastAsia="Times New Roman" w:cs="Arial"/>
                <w:b/>
                <w:bCs/>
                <w:sz w:val="20"/>
                <w:szCs w:val="20"/>
                <w:lang w:eastAsia="es-MX"/>
              </w:rPr>
              <w:t>5,419,945.00</w:t>
            </w:r>
            <w:r w:rsidRPr="00BC7BD7">
              <w:rPr>
                <w:rFonts w:eastAsia="Times New Roman" w:cs="Arial"/>
                <w:b/>
                <w:bCs/>
                <w:sz w:val="20"/>
                <w:szCs w:val="20"/>
                <w:lang w:eastAsia="es-MX"/>
              </w:rPr>
              <w:t xml:space="preserve"> </w:t>
            </w:r>
          </w:p>
        </w:tc>
        <w:tc>
          <w:tcPr>
            <w:tcW w:w="2608"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r>
      <w:tr w:rsidR="001352BE" w:rsidRPr="00BC7BD7" w:rsidTr="001352BE">
        <w:trPr>
          <w:trHeight w:val="255"/>
        </w:trPr>
        <w:tc>
          <w:tcPr>
            <w:tcW w:w="160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067"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763"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3553" w:type="dxa"/>
            <w:gridSpan w:val="3"/>
            <w:tcBorders>
              <w:top w:val="nil"/>
              <w:left w:val="nil"/>
              <w:bottom w:val="nil"/>
              <w:right w:val="nil"/>
            </w:tcBorders>
            <w:shd w:val="clear" w:color="auto" w:fill="auto"/>
            <w:noWrap/>
            <w:vAlign w:val="bottom"/>
            <w:hideMark/>
          </w:tcPr>
          <w:p w:rsidR="001352BE" w:rsidRPr="00BC7BD7" w:rsidRDefault="00F56DDD" w:rsidP="001352BE">
            <w:pPr>
              <w:spacing w:after="0" w:line="240" w:lineRule="auto"/>
              <w:rPr>
                <w:rFonts w:eastAsia="Times New Roman" w:cs="Arial"/>
                <w:b/>
                <w:bCs/>
                <w:sz w:val="20"/>
                <w:szCs w:val="20"/>
                <w:lang w:eastAsia="es-MX"/>
              </w:rPr>
            </w:pPr>
            <w:r>
              <w:rPr>
                <w:rFonts w:eastAsia="Times New Roman" w:cs="Arial"/>
                <w:b/>
                <w:bCs/>
                <w:sz w:val="20"/>
                <w:szCs w:val="20"/>
                <w:lang w:eastAsia="es-MX"/>
              </w:rPr>
              <w:t xml:space="preserve">   TOTAL EFECTIVO Y </w:t>
            </w:r>
            <w:r w:rsidR="001352BE" w:rsidRPr="00BC7BD7">
              <w:rPr>
                <w:rFonts w:eastAsia="Times New Roman" w:cs="Arial"/>
                <w:b/>
                <w:bCs/>
                <w:sz w:val="20"/>
                <w:szCs w:val="20"/>
                <w:lang w:eastAsia="es-MX"/>
              </w:rPr>
              <w:t>EQUIVALENTES</w:t>
            </w:r>
          </w:p>
        </w:tc>
        <w:tc>
          <w:tcPr>
            <w:tcW w:w="2971" w:type="dxa"/>
            <w:tcBorders>
              <w:top w:val="nil"/>
              <w:left w:val="nil"/>
              <w:bottom w:val="nil"/>
              <w:right w:val="nil"/>
            </w:tcBorders>
            <w:shd w:val="clear" w:color="auto" w:fill="auto"/>
            <w:noWrap/>
            <w:vAlign w:val="bottom"/>
            <w:hideMark/>
          </w:tcPr>
          <w:p w:rsidR="001352BE" w:rsidRPr="00BC7BD7" w:rsidRDefault="001352BE" w:rsidP="00F56DDD">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   </w:t>
            </w:r>
            <w:r w:rsidR="00F56DDD">
              <w:rPr>
                <w:rFonts w:eastAsia="Times New Roman" w:cs="Arial"/>
                <w:b/>
                <w:bCs/>
                <w:sz w:val="20"/>
                <w:szCs w:val="20"/>
                <w:lang w:eastAsia="es-MX"/>
              </w:rPr>
              <w:t>29,334,798.48</w:t>
            </w:r>
            <w:r w:rsidRPr="00BC7BD7">
              <w:rPr>
                <w:rFonts w:eastAsia="Times New Roman" w:cs="Arial"/>
                <w:b/>
                <w:bCs/>
                <w:sz w:val="20"/>
                <w:szCs w:val="20"/>
                <w:lang w:eastAsia="es-MX"/>
              </w:rPr>
              <w:t xml:space="preserve"> </w:t>
            </w:r>
          </w:p>
        </w:tc>
        <w:tc>
          <w:tcPr>
            <w:tcW w:w="2608"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r>
    </w:tbl>
    <w:p w:rsidR="001352BE" w:rsidRPr="00BC7BD7" w:rsidRDefault="001352BE">
      <w:pPr>
        <w:rPr>
          <w:sz w:val="20"/>
          <w:szCs w:val="20"/>
        </w:rPr>
      </w:pPr>
    </w:p>
    <w:p w:rsidR="001352BE" w:rsidRPr="00BC7BD7" w:rsidRDefault="001352BE">
      <w:pPr>
        <w:rPr>
          <w:sz w:val="20"/>
          <w:szCs w:val="20"/>
        </w:rPr>
      </w:pPr>
    </w:p>
    <w:tbl>
      <w:tblPr>
        <w:tblW w:w="13720" w:type="dxa"/>
        <w:tblInd w:w="55" w:type="dxa"/>
        <w:tblCellMar>
          <w:left w:w="70" w:type="dxa"/>
          <w:right w:w="70" w:type="dxa"/>
        </w:tblCellMar>
        <w:tblLook w:val="04A0" w:firstRow="1" w:lastRow="0" w:firstColumn="1" w:lastColumn="0" w:noHBand="0" w:noVBand="1"/>
      </w:tblPr>
      <w:tblGrid>
        <w:gridCol w:w="13720"/>
      </w:tblGrid>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NOTA 2</w:t>
            </w:r>
          </w:p>
        </w:tc>
      </w:tr>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DERECHOS A RECIBIR EFECTIVO Y EQUIVALENTES Y BIENES O SERVICIOS A RECIBIR</w:t>
            </w:r>
          </w:p>
        </w:tc>
      </w:tr>
    </w:tbl>
    <w:p w:rsidR="001352BE" w:rsidRPr="00BC7BD7" w:rsidRDefault="001352BE">
      <w:pPr>
        <w:rPr>
          <w:sz w:val="20"/>
          <w:szCs w:val="20"/>
        </w:rPr>
      </w:pPr>
    </w:p>
    <w:tbl>
      <w:tblPr>
        <w:tblW w:w="14219" w:type="dxa"/>
        <w:tblInd w:w="-444" w:type="dxa"/>
        <w:tblCellMar>
          <w:left w:w="70" w:type="dxa"/>
          <w:right w:w="70" w:type="dxa"/>
        </w:tblCellMar>
        <w:tblLook w:val="04A0" w:firstRow="1" w:lastRow="0" w:firstColumn="1" w:lastColumn="0" w:noHBand="0" w:noVBand="1"/>
      </w:tblPr>
      <w:tblGrid>
        <w:gridCol w:w="14219"/>
      </w:tblGrid>
      <w:tr w:rsidR="001352BE" w:rsidRPr="00BC7BD7" w:rsidTr="00712A1E">
        <w:trPr>
          <w:trHeight w:val="555"/>
        </w:trPr>
        <w:tc>
          <w:tcPr>
            <w:tcW w:w="13720" w:type="dxa"/>
            <w:tcBorders>
              <w:top w:val="nil"/>
              <w:left w:val="nil"/>
              <w:bottom w:val="nil"/>
              <w:right w:val="nil"/>
            </w:tcBorders>
            <w:shd w:val="clear" w:color="auto" w:fill="auto"/>
            <w:hideMark/>
          </w:tcPr>
          <w:p w:rsidR="001352BE" w:rsidRPr="00BC7BD7" w:rsidRDefault="001352BE" w:rsidP="001352BE">
            <w:pPr>
              <w:spacing w:after="0" w:line="240" w:lineRule="auto"/>
              <w:jc w:val="both"/>
              <w:rPr>
                <w:rFonts w:eastAsia="Times New Roman" w:cs="Arial"/>
                <w:sz w:val="20"/>
                <w:szCs w:val="20"/>
                <w:lang w:eastAsia="es-MX"/>
              </w:rPr>
            </w:pPr>
            <w:r w:rsidRPr="00BC7BD7">
              <w:rPr>
                <w:rFonts w:eastAsia="Times New Roman" w:cs="Arial"/>
                <w:sz w:val="20"/>
                <w:szCs w:val="20"/>
                <w:lang w:eastAsia="es-MX"/>
              </w:rPr>
              <w:t>Este rubro es integrado por las cuenta en las que se registran todos los préstamos, créditos y adelantos que se les da a terceros integrado de la siguiente manera:</w:t>
            </w:r>
          </w:p>
        </w:tc>
      </w:tr>
      <w:tr w:rsidR="001352BE" w:rsidRPr="00BC7BD7" w:rsidTr="00712A1E">
        <w:trPr>
          <w:trHeight w:val="540"/>
        </w:trPr>
        <w:tc>
          <w:tcPr>
            <w:tcW w:w="13720" w:type="dxa"/>
            <w:tcBorders>
              <w:top w:val="nil"/>
              <w:left w:val="nil"/>
              <w:bottom w:val="nil"/>
              <w:right w:val="nil"/>
            </w:tcBorders>
            <w:shd w:val="clear" w:color="auto" w:fill="auto"/>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1.- Los Deudores Diversos están integrados por préstamos o pagos pendientes de terceros como es el caso de Telecom, el importe total d</w:t>
            </w:r>
            <w:r w:rsidR="007F193C">
              <w:rPr>
                <w:rFonts w:eastAsia="Times New Roman" w:cs="Arial"/>
                <w:sz w:val="20"/>
                <w:szCs w:val="20"/>
                <w:lang w:eastAsia="es-MX"/>
              </w:rPr>
              <w:t>e esta cuenta es de $ 869,669.67</w:t>
            </w:r>
            <w:r w:rsidRPr="00BC7BD7">
              <w:rPr>
                <w:rFonts w:eastAsia="Times New Roman" w:cs="Arial"/>
                <w:sz w:val="20"/>
                <w:szCs w:val="20"/>
                <w:lang w:eastAsia="es-MX"/>
              </w:rPr>
              <w:t xml:space="preserve"> y entre los más representativos se encuentran:</w:t>
            </w:r>
          </w:p>
        </w:tc>
      </w:tr>
    </w:tbl>
    <w:tbl>
      <w:tblPr>
        <w:tblpPr w:leftFromText="141" w:rightFromText="141" w:vertAnchor="text" w:horzAnchor="page" w:tblpX="1971" w:tblpY="223"/>
        <w:tblW w:w="10940" w:type="dxa"/>
        <w:tblCellMar>
          <w:left w:w="70" w:type="dxa"/>
          <w:right w:w="70" w:type="dxa"/>
        </w:tblCellMar>
        <w:tblLook w:val="04A0" w:firstRow="1" w:lastRow="0" w:firstColumn="1" w:lastColumn="0" w:noHBand="0" w:noVBand="1"/>
      </w:tblPr>
      <w:tblGrid>
        <w:gridCol w:w="1509"/>
        <w:gridCol w:w="1876"/>
        <w:gridCol w:w="1660"/>
        <w:gridCol w:w="1260"/>
        <w:gridCol w:w="1480"/>
        <w:gridCol w:w="1415"/>
        <w:gridCol w:w="1740"/>
      </w:tblGrid>
      <w:tr w:rsidR="00712A1E" w:rsidRPr="00BC7BD7" w:rsidTr="00712A1E">
        <w:trPr>
          <w:trHeight w:val="300"/>
        </w:trPr>
        <w:tc>
          <w:tcPr>
            <w:tcW w:w="1509"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943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12A1E" w:rsidRPr="00BC7BD7" w:rsidRDefault="00712A1E" w:rsidP="00712A1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DEUDORES DIVERSOS A CORTO PLAZO</w:t>
            </w:r>
          </w:p>
        </w:tc>
      </w:tr>
      <w:tr w:rsidR="00712A1E" w:rsidRPr="00BC7BD7" w:rsidTr="00712A1E">
        <w:trPr>
          <w:trHeight w:val="300"/>
        </w:trPr>
        <w:tc>
          <w:tcPr>
            <w:tcW w:w="1509"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876" w:type="dxa"/>
            <w:tcBorders>
              <w:top w:val="nil"/>
              <w:left w:val="single" w:sz="8" w:space="0" w:color="auto"/>
              <w:bottom w:val="single" w:sz="8" w:space="0" w:color="auto"/>
              <w:right w:val="single" w:sz="8" w:space="0" w:color="auto"/>
            </w:tcBorders>
            <w:shd w:val="clear" w:color="auto" w:fill="auto"/>
            <w:noWrap/>
            <w:vAlign w:val="bottom"/>
            <w:hideMark/>
          </w:tcPr>
          <w:p w:rsidR="00712A1E" w:rsidRPr="00BC7BD7" w:rsidRDefault="00712A1E" w:rsidP="00712A1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 </w:t>
            </w:r>
          </w:p>
        </w:tc>
        <w:tc>
          <w:tcPr>
            <w:tcW w:w="581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712A1E" w:rsidRPr="00BC7BD7" w:rsidRDefault="00712A1E" w:rsidP="00712A1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Nombre</w:t>
            </w:r>
          </w:p>
        </w:tc>
        <w:tc>
          <w:tcPr>
            <w:tcW w:w="1740" w:type="dxa"/>
            <w:tcBorders>
              <w:top w:val="nil"/>
              <w:left w:val="nil"/>
              <w:bottom w:val="single" w:sz="8" w:space="0" w:color="auto"/>
              <w:right w:val="single" w:sz="8" w:space="0" w:color="auto"/>
            </w:tcBorders>
            <w:shd w:val="clear" w:color="auto" w:fill="auto"/>
            <w:noWrap/>
            <w:vAlign w:val="bottom"/>
            <w:hideMark/>
          </w:tcPr>
          <w:p w:rsidR="00712A1E" w:rsidRPr="00BC7BD7" w:rsidRDefault="00712A1E" w:rsidP="00712A1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Importe</w:t>
            </w:r>
          </w:p>
        </w:tc>
      </w:tr>
      <w:tr w:rsidR="00712A1E" w:rsidRPr="00BC7BD7" w:rsidTr="00712A1E">
        <w:trPr>
          <w:trHeight w:val="300"/>
        </w:trPr>
        <w:tc>
          <w:tcPr>
            <w:tcW w:w="1509"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876" w:type="dxa"/>
            <w:tcBorders>
              <w:top w:val="nil"/>
              <w:left w:val="single" w:sz="8" w:space="0" w:color="auto"/>
              <w:bottom w:val="single" w:sz="4" w:space="0" w:color="auto"/>
              <w:right w:val="single" w:sz="4" w:space="0" w:color="auto"/>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1-1-2-3-0-001-00005</w:t>
            </w:r>
          </w:p>
        </w:tc>
        <w:tc>
          <w:tcPr>
            <w:tcW w:w="4400" w:type="dxa"/>
            <w:gridSpan w:val="3"/>
            <w:tcBorders>
              <w:top w:val="single" w:sz="8" w:space="0" w:color="auto"/>
              <w:left w:val="single" w:sz="4" w:space="0" w:color="auto"/>
              <w:bottom w:val="single" w:sz="4" w:space="0" w:color="auto"/>
              <w:right w:val="nil"/>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PROGRAMA CAPITAL SEMILLA"                    </w:t>
            </w:r>
          </w:p>
        </w:tc>
        <w:tc>
          <w:tcPr>
            <w:tcW w:w="1415" w:type="dxa"/>
            <w:tcBorders>
              <w:top w:val="nil"/>
              <w:left w:val="nil"/>
              <w:bottom w:val="single" w:sz="4" w:space="0" w:color="auto"/>
              <w:right w:val="single" w:sz="4" w:space="0" w:color="auto"/>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740" w:type="dxa"/>
            <w:tcBorders>
              <w:top w:val="nil"/>
              <w:left w:val="nil"/>
              <w:bottom w:val="single" w:sz="4" w:space="0" w:color="auto"/>
              <w:right w:val="single" w:sz="8" w:space="0" w:color="auto"/>
            </w:tcBorders>
            <w:shd w:val="clear" w:color="auto" w:fill="auto"/>
            <w:hideMark/>
          </w:tcPr>
          <w:p w:rsidR="00712A1E" w:rsidRPr="00BC7BD7" w:rsidRDefault="00712A1E" w:rsidP="00712A1E">
            <w:pPr>
              <w:spacing w:after="0" w:line="240" w:lineRule="auto"/>
              <w:jc w:val="both"/>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219,100.00 </w:t>
            </w:r>
          </w:p>
        </w:tc>
      </w:tr>
      <w:tr w:rsidR="00712A1E" w:rsidRPr="00BC7BD7" w:rsidTr="00712A1E">
        <w:trPr>
          <w:trHeight w:val="300"/>
        </w:trPr>
        <w:tc>
          <w:tcPr>
            <w:tcW w:w="1509"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876" w:type="dxa"/>
            <w:tcBorders>
              <w:top w:val="nil"/>
              <w:left w:val="single" w:sz="8" w:space="0" w:color="auto"/>
              <w:bottom w:val="single" w:sz="4" w:space="0" w:color="auto"/>
              <w:right w:val="single" w:sz="4" w:space="0" w:color="auto"/>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1-1-2-3-0-001-00006</w:t>
            </w:r>
          </w:p>
        </w:tc>
        <w:tc>
          <w:tcPr>
            <w:tcW w:w="4400" w:type="dxa"/>
            <w:gridSpan w:val="3"/>
            <w:tcBorders>
              <w:top w:val="single" w:sz="4" w:space="0" w:color="auto"/>
              <w:left w:val="single" w:sz="4" w:space="0" w:color="auto"/>
              <w:bottom w:val="single" w:sz="4" w:space="0" w:color="auto"/>
              <w:right w:val="nil"/>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FOCIR                                        </w:t>
            </w:r>
          </w:p>
        </w:tc>
        <w:tc>
          <w:tcPr>
            <w:tcW w:w="1415" w:type="dxa"/>
            <w:tcBorders>
              <w:top w:val="nil"/>
              <w:left w:val="nil"/>
              <w:bottom w:val="single" w:sz="4" w:space="0" w:color="auto"/>
              <w:right w:val="single" w:sz="4" w:space="0" w:color="auto"/>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740" w:type="dxa"/>
            <w:tcBorders>
              <w:top w:val="nil"/>
              <w:left w:val="nil"/>
              <w:bottom w:val="single" w:sz="4" w:space="0" w:color="auto"/>
              <w:right w:val="single" w:sz="8" w:space="0" w:color="auto"/>
            </w:tcBorders>
            <w:shd w:val="clear" w:color="auto" w:fill="auto"/>
            <w:hideMark/>
          </w:tcPr>
          <w:p w:rsidR="00712A1E" w:rsidRPr="00BC7BD7" w:rsidRDefault="00712A1E" w:rsidP="00712A1E">
            <w:pPr>
              <w:spacing w:after="0" w:line="240" w:lineRule="auto"/>
              <w:jc w:val="both"/>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340,194.00 </w:t>
            </w:r>
          </w:p>
        </w:tc>
      </w:tr>
      <w:tr w:rsidR="00712A1E" w:rsidRPr="00BC7BD7" w:rsidTr="00712A1E">
        <w:trPr>
          <w:trHeight w:val="300"/>
        </w:trPr>
        <w:tc>
          <w:tcPr>
            <w:tcW w:w="1509"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876" w:type="dxa"/>
            <w:tcBorders>
              <w:top w:val="nil"/>
              <w:left w:val="single" w:sz="8" w:space="0" w:color="auto"/>
              <w:bottom w:val="single" w:sz="8" w:space="0" w:color="auto"/>
              <w:right w:val="single" w:sz="4" w:space="0" w:color="auto"/>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1-1-2-3-0-001-00007</w:t>
            </w:r>
          </w:p>
        </w:tc>
        <w:tc>
          <w:tcPr>
            <w:tcW w:w="58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TELECOMUNICACIONES DE MEXICO (TELEGRAFOS)    </w:t>
            </w:r>
          </w:p>
        </w:tc>
        <w:tc>
          <w:tcPr>
            <w:tcW w:w="1740" w:type="dxa"/>
            <w:tcBorders>
              <w:top w:val="nil"/>
              <w:left w:val="nil"/>
              <w:bottom w:val="nil"/>
              <w:right w:val="single" w:sz="8" w:space="0" w:color="auto"/>
            </w:tcBorders>
            <w:shd w:val="clear" w:color="auto" w:fill="auto"/>
            <w:hideMark/>
          </w:tcPr>
          <w:p w:rsidR="00712A1E" w:rsidRPr="00BC7BD7" w:rsidRDefault="007F193C" w:rsidP="007F193C">
            <w:pPr>
              <w:spacing w:after="0" w:line="240" w:lineRule="auto"/>
              <w:jc w:val="both"/>
              <w:rPr>
                <w:rFonts w:eastAsia="Times New Roman" w:cs="Times New Roman"/>
                <w:color w:val="000000"/>
                <w:sz w:val="20"/>
                <w:szCs w:val="20"/>
                <w:lang w:eastAsia="es-MX"/>
              </w:rPr>
            </w:pPr>
            <w:r>
              <w:rPr>
                <w:rFonts w:eastAsia="Times New Roman" w:cs="Times New Roman"/>
                <w:color w:val="000000"/>
                <w:sz w:val="20"/>
                <w:szCs w:val="20"/>
                <w:lang w:eastAsia="es-MX"/>
              </w:rPr>
              <w:t xml:space="preserve">              192</w:t>
            </w:r>
            <w:r w:rsidR="00712A1E" w:rsidRPr="00BC7BD7">
              <w:rPr>
                <w:rFonts w:eastAsia="Times New Roman" w:cs="Times New Roman"/>
                <w:color w:val="000000"/>
                <w:sz w:val="20"/>
                <w:szCs w:val="20"/>
                <w:lang w:eastAsia="es-MX"/>
              </w:rPr>
              <w:t>,</w:t>
            </w:r>
            <w:r>
              <w:rPr>
                <w:rFonts w:eastAsia="Times New Roman" w:cs="Times New Roman"/>
                <w:color w:val="000000"/>
                <w:sz w:val="20"/>
                <w:szCs w:val="20"/>
                <w:lang w:eastAsia="es-MX"/>
              </w:rPr>
              <w:t>517.44</w:t>
            </w:r>
            <w:r w:rsidR="00712A1E" w:rsidRPr="00BC7BD7">
              <w:rPr>
                <w:rFonts w:eastAsia="Times New Roman" w:cs="Times New Roman"/>
                <w:color w:val="000000"/>
                <w:sz w:val="20"/>
                <w:szCs w:val="20"/>
                <w:lang w:eastAsia="es-MX"/>
              </w:rPr>
              <w:t xml:space="preserve"> </w:t>
            </w:r>
          </w:p>
        </w:tc>
      </w:tr>
      <w:tr w:rsidR="00712A1E" w:rsidRPr="00BC7BD7" w:rsidTr="00712A1E">
        <w:trPr>
          <w:trHeight w:val="60"/>
        </w:trPr>
        <w:tc>
          <w:tcPr>
            <w:tcW w:w="1509"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87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4400" w:type="dxa"/>
            <w:gridSpan w:val="3"/>
            <w:tcBorders>
              <w:top w:val="single" w:sz="4" w:space="0" w:color="auto"/>
              <w:left w:val="single" w:sz="4" w:space="0" w:color="auto"/>
              <w:bottom w:val="single" w:sz="8" w:space="0" w:color="auto"/>
              <w:right w:val="nil"/>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DEUDORES DIVERSOS VARIOS</w:t>
            </w:r>
          </w:p>
        </w:tc>
        <w:tc>
          <w:tcPr>
            <w:tcW w:w="1415" w:type="dxa"/>
            <w:tcBorders>
              <w:top w:val="nil"/>
              <w:left w:val="nil"/>
              <w:bottom w:val="single" w:sz="8" w:space="0" w:color="auto"/>
              <w:right w:val="single" w:sz="4" w:space="0" w:color="auto"/>
            </w:tcBorders>
            <w:shd w:val="clear" w:color="auto" w:fill="auto"/>
            <w:noWrap/>
            <w:vAlign w:val="bottom"/>
            <w:hideMark/>
          </w:tcPr>
          <w:p w:rsidR="00712A1E" w:rsidRPr="00BC7BD7" w:rsidRDefault="00712A1E" w:rsidP="00712A1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740" w:type="dxa"/>
            <w:tcBorders>
              <w:top w:val="single" w:sz="4" w:space="0" w:color="auto"/>
              <w:left w:val="nil"/>
              <w:bottom w:val="single" w:sz="8" w:space="0" w:color="auto"/>
              <w:right w:val="single" w:sz="8" w:space="0" w:color="auto"/>
            </w:tcBorders>
            <w:shd w:val="clear" w:color="auto" w:fill="auto"/>
            <w:hideMark/>
          </w:tcPr>
          <w:p w:rsidR="00712A1E" w:rsidRPr="00BC7BD7" w:rsidRDefault="00712A1E" w:rsidP="007F193C">
            <w:pPr>
              <w:spacing w:after="0" w:line="240" w:lineRule="auto"/>
              <w:jc w:val="both"/>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sidR="007F193C">
              <w:rPr>
                <w:rFonts w:eastAsia="Times New Roman" w:cs="Times New Roman"/>
                <w:color w:val="000000"/>
                <w:sz w:val="20"/>
                <w:szCs w:val="20"/>
                <w:lang w:eastAsia="es-MX"/>
              </w:rPr>
              <w:t>117,858.23</w:t>
            </w:r>
            <w:r w:rsidRPr="00BC7BD7">
              <w:rPr>
                <w:rFonts w:eastAsia="Times New Roman" w:cs="Times New Roman"/>
                <w:color w:val="000000"/>
                <w:sz w:val="20"/>
                <w:szCs w:val="20"/>
                <w:lang w:eastAsia="es-MX"/>
              </w:rPr>
              <w:t xml:space="preserve"> </w:t>
            </w:r>
          </w:p>
        </w:tc>
      </w:tr>
      <w:tr w:rsidR="00712A1E" w:rsidRPr="00BC7BD7" w:rsidTr="00712A1E">
        <w:trPr>
          <w:trHeight w:val="300"/>
        </w:trPr>
        <w:tc>
          <w:tcPr>
            <w:tcW w:w="1509"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876"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660"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260"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480"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415" w:type="dxa"/>
            <w:tcBorders>
              <w:top w:val="nil"/>
              <w:left w:val="nil"/>
              <w:bottom w:val="nil"/>
              <w:right w:val="nil"/>
            </w:tcBorders>
            <w:shd w:val="clear" w:color="auto" w:fill="auto"/>
            <w:hideMark/>
          </w:tcPr>
          <w:p w:rsidR="00712A1E" w:rsidRPr="00BC7BD7" w:rsidRDefault="00712A1E" w:rsidP="00712A1E">
            <w:pPr>
              <w:spacing w:after="0" w:line="240" w:lineRule="auto"/>
              <w:jc w:val="both"/>
              <w:rPr>
                <w:rFonts w:eastAsia="Times New Roman" w:cs="Arial"/>
                <w:sz w:val="20"/>
                <w:szCs w:val="20"/>
                <w:lang w:eastAsia="es-MX"/>
              </w:rPr>
            </w:pPr>
          </w:p>
        </w:tc>
        <w:tc>
          <w:tcPr>
            <w:tcW w:w="1740" w:type="dxa"/>
            <w:tcBorders>
              <w:top w:val="nil"/>
              <w:left w:val="nil"/>
              <w:bottom w:val="nil"/>
              <w:right w:val="nil"/>
            </w:tcBorders>
            <w:shd w:val="clear" w:color="auto" w:fill="auto"/>
            <w:hideMark/>
          </w:tcPr>
          <w:p w:rsidR="00712A1E" w:rsidRPr="00BC7BD7" w:rsidRDefault="00712A1E" w:rsidP="007F193C">
            <w:pPr>
              <w:spacing w:after="0" w:line="240" w:lineRule="auto"/>
              <w:jc w:val="both"/>
              <w:rPr>
                <w:rFonts w:eastAsia="Times New Roman" w:cs="Arial"/>
                <w:b/>
                <w:bCs/>
                <w:sz w:val="20"/>
                <w:szCs w:val="20"/>
                <w:lang w:eastAsia="es-MX"/>
              </w:rPr>
            </w:pPr>
            <w:r w:rsidRPr="00BC7BD7">
              <w:rPr>
                <w:rFonts w:eastAsia="Times New Roman" w:cs="Arial"/>
                <w:b/>
                <w:bCs/>
                <w:sz w:val="20"/>
                <w:szCs w:val="20"/>
                <w:lang w:eastAsia="es-MX"/>
              </w:rPr>
              <w:t xml:space="preserve">          </w:t>
            </w:r>
            <w:r w:rsidR="007F193C">
              <w:rPr>
                <w:rFonts w:eastAsia="Times New Roman" w:cs="Arial"/>
                <w:b/>
                <w:bCs/>
                <w:sz w:val="20"/>
                <w:szCs w:val="20"/>
                <w:lang w:eastAsia="es-MX"/>
              </w:rPr>
              <w:t>869,669.67</w:t>
            </w:r>
            <w:r w:rsidRPr="00BC7BD7">
              <w:rPr>
                <w:rFonts w:eastAsia="Times New Roman" w:cs="Arial"/>
                <w:b/>
                <w:bCs/>
                <w:sz w:val="20"/>
                <w:szCs w:val="20"/>
                <w:lang w:eastAsia="es-MX"/>
              </w:rPr>
              <w:t xml:space="preserve"> </w:t>
            </w:r>
          </w:p>
        </w:tc>
      </w:tr>
    </w:tbl>
    <w:p w:rsidR="001352BE" w:rsidRPr="00BC7BD7" w:rsidRDefault="001352BE">
      <w:pPr>
        <w:rPr>
          <w:sz w:val="20"/>
          <w:szCs w:val="20"/>
        </w:rPr>
      </w:pPr>
    </w:p>
    <w:p w:rsidR="001352BE" w:rsidRPr="00BC7BD7" w:rsidRDefault="001352BE">
      <w:pPr>
        <w:rPr>
          <w:sz w:val="20"/>
          <w:szCs w:val="20"/>
        </w:rPr>
      </w:pPr>
    </w:p>
    <w:p w:rsidR="001352BE" w:rsidRPr="00BC7BD7" w:rsidRDefault="001352BE">
      <w:pPr>
        <w:rPr>
          <w:sz w:val="20"/>
          <w:szCs w:val="20"/>
        </w:rPr>
      </w:pPr>
    </w:p>
    <w:p w:rsidR="00712A1E" w:rsidRDefault="00712A1E" w:rsidP="001352BE">
      <w:pPr>
        <w:spacing w:after="0" w:line="240" w:lineRule="auto"/>
        <w:rPr>
          <w:rFonts w:eastAsia="Times New Roman" w:cs="Arial"/>
          <w:sz w:val="20"/>
          <w:szCs w:val="20"/>
          <w:lang w:eastAsia="es-MX"/>
        </w:rPr>
      </w:pPr>
    </w:p>
    <w:p w:rsidR="00712A1E" w:rsidRDefault="00712A1E" w:rsidP="001352BE">
      <w:pPr>
        <w:spacing w:after="0" w:line="240" w:lineRule="auto"/>
        <w:rPr>
          <w:rFonts w:eastAsia="Times New Roman" w:cs="Arial"/>
          <w:sz w:val="20"/>
          <w:szCs w:val="20"/>
          <w:lang w:eastAsia="es-MX"/>
        </w:rPr>
      </w:pPr>
    </w:p>
    <w:p w:rsidR="00712A1E" w:rsidRDefault="00712A1E" w:rsidP="001352BE">
      <w:pPr>
        <w:spacing w:after="0" w:line="240" w:lineRule="auto"/>
        <w:rPr>
          <w:rFonts w:eastAsia="Times New Roman" w:cs="Arial"/>
          <w:sz w:val="20"/>
          <w:szCs w:val="20"/>
          <w:lang w:eastAsia="es-MX"/>
        </w:rPr>
      </w:pPr>
    </w:p>
    <w:p w:rsidR="00712A1E" w:rsidRDefault="00712A1E" w:rsidP="001352BE">
      <w:pPr>
        <w:spacing w:after="0" w:line="240" w:lineRule="auto"/>
        <w:rPr>
          <w:rFonts w:eastAsia="Times New Roman" w:cs="Arial"/>
          <w:sz w:val="20"/>
          <w:szCs w:val="20"/>
          <w:lang w:eastAsia="es-MX"/>
        </w:rPr>
      </w:pPr>
    </w:p>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lastRenderedPageBreak/>
        <w:t xml:space="preserve">2.- Los préstamos otorgados a corto plazo, </w:t>
      </w:r>
      <w:r w:rsidR="007F193C" w:rsidRPr="00BC7BD7">
        <w:rPr>
          <w:rFonts w:eastAsia="Times New Roman" w:cs="Arial"/>
          <w:sz w:val="20"/>
          <w:szCs w:val="20"/>
          <w:lang w:eastAsia="es-MX"/>
        </w:rPr>
        <w:t>está</w:t>
      </w:r>
      <w:r w:rsidRPr="00BC7BD7">
        <w:rPr>
          <w:rFonts w:eastAsia="Times New Roman" w:cs="Arial"/>
          <w:sz w:val="20"/>
          <w:szCs w:val="20"/>
          <w:lang w:eastAsia="es-MX"/>
        </w:rPr>
        <w:t xml:space="preserve"> integrado por todos los que se han dado tanto con los recursos del FIDEY así como también con el de los diferentes programas en los que el FIDEY es Organismo intermediario, dichos programas son los que a continuación se enlistan:</w:t>
      </w:r>
    </w:p>
    <w:p w:rsidR="001352BE" w:rsidRPr="00BC7BD7" w:rsidRDefault="001352BE" w:rsidP="001352BE">
      <w:pPr>
        <w:spacing w:after="0" w:line="240" w:lineRule="auto"/>
        <w:rPr>
          <w:rFonts w:eastAsia="Times New Roman" w:cs="Arial"/>
          <w:sz w:val="20"/>
          <w:szCs w:val="20"/>
          <w:lang w:eastAsia="es-MX"/>
        </w:rPr>
      </w:pPr>
    </w:p>
    <w:tbl>
      <w:tblPr>
        <w:tblW w:w="13186" w:type="dxa"/>
        <w:tblInd w:w="55" w:type="dxa"/>
        <w:tblCellMar>
          <w:left w:w="70" w:type="dxa"/>
          <w:right w:w="70" w:type="dxa"/>
        </w:tblCellMar>
        <w:tblLook w:val="04A0" w:firstRow="1" w:lastRow="0" w:firstColumn="1" w:lastColumn="0" w:noHBand="0" w:noVBand="1"/>
      </w:tblPr>
      <w:tblGrid>
        <w:gridCol w:w="4637"/>
        <w:gridCol w:w="1295"/>
        <w:gridCol w:w="1293"/>
        <w:gridCol w:w="1293"/>
        <w:gridCol w:w="444"/>
        <w:gridCol w:w="4224"/>
      </w:tblGrid>
      <w:tr w:rsidR="001352BE" w:rsidRPr="00BC7BD7" w:rsidTr="001352BE">
        <w:trPr>
          <w:trHeight w:val="270"/>
        </w:trPr>
        <w:tc>
          <w:tcPr>
            <w:tcW w:w="1318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PRESTAMOS OTORGADOS EN DIVERSOS PROGRAMAS</w:t>
            </w:r>
          </w:p>
        </w:tc>
      </w:tr>
      <w:tr w:rsidR="001352BE" w:rsidRPr="00BC7BD7" w:rsidTr="001352BE">
        <w:trPr>
          <w:trHeight w:val="270"/>
        </w:trPr>
        <w:tc>
          <w:tcPr>
            <w:tcW w:w="4637" w:type="dxa"/>
            <w:tcBorders>
              <w:top w:val="nil"/>
              <w:left w:val="single" w:sz="8" w:space="0" w:color="auto"/>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 </w:t>
            </w:r>
          </w:p>
        </w:tc>
        <w:tc>
          <w:tcPr>
            <w:tcW w:w="432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Nombre</w:t>
            </w:r>
          </w:p>
        </w:tc>
        <w:tc>
          <w:tcPr>
            <w:tcW w:w="4224" w:type="dxa"/>
            <w:tcBorders>
              <w:top w:val="nil"/>
              <w:left w:val="nil"/>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Importe</w:t>
            </w:r>
          </w:p>
        </w:tc>
      </w:tr>
      <w:tr w:rsidR="001352BE" w:rsidRPr="00BC7BD7" w:rsidTr="001352BE">
        <w:trPr>
          <w:trHeight w:val="300"/>
        </w:trPr>
        <w:tc>
          <w:tcPr>
            <w:tcW w:w="4637" w:type="dxa"/>
            <w:tcBorders>
              <w:top w:val="nil"/>
              <w:left w:val="single" w:sz="8" w:space="0" w:color="auto"/>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1-1-2-6-1-000-00000</w:t>
            </w:r>
          </w:p>
        </w:tc>
        <w:tc>
          <w:tcPr>
            <w:tcW w:w="3881" w:type="dxa"/>
            <w:gridSpan w:val="3"/>
            <w:tcBorders>
              <w:top w:val="single" w:sz="8" w:space="0" w:color="auto"/>
              <w:left w:val="single" w:sz="4" w:space="0" w:color="auto"/>
              <w:bottom w:val="single" w:sz="4"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CARTERA DE CREDITOS FIDEY                     </w:t>
            </w:r>
          </w:p>
        </w:tc>
        <w:tc>
          <w:tcPr>
            <w:tcW w:w="444" w:type="dxa"/>
            <w:tcBorders>
              <w:top w:val="nil"/>
              <w:left w:val="nil"/>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4224" w:type="dxa"/>
            <w:tcBorders>
              <w:top w:val="nil"/>
              <w:left w:val="nil"/>
              <w:bottom w:val="single" w:sz="4" w:space="0" w:color="auto"/>
              <w:right w:val="single" w:sz="8" w:space="0" w:color="auto"/>
            </w:tcBorders>
            <w:shd w:val="clear" w:color="auto" w:fill="auto"/>
            <w:noWrap/>
            <w:vAlign w:val="bottom"/>
            <w:hideMark/>
          </w:tcPr>
          <w:p w:rsidR="001352BE" w:rsidRPr="00BC7BD7" w:rsidRDefault="001352BE" w:rsidP="007F193C">
            <w:pPr>
              <w:spacing w:after="0" w:line="240" w:lineRule="auto"/>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sidR="007F193C">
              <w:rPr>
                <w:rFonts w:eastAsia="Times New Roman" w:cs="Times New Roman"/>
                <w:color w:val="000000"/>
                <w:sz w:val="20"/>
                <w:szCs w:val="20"/>
                <w:lang w:eastAsia="es-MX"/>
              </w:rPr>
              <w:t xml:space="preserve">                                                        36,513,630.83</w:t>
            </w:r>
            <w:r w:rsidRPr="00BC7BD7">
              <w:rPr>
                <w:rFonts w:eastAsia="Times New Roman" w:cs="Times New Roman"/>
                <w:color w:val="000000"/>
                <w:sz w:val="20"/>
                <w:szCs w:val="20"/>
                <w:lang w:eastAsia="es-MX"/>
              </w:rPr>
              <w:t xml:space="preserve"> </w:t>
            </w:r>
          </w:p>
        </w:tc>
      </w:tr>
      <w:tr w:rsidR="001352BE" w:rsidRPr="00BC7BD7" w:rsidTr="001352BE">
        <w:trPr>
          <w:trHeight w:val="255"/>
        </w:trPr>
        <w:tc>
          <w:tcPr>
            <w:tcW w:w="4637" w:type="dxa"/>
            <w:tcBorders>
              <w:top w:val="nil"/>
              <w:left w:val="single" w:sz="8" w:space="0" w:color="auto"/>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1-1-2-6-2-000-00000</w:t>
            </w:r>
          </w:p>
        </w:tc>
        <w:tc>
          <w:tcPr>
            <w:tcW w:w="432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CARTERA DE CREDITOS MI TORTILLA"              </w:t>
            </w:r>
          </w:p>
        </w:tc>
        <w:tc>
          <w:tcPr>
            <w:tcW w:w="4224" w:type="dxa"/>
            <w:tcBorders>
              <w:top w:val="nil"/>
              <w:left w:val="nil"/>
              <w:bottom w:val="single" w:sz="4" w:space="0" w:color="auto"/>
              <w:right w:val="single" w:sz="8" w:space="0" w:color="auto"/>
            </w:tcBorders>
            <w:shd w:val="clear" w:color="auto" w:fill="auto"/>
            <w:noWrap/>
            <w:vAlign w:val="bottom"/>
            <w:hideMark/>
          </w:tcPr>
          <w:p w:rsidR="001352BE" w:rsidRPr="00BC7BD7" w:rsidRDefault="007F193C" w:rsidP="001352BE">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2,464,688.59</w:t>
            </w:r>
            <w:r w:rsidR="001352BE" w:rsidRPr="00BC7BD7">
              <w:rPr>
                <w:rFonts w:eastAsia="Times New Roman" w:cs="Arial"/>
                <w:color w:val="000000"/>
                <w:sz w:val="20"/>
                <w:szCs w:val="20"/>
                <w:lang w:eastAsia="es-MX"/>
              </w:rPr>
              <w:t xml:space="preserve"> </w:t>
            </w:r>
          </w:p>
        </w:tc>
      </w:tr>
      <w:tr w:rsidR="001352BE" w:rsidRPr="00BC7BD7" w:rsidTr="001352BE">
        <w:trPr>
          <w:trHeight w:val="255"/>
        </w:trPr>
        <w:tc>
          <w:tcPr>
            <w:tcW w:w="4637" w:type="dxa"/>
            <w:tcBorders>
              <w:top w:val="nil"/>
              <w:left w:val="single" w:sz="8" w:space="0" w:color="auto"/>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1-1-2-6-3-000-00000</w:t>
            </w:r>
          </w:p>
        </w:tc>
        <w:tc>
          <w:tcPr>
            <w:tcW w:w="432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CARTERA DE CREDITOS  CAPITAL SEMILLA"         </w:t>
            </w:r>
          </w:p>
        </w:tc>
        <w:tc>
          <w:tcPr>
            <w:tcW w:w="4224" w:type="dxa"/>
            <w:tcBorders>
              <w:top w:val="nil"/>
              <w:left w:val="nil"/>
              <w:bottom w:val="single" w:sz="4" w:space="0" w:color="auto"/>
              <w:right w:val="single" w:sz="8" w:space="0" w:color="auto"/>
            </w:tcBorders>
            <w:shd w:val="clear" w:color="auto" w:fill="auto"/>
            <w:noWrap/>
            <w:vAlign w:val="bottom"/>
            <w:hideMark/>
          </w:tcPr>
          <w:p w:rsidR="001352BE" w:rsidRPr="00BC7BD7" w:rsidRDefault="007F193C" w:rsidP="001352BE">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528,207.00</w:t>
            </w:r>
            <w:r w:rsidR="001352BE" w:rsidRPr="00BC7BD7">
              <w:rPr>
                <w:rFonts w:eastAsia="Times New Roman" w:cs="Arial"/>
                <w:color w:val="000000"/>
                <w:sz w:val="20"/>
                <w:szCs w:val="20"/>
                <w:lang w:eastAsia="es-MX"/>
              </w:rPr>
              <w:t xml:space="preserve"> </w:t>
            </w:r>
          </w:p>
        </w:tc>
      </w:tr>
      <w:tr w:rsidR="001352BE" w:rsidRPr="00BC7BD7" w:rsidTr="001352BE">
        <w:trPr>
          <w:trHeight w:val="255"/>
        </w:trPr>
        <w:tc>
          <w:tcPr>
            <w:tcW w:w="4637" w:type="dxa"/>
            <w:tcBorders>
              <w:top w:val="nil"/>
              <w:left w:val="single" w:sz="8" w:space="0" w:color="auto"/>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1-1-2-6-4-000-00000</w:t>
            </w:r>
          </w:p>
        </w:tc>
        <w:tc>
          <w:tcPr>
            <w:tcW w:w="432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PROYECTOS PRODUCTIVOS FONDO PYME              </w:t>
            </w:r>
          </w:p>
        </w:tc>
        <w:tc>
          <w:tcPr>
            <w:tcW w:w="4224" w:type="dxa"/>
            <w:tcBorders>
              <w:top w:val="nil"/>
              <w:left w:val="nil"/>
              <w:bottom w:val="single" w:sz="4" w:space="0" w:color="auto"/>
              <w:right w:val="single" w:sz="8" w:space="0" w:color="auto"/>
            </w:tcBorders>
            <w:shd w:val="clear" w:color="auto" w:fill="auto"/>
            <w:noWrap/>
            <w:vAlign w:val="bottom"/>
            <w:hideMark/>
          </w:tcPr>
          <w:p w:rsidR="001352BE" w:rsidRPr="00BC7BD7" w:rsidRDefault="007F193C" w:rsidP="001352BE">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2,356,357.28</w:t>
            </w:r>
            <w:r w:rsidR="001352BE" w:rsidRPr="00BC7BD7">
              <w:rPr>
                <w:rFonts w:eastAsia="Times New Roman" w:cs="Arial"/>
                <w:color w:val="000000"/>
                <w:sz w:val="20"/>
                <w:szCs w:val="20"/>
                <w:lang w:eastAsia="es-MX"/>
              </w:rPr>
              <w:t xml:space="preserve"> </w:t>
            </w:r>
          </w:p>
        </w:tc>
      </w:tr>
      <w:tr w:rsidR="001352BE" w:rsidRPr="00BC7BD7" w:rsidTr="001352BE">
        <w:trPr>
          <w:trHeight w:val="255"/>
        </w:trPr>
        <w:tc>
          <w:tcPr>
            <w:tcW w:w="4637" w:type="dxa"/>
            <w:tcBorders>
              <w:top w:val="nil"/>
              <w:left w:val="single" w:sz="8" w:space="0" w:color="auto"/>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1-1-2-6-5-000-00000</w:t>
            </w:r>
          </w:p>
        </w:tc>
        <w:tc>
          <w:tcPr>
            <w:tcW w:w="432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CREDITOS PROY PROD PYME 2010                  </w:t>
            </w:r>
          </w:p>
        </w:tc>
        <w:tc>
          <w:tcPr>
            <w:tcW w:w="4224" w:type="dxa"/>
            <w:tcBorders>
              <w:top w:val="nil"/>
              <w:left w:val="nil"/>
              <w:bottom w:val="single" w:sz="4" w:space="0" w:color="auto"/>
              <w:right w:val="single" w:sz="8" w:space="0" w:color="auto"/>
            </w:tcBorders>
            <w:shd w:val="clear" w:color="auto" w:fill="auto"/>
            <w:noWrap/>
            <w:vAlign w:val="bottom"/>
            <w:hideMark/>
          </w:tcPr>
          <w:p w:rsidR="001352BE" w:rsidRPr="00BC7BD7" w:rsidRDefault="007F193C" w:rsidP="001352BE">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7,541,421.98</w:t>
            </w:r>
            <w:r w:rsidR="001352BE" w:rsidRPr="00BC7BD7">
              <w:rPr>
                <w:rFonts w:eastAsia="Times New Roman" w:cs="Arial"/>
                <w:color w:val="000000"/>
                <w:sz w:val="20"/>
                <w:szCs w:val="20"/>
                <w:lang w:eastAsia="es-MX"/>
              </w:rPr>
              <w:t xml:space="preserve"> </w:t>
            </w:r>
          </w:p>
        </w:tc>
      </w:tr>
      <w:tr w:rsidR="001352BE" w:rsidRPr="00BC7BD7" w:rsidTr="001352BE">
        <w:trPr>
          <w:trHeight w:val="270"/>
        </w:trPr>
        <w:tc>
          <w:tcPr>
            <w:tcW w:w="4637" w:type="dxa"/>
            <w:tcBorders>
              <w:top w:val="nil"/>
              <w:left w:val="single" w:sz="8" w:space="0" w:color="auto"/>
              <w:bottom w:val="single" w:sz="8"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1-1-2-6-6-000-00000</w:t>
            </w:r>
          </w:p>
        </w:tc>
        <w:tc>
          <w:tcPr>
            <w:tcW w:w="4325"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PROGRAMA ZONAS MARGINADAS"                    </w:t>
            </w:r>
          </w:p>
        </w:tc>
        <w:tc>
          <w:tcPr>
            <w:tcW w:w="4224" w:type="dxa"/>
            <w:tcBorders>
              <w:top w:val="nil"/>
              <w:left w:val="nil"/>
              <w:bottom w:val="single" w:sz="8" w:space="0" w:color="auto"/>
              <w:right w:val="single" w:sz="8" w:space="0" w:color="auto"/>
            </w:tcBorders>
            <w:shd w:val="clear" w:color="auto" w:fill="auto"/>
            <w:noWrap/>
            <w:vAlign w:val="bottom"/>
            <w:hideMark/>
          </w:tcPr>
          <w:p w:rsidR="001352BE" w:rsidRPr="00BC7BD7" w:rsidRDefault="007F193C" w:rsidP="001352BE">
            <w:pPr>
              <w:spacing w:after="0" w:line="240" w:lineRule="auto"/>
              <w:jc w:val="right"/>
              <w:rPr>
                <w:rFonts w:eastAsia="Times New Roman" w:cs="Arial"/>
                <w:color w:val="000000"/>
                <w:sz w:val="20"/>
                <w:szCs w:val="20"/>
                <w:lang w:eastAsia="es-MX"/>
              </w:rPr>
            </w:pPr>
            <w:r>
              <w:rPr>
                <w:rFonts w:eastAsia="Times New Roman" w:cs="Arial"/>
                <w:color w:val="000000"/>
                <w:sz w:val="20"/>
                <w:szCs w:val="20"/>
                <w:lang w:eastAsia="es-MX"/>
              </w:rPr>
              <w:t>66,860,921.00</w:t>
            </w:r>
            <w:r w:rsidR="001352BE" w:rsidRPr="00BC7BD7">
              <w:rPr>
                <w:rFonts w:eastAsia="Times New Roman" w:cs="Arial"/>
                <w:color w:val="000000"/>
                <w:sz w:val="20"/>
                <w:szCs w:val="20"/>
                <w:lang w:eastAsia="es-MX"/>
              </w:rPr>
              <w:t xml:space="preserve"> </w:t>
            </w:r>
          </w:p>
        </w:tc>
      </w:tr>
      <w:tr w:rsidR="001352BE" w:rsidRPr="00BC7BD7" w:rsidTr="001352BE">
        <w:trPr>
          <w:trHeight w:val="255"/>
        </w:trPr>
        <w:tc>
          <w:tcPr>
            <w:tcW w:w="4637"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295"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293"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293"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444"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4224" w:type="dxa"/>
            <w:tcBorders>
              <w:top w:val="nil"/>
              <w:left w:val="nil"/>
              <w:bottom w:val="nil"/>
              <w:right w:val="nil"/>
            </w:tcBorders>
            <w:shd w:val="clear" w:color="auto" w:fill="auto"/>
            <w:noWrap/>
            <w:vAlign w:val="bottom"/>
            <w:hideMark/>
          </w:tcPr>
          <w:p w:rsidR="001352BE" w:rsidRPr="00BC7BD7" w:rsidRDefault="001352BE" w:rsidP="007F193C">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w:t>
            </w:r>
            <w:r w:rsidR="007F193C">
              <w:rPr>
                <w:rFonts w:eastAsia="Times New Roman" w:cs="Arial"/>
                <w:b/>
                <w:bCs/>
                <w:sz w:val="20"/>
                <w:szCs w:val="20"/>
                <w:lang w:eastAsia="es-MX"/>
              </w:rPr>
              <w:t xml:space="preserve">                                                       116,265,226.68</w:t>
            </w:r>
            <w:r w:rsidRPr="00BC7BD7">
              <w:rPr>
                <w:rFonts w:eastAsia="Times New Roman" w:cs="Arial"/>
                <w:b/>
                <w:bCs/>
                <w:sz w:val="20"/>
                <w:szCs w:val="20"/>
                <w:lang w:eastAsia="es-MX"/>
              </w:rPr>
              <w:t xml:space="preserve"> </w:t>
            </w:r>
          </w:p>
        </w:tc>
      </w:tr>
    </w:tbl>
    <w:p w:rsidR="001352BE" w:rsidRPr="00BC7BD7" w:rsidRDefault="001352BE" w:rsidP="001352BE">
      <w:pPr>
        <w:spacing w:after="0" w:line="240" w:lineRule="auto"/>
        <w:rPr>
          <w:rFonts w:eastAsia="Times New Roman" w:cs="Arial"/>
          <w:sz w:val="20"/>
          <w:szCs w:val="20"/>
          <w:lang w:eastAsia="es-MX"/>
        </w:rPr>
      </w:pPr>
    </w:p>
    <w:p w:rsidR="001352BE" w:rsidRPr="00BC7BD7" w:rsidRDefault="001352BE" w:rsidP="001352BE">
      <w:pPr>
        <w:spacing w:after="0" w:line="240" w:lineRule="auto"/>
        <w:rPr>
          <w:rFonts w:eastAsia="Times New Roman" w:cs="Arial"/>
          <w:sz w:val="20"/>
          <w:szCs w:val="20"/>
          <w:lang w:eastAsia="es-MX"/>
        </w:rPr>
      </w:pPr>
    </w:p>
    <w:tbl>
      <w:tblPr>
        <w:tblW w:w="13055" w:type="dxa"/>
        <w:tblInd w:w="55" w:type="dxa"/>
        <w:tblCellMar>
          <w:left w:w="70" w:type="dxa"/>
          <w:right w:w="70" w:type="dxa"/>
        </w:tblCellMar>
        <w:tblLook w:val="04A0" w:firstRow="1" w:lastRow="0" w:firstColumn="1" w:lastColumn="0" w:noHBand="0" w:noVBand="1"/>
      </w:tblPr>
      <w:tblGrid>
        <w:gridCol w:w="2910"/>
        <w:gridCol w:w="6787"/>
        <w:gridCol w:w="265"/>
        <w:gridCol w:w="265"/>
        <w:gridCol w:w="744"/>
        <w:gridCol w:w="2084"/>
      </w:tblGrid>
      <w:tr w:rsidR="001352BE" w:rsidRPr="00BC7BD7" w:rsidTr="00956C23">
        <w:trPr>
          <w:trHeight w:val="279"/>
        </w:trPr>
        <w:tc>
          <w:tcPr>
            <w:tcW w:w="291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 </w:t>
            </w:r>
          </w:p>
        </w:tc>
        <w:tc>
          <w:tcPr>
            <w:tcW w:w="806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Nombre</w:t>
            </w:r>
          </w:p>
        </w:tc>
        <w:tc>
          <w:tcPr>
            <w:tcW w:w="2084" w:type="dxa"/>
            <w:tcBorders>
              <w:top w:val="single" w:sz="4" w:space="0" w:color="auto"/>
              <w:left w:val="nil"/>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Importe</w:t>
            </w:r>
          </w:p>
        </w:tc>
      </w:tr>
      <w:tr w:rsidR="007F193C" w:rsidRPr="00BC7BD7" w:rsidTr="00152302">
        <w:trPr>
          <w:trHeight w:val="310"/>
        </w:trPr>
        <w:tc>
          <w:tcPr>
            <w:tcW w:w="2910" w:type="dxa"/>
            <w:tcBorders>
              <w:top w:val="nil"/>
              <w:left w:val="single" w:sz="8" w:space="0" w:color="auto"/>
              <w:bottom w:val="single" w:sz="4" w:space="0" w:color="auto"/>
              <w:right w:val="single" w:sz="4" w:space="0" w:color="auto"/>
            </w:tcBorders>
            <w:shd w:val="clear" w:color="auto" w:fill="auto"/>
            <w:noWrap/>
            <w:vAlign w:val="bottom"/>
            <w:hideMark/>
          </w:tcPr>
          <w:p w:rsidR="007F193C" w:rsidRPr="00BC7BD7" w:rsidRDefault="007F193C"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1-1-2-2-0-002-00001</w:t>
            </w:r>
          </w:p>
        </w:tc>
        <w:tc>
          <w:tcPr>
            <w:tcW w:w="8061" w:type="dxa"/>
            <w:gridSpan w:val="4"/>
            <w:tcBorders>
              <w:top w:val="nil"/>
              <w:left w:val="nil"/>
              <w:bottom w:val="single" w:sz="4" w:space="0" w:color="auto"/>
              <w:right w:val="single" w:sz="4" w:space="0" w:color="auto"/>
            </w:tcBorders>
            <w:shd w:val="clear" w:color="auto" w:fill="auto"/>
            <w:noWrap/>
            <w:vAlign w:val="bottom"/>
            <w:hideMark/>
          </w:tcPr>
          <w:p w:rsidR="007F193C" w:rsidRPr="00BC7BD7" w:rsidRDefault="007F193C"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       IVA SALDO A FAVOR</w:t>
            </w:r>
          </w:p>
        </w:tc>
        <w:tc>
          <w:tcPr>
            <w:tcW w:w="2084" w:type="dxa"/>
            <w:tcBorders>
              <w:top w:val="nil"/>
              <w:left w:val="nil"/>
              <w:bottom w:val="single" w:sz="4" w:space="0" w:color="auto"/>
              <w:right w:val="single" w:sz="8" w:space="0" w:color="auto"/>
            </w:tcBorders>
            <w:shd w:val="clear" w:color="auto" w:fill="auto"/>
            <w:hideMark/>
          </w:tcPr>
          <w:p w:rsidR="007F193C" w:rsidRPr="00BC7BD7" w:rsidRDefault="007F193C" w:rsidP="001352BE">
            <w:pPr>
              <w:spacing w:after="0" w:line="240" w:lineRule="auto"/>
              <w:jc w:val="both"/>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Pr>
                <w:rFonts w:eastAsia="Times New Roman" w:cs="Times New Roman"/>
                <w:color w:val="000000"/>
                <w:sz w:val="20"/>
                <w:szCs w:val="20"/>
                <w:lang w:eastAsia="es-MX"/>
              </w:rPr>
              <w:t xml:space="preserve">   </w:t>
            </w:r>
            <w:r w:rsidRPr="00BC7BD7">
              <w:rPr>
                <w:rFonts w:eastAsia="Times New Roman" w:cs="Times New Roman"/>
                <w:color w:val="000000"/>
                <w:sz w:val="20"/>
                <w:szCs w:val="20"/>
                <w:lang w:eastAsia="es-MX"/>
              </w:rPr>
              <w:t xml:space="preserve">611.55 </w:t>
            </w:r>
          </w:p>
        </w:tc>
      </w:tr>
      <w:tr w:rsidR="007F193C" w:rsidRPr="00BC7BD7" w:rsidTr="00402ABA">
        <w:trPr>
          <w:trHeight w:val="325"/>
        </w:trPr>
        <w:tc>
          <w:tcPr>
            <w:tcW w:w="2910" w:type="dxa"/>
            <w:tcBorders>
              <w:top w:val="nil"/>
              <w:left w:val="single" w:sz="8" w:space="0" w:color="auto"/>
              <w:bottom w:val="single" w:sz="8" w:space="0" w:color="auto"/>
              <w:right w:val="single" w:sz="4" w:space="0" w:color="auto"/>
            </w:tcBorders>
            <w:shd w:val="clear" w:color="auto" w:fill="auto"/>
            <w:noWrap/>
            <w:vAlign w:val="bottom"/>
            <w:hideMark/>
          </w:tcPr>
          <w:p w:rsidR="007F193C" w:rsidRPr="00BC7BD7" w:rsidRDefault="007F193C" w:rsidP="001352BE">
            <w:pPr>
              <w:spacing w:after="0" w:line="240" w:lineRule="auto"/>
              <w:outlineLvl w:val="0"/>
              <w:rPr>
                <w:rFonts w:eastAsia="Times New Roman" w:cs="Arial"/>
                <w:sz w:val="20"/>
                <w:szCs w:val="20"/>
                <w:lang w:eastAsia="es-MX"/>
              </w:rPr>
            </w:pPr>
            <w:r w:rsidRPr="00BC7BD7">
              <w:rPr>
                <w:rFonts w:eastAsia="Times New Roman" w:cs="Arial"/>
                <w:sz w:val="20"/>
                <w:szCs w:val="20"/>
                <w:lang w:eastAsia="es-MX"/>
              </w:rPr>
              <w:t>'1-1-2-2-0-003-00001</w:t>
            </w:r>
          </w:p>
        </w:tc>
        <w:tc>
          <w:tcPr>
            <w:tcW w:w="8061" w:type="dxa"/>
            <w:gridSpan w:val="4"/>
            <w:tcBorders>
              <w:top w:val="nil"/>
              <w:left w:val="nil"/>
              <w:bottom w:val="single" w:sz="8" w:space="0" w:color="auto"/>
              <w:right w:val="single" w:sz="4" w:space="0" w:color="auto"/>
            </w:tcBorders>
            <w:shd w:val="clear" w:color="auto" w:fill="auto"/>
            <w:noWrap/>
            <w:vAlign w:val="bottom"/>
            <w:hideMark/>
          </w:tcPr>
          <w:p w:rsidR="007F193C" w:rsidRPr="00BC7BD7" w:rsidRDefault="007F193C" w:rsidP="001352BE">
            <w:pPr>
              <w:spacing w:after="0" w:line="240" w:lineRule="auto"/>
              <w:outlineLvl w:val="0"/>
              <w:rPr>
                <w:rFonts w:eastAsia="Times New Roman" w:cs="Arial"/>
                <w:sz w:val="20"/>
                <w:szCs w:val="20"/>
                <w:lang w:eastAsia="es-MX"/>
              </w:rPr>
            </w:pPr>
            <w:r w:rsidRPr="00BC7BD7">
              <w:rPr>
                <w:rFonts w:eastAsia="Times New Roman" w:cs="Arial"/>
                <w:sz w:val="20"/>
                <w:szCs w:val="20"/>
                <w:lang w:eastAsia="es-MX"/>
              </w:rPr>
              <w:t xml:space="preserve">     INTERESES DEVENGADOS NO COBRADOS</w:t>
            </w:r>
          </w:p>
        </w:tc>
        <w:tc>
          <w:tcPr>
            <w:tcW w:w="2084" w:type="dxa"/>
            <w:tcBorders>
              <w:top w:val="nil"/>
              <w:left w:val="nil"/>
              <w:bottom w:val="single" w:sz="8" w:space="0" w:color="auto"/>
              <w:right w:val="single" w:sz="8" w:space="0" w:color="auto"/>
            </w:tcBorders>
            <w:shd w:val="clear" w:color="auto" w:fill="auto"/>
            <w:hideMark/>
          </w:tcPr>
          <w:p w:rsidR="007F193C" w:rsidRPr="00BC7BD7" w:rsidRDefault="007F193C" w:rsidP="007F193C">
            <w:pPr>
              <w:spacing w:after="0" w:line="240" w:lineRule="auto"/>
              <w:jc w:val="both"/>
              <w:outlineLvl w:val="0"/>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Pr>
                <w:rFonts w:eastAsia="Times New Roman" w:cs="Times New Roman"/>
                <w:color w:val="000000"/>
                <w:sz w:val="20"/>
                <w:szCs w:val="20"/>
                <w:lang w:eastAsia="es-MX"/>
              </w:rPr>
              <w:t>1,533.66</w:t>
            </w:r>
            <w:r w:rsidRPr="00BC7BD7">
              <w:rPr>
                <w:rFonts w:eastAsia="Times New Roman" w:cs="Times New Roman"/>
                <w:color w:val="000000"/>
                <w:sz w:val="20"/>
                <w:szCs w:val="20"/>
                <w:lang w:eastAsia="es-MX"/>
              </w:rPr>
              <w:t xml:space="preserve"> </w:t>
            </w:r>
          </w:p>
        </w:tc>
      </w:tr>
      <w:tr w:rsidR="001352BE" w:rsidRPr="00BC7BD7" w:rsidTr="00B2766F">
        <w:trPr>
          <w:trHeight w:val="263"/>
        </w:trPr>
        <w:tc>
          <w:tcPr>
            <w:tcW w:w="291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6787"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65"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65"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744"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2084" w:type="dxa"/>
            <w:tcBorders>
              <w:top w:val="nil"/>
              <w:left w:val="nil"/>
              <w:bottom w:val="nil"/>
              <w:right w:val="nil"/>
            </w:tcBorders>
            <w:shd w:val="clear" w:color="auto" w:fill="auto"/>
            <w:noWrap/>
            <w:vAlign w:val="bottom"/>
            <w:hideMark/>
          </w:tcPr>
          <w:p w:rsidR="001352BE" w:rsidRPr="00BC7BD7" w:rsidRDefault="001352BE" w:rsidP="007F193C">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w:t>
            </w:r>
            <w:r w:rsidR="007F193C">
              <w:rPr>
                <w:rFonts w:eastAsia="Times New Roman" w:cs="Arial"/>
                <w:b/>
                <w:bCs/>
                <w:sz w:val="20"/>
                <w:szCs w:val="20"/>
                <w:lang w:eastAsia="es-MX"/>
              </w:rPr>
              <w:t xml:space="preserve">         2,145.21</w:t>
            </w:r>
            <w:r w:rsidRPr="00BC7BD7">
              <w:rPr>
                <w:rFonts w:eastAsia="Times New Roman" w:cs="Arial"/>
                <w:b/>
                <w:bCs/>
                <w:sz w:val="20"/>
                <w:szCs w:val="20"/>
                <w:lang w:eastAsia="es-MX"/>
              </w:rPr>
              <w:t xml:space="preserve"> </w:t>
            </w:r>
          </w:p>
        </w:tc>
      </w:tr>
    </w:tbl>
    <w:p w:rsidR="001352BE" w:rsidRPr="00BC7BD7" w:rsidRDefault="001352BE" w:rsidP="001352BE">
      <w:pPr>
        <w:spacing w:after="0" w:line="240" w:lineRule="auto"/>
        <w:rPr>
          <w:rFonts w:eastAsia="Times New Roman" w:cs="Arial"/>
          <w:sz w:val="20"/>
          <w:szCs w:val="20"/>
          <w:lang w:eastAsia="es-MX"/>
        </w:rPr>
      </w:pPr>
    </w:p>
    <w:p w:rsidR="001352BE" w:rsidRDefault="007F193C">
      <w:pPr>
        <w:rPr>
          <w:b/>
          <w:sz w:val="20"/>
          <w:szCs w:val="20"/>
        </w:rPr>
      </w:pPr>
      <w:r>
        <w:rPr>
          <w:sz w:val="20"/>
          <w:szCs w:val="20"/>
        </w:rPr>
        <w:t xml:space="preserve">                                                                                      </w:t>
      </w:r>
      <w:r w:rsidR="001352BE" w:rsidRPr="00BC7BD7">
        <w:rPr>
          <w:b/>
          <w:sz w:val="20"/>
          <w:szCs w:val="20"/>
        </w:rPr>
        <w:t xml:space="preserve">TOTAL DERECHOS A RECIBIR EFECTIVO Y EQUIVALENTES Y BIENES O SERVICIOS A RECIBIR      </w:t>
      </w:r>
      <w:r>
        <w:rPr>
          <w:b/>
          <w:sz w:val="20"/>
          <w:szCs w:val="20"/>
        </w:rPr>
        <w:t>117,137,041.56</w:t>
      </w:r>
    </w:p>
    <w:p w:rsidR="007F193C" w:rsidRDefault="007F193C">
      <w:pPr>
        <w:rPr>
          <w:b/>
          <w:sz w:val="20"/>
          <w:szCs w:val="20"/>
        </w:rPr>
      </w:pPr>
    </w:p>
    <w:p w:rsidR="007F193C" w:rsidRDefault="007F193C">
      <w:pPr>
        <w:rPr>
          <w:b/>
          <w:sz w:val="20"/>
          <w:szCs w:val="20"/>
        </w:rPr>
      </w:pPr>
    </w:p>
    <w:p w:rsidR="007F193C" w:rsidRDefault="007F193C">
      <w:pPr>
        <w:rPr>
          <w:b/>
          <w:sz w:val="20"/>
          <w:szCs w:val="20"/>
        </w:rPr>
      </w:pPr>
    </w:p>
    <w:p w:rsidR="00956C23" w:rsidRPr="00BC7BD7" w:rsidRDefault="00956C23">
      <w:pPr>
        <w:rPr>
          <w:b/>
          <w:sz w:val="20"/>
          <w:szCs w:val="20"/>
        </w:rPr>
      </w:pPr>
    </w:p>
    <w:tbl>
      <w:tblPr>
        <w:tblW w:w="13720" w:type="dxa"/>
        <w:tblInd w:w="55" w:type="dxa"/>
        <w:tblCellMar>
          <w:left w:w="70" w:type="dxa"/>
          <w:right w:w="70" w:type="dxa"/>
        </w:tblCellMar>
        <w:tblLook w:val="04A0" w:firstRow="1" w:lastRow="0" w:firstColumn="1" w:lastColumn="0" w:noHBand="0" w:noVBand="1"/>
      </w:tblPr>
      <w:tblGrid>
        <w:gridCol w:w="13720"/>
      </w:tblGrid>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lastRenderedPageBreak/>
              <w:t>NOTA 3</w:t>
            </w:r>
          </w:p>
        </w:tc>
      </w:tr>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Bienes Muebles, Inmuebles e Intangibles</w:t>
            </w:r>
          </w:p>
        </w:tc>
      </w:tr>
    </w:tbl>
    <w:p w:rsidR="001352BE" w:rsidRPr="00BC7BD7" w:rsidRDefault="001352BE">
      <w:pPr>
        <w:rPr>
          <w:b/>
          <w:sz w:val="20"/>
          <w:szCs w:val="20"/>
        </w:rPr>
      </w:pPr>
    </w:p>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Los Activos Fijos se presentan valuados a su precio de adquisición, en este caso se cuenta con mobiliario y equipo de </w:t>
      </w:r>
      <w:r w:rsidR="00956C23" w:rsidRPr="00BC7BD7">
        <w:rPr>
          <w:rFonts w:eastAsia="Times New Roman" w:cs="Arial"/>
          <w:sz w:val="20"/>
          <w:szCs w:val="20"/>
          <w:lang w:eastAsia="es-MX"/>
        </w:rPr>
        <w:t>administración</w:t>
      </w:r>
      <w:r w:rsidRPr="00BC7BD7">
        <w:rPr>
          <w:rFonts w:eastAsia="Times New Roman" w:cs="Arial"/>
          <w:sz w:val="20"/>
          <w:szCs w:val="20"/>
          <w:lang w:eastAsia="es-MX"/>
        </w:rPr>
        <w:t xml:space="preserve"> y con mobiliario y equipo educacional y de recreativo. Las depreciaciones se acumulan por el método de línea recta en base a las siguientes tasas anuales:</w:t>
      </w:r>
    </w:p>
    <w:p w:rsidR="001352BE" w:rsidRPr="00BC7BD7" w:rsidRDefault="001352BE">
      <w:pPr>
        <w:rPr>
          <w:b/>
          <w:sz w:val="20"/>
          <w:szCs w:val="20"/>
        </w:rPr>
      </w:pPr>
    </w:p>
    <w:tbl>
      <w:tblPr>
        <w:tblW w:w="7600" w:type="dxa"/>
        <w:tblInd w:w="2151" w:type="dxa"/>
        <w:tblCellMar>
          <w:left w:w="70" w:type="dxa"/>
          <w:right w:w="70" w:type="dxa"/>
        </w:tblCellMar>
        <w:tblLook w:val="04A0" w:firstRow="1" w:lastRow="0" w:firstColumn="1" w:lastColumn="0" w:noHBand="0" w:noVBand="1"/>
      </w:tblPr>
      <w:tblGrid>
        <w:gridCol w:w="1720"/>
        <w:gridCol w:w="1720"/>
        <w:gridCol w:w="1260"/>
        <w:gridCol w:w="1480"/>
        <w:gridCol w:w="1420"/>
      </w:tblGrid>
      <w:tr w:rsidR="001352BE" w:rsidRPr="00BC7BD7" w:rsidTr="00A47917">
        <w:trPr>
          <w:trHeight w:val="270"/>
        </w:trPr>
        <w:tc>
          <w:tcPr>
            <w:tcW w:w="34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sz w:val="20"/>
                <w:szCs w:val="20"/>
                <w:lang w:eastAsia="es-MX"/>
              </w:rPr>
            </w:pPr>
            <w:r w:rsidRPr="00BC7BD7">
              <w:rPr>
                <w:rFonts w:eastAsia="Times New Roman" w:cs="Arial"/>
                <w:sz w:val="20"/>
                <w:szCs w:val="20"/>
                <w:lang w:eastAsia="es-MX"/>
              </w:rPr>
              <w:t>TIPO</w:t>
            </w:r>
          </w:p>
        </w:tc>
        <w:tc>
          <w:tcPr>
            <w:tcW w:w="1260" w:type="dxa"/>
            <w:tcBorders>
              <w:top w:val="single" w:sz="8" w:space="0" w:color="auto"/>
              <w:left w:val="nil"/>
              <w:bottom w:val="single" w:sz="8" w:space="0" w:color="auto"/>
              <w:right w:val="single" w:sz="8" w:space="0" w:color="auto"/>
            </w:tcBorders>
            <w:shd w:val="clear" w:color="auto" w:fill="auto"/>
            <w:hideMark/>
          </w:tcPr>
          <w:p w:rsidR="001352BE" w:rsidRPr="00BC7BD7" w:rsidRDefault="001352BE" w:rsidP="001352BE">
            <w:pPr>
              <w:spacing w:after="0" w:line="240" w:lineRule="auto"/>
              <w:jc w:val="center"/>
              <w:rPr>
                <w:rFonts w:eastAsia="Times New Roman" w:cs="Arial"/>
                <w:sz w:val="20"/>
                <w:szCs w:val="20"/>
                <w:lang w:eastAsia="es-MX"/>
              </w:rPr>
            </w:pPr>
            <w:r w:rsidRPr="00BC7BD7">
              <w:rPr>
                <w:rFonts w:eastAsia="Times New Roman" w:cs="Arial"/>
                <w:sz w:val="20"/>
                <w:szCs w:val="20"/>
                <w:lang w:eastAsia="es-MX"/>
              </w:rPr>
              <w:t>V.H.O.</w:t>
            </w:r>
          </w:p>
        </w:tc>
        <w:tc>
          <w:tcPr>
            <w:tcW w:w="1480" w:type="dxa"/>
            <w:tcBorders>
              <w:top w:val="single" w:sz="8" w:space="0" w:color="auto"/>
              <w:left w:val="nil"/>
              <w:bottom w:val="single" w:sz="8" w:space="0" w:color="auto"/>
              <w:right w:val="single" w:sz="8" w:space="0" w:color="auto"/>
            </w:tcBorders>
            <w:shd w:val="clear" w:color="auto" w:fill="auto"/>
            <w:hideMark/>
          </w:tcPr>
          <w:p w:rsidR="001352BE" w:rsidRPr="00BC7BD7" w:rsidRDefault="001352BE" w:rsidP="001352BE">
            <w:pPr>
              <w:spacing w:after="0" w:line="240" w:lineRule="auto"/>
              <w:jc w:val="center"/>
              <w:rPr>
                <w:rFonts w:eastAsia="Times New Roman" w:cs="Arial"/>
                <w:sz w:val="20"/>
                <w:szCs w:val="20"/>
                <w:lang w:eastAsia="es-MX"/>
              </w:rPr>
            </w:pPr>
            <w:r w:rsidRPr="00BC7BD7">
              <w:rPr>
                <w:rFonts w:eastAsia="Times New Roman" w:cs="Arial"/>
                <w:sz w:val="20"/>
                <w:szCs w:val="20"/>
                <w:lang w:eastAsia="es-MX"/>
              </w:rPr>
              <w:t>%</w:t>
            </w:r>
          </w:p>
        </w:tc>
        <w:tc>
          <w:tcPr>
            <w:tcW w:w="1420" w:type="dxa"/>
            <w:tcBorders>
              <w:top w:val="single" w:sz="8" w:space="0" w:color="auto"/>
              <w:left w:val="nil"/>
              <w:bottom w:val="single" w:sz="8" w:space="0" w:color="auto"/>
              <w:right w:val="single" w:sz="8" w:space="0" w:color="auto"/>
            </w:tcBorders>
            <w:shd w:val="clear" w:color="auto" w:fill="auto"/>
            <w:hideMark/>
          </w:tcPr>
          <w:p w:rsidR="001352BE" w:rsidRPr="00BC7BD7" w:rsidRDefault="001352BE" w:rsidP="001352BE">
            <w:pPr>
              <w:spacing w:after="0" w:line="240" w:lineRule="auto"/>
              <w:jc w:val="center"/>
              <w:rPr>
                <w:rFonts w:eastAsia="Times New Roman" w:cs="Arial"/>
                <w:sz w:val="20"/>
                <w:szCs w:val="20"/>
                <w:lang w:eastAsia="es-MX"/>
              </w:rPr>
            </w:pPr>
            <w:r w:rsidRPr="00BC7BD7">
              <w:rPr>
                <w:rFonts w:eastAsia="Times New Roman" w:cs="Arial"/>
                <w:sz w:val="20"/>
                <w:szCs w:val="20"/>
                <w:lang w:eastAsia="es-MX"/>
              </w:rPr>
              <w:t>DEP ACUM</w:t>
            </w:r>
          </w:p>
        </w:tc>
      </w:tr>
      <w:tr w:rsidR="001352BE" w:rsidRPr="00BC7BD7" w:rsidTr="00A47917">
        <w:trPr>
          <w:trHeight w:val="300"/>
        </w:trPr>
        <w:tc>
          <w:tcPr>
            <w:tcW w:w="3440" w:type="dxa"/>
            <w:gridSpan w:val="2"/>
            <w:tcBorders>
              <w:top w:val="single" w:sz="8" w:space="0" w:color="auto"/>
              <w:left w:val="single" w:sz="8" w:space="0" w:color="auto"/>
              <w:bottom w:val="single" w:sz="4" w:space="0" w:color="auto"/>
              <w:right w:val="nil"/>
            </w:tcBorders>
            <w:shd w:val="clear" w:color="auto" w:fill="auto"/>
            <w:noWrap/>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Muebles de Oficina y </w:t>
            </w:r>
            <w:r w:rsidR="00956C23" w:rsidRPr="00BC7BD7">
              <w:rPr>
                <w:rFonts w:eastAsia="Times New Roman" w:cs="Arial"/>
                <w:sz w:val="20"/>
                <w:szCs w:val="20"/>
                <w:lang w:eastAsia="es-MX"/>
              </w:rPr>
              <w:t>Estantería</w:t>
            </w:r>
          </w:p>
        </w:tc>
        <w:tc>
          <w:tcPr>
            <w:tcW w:w="1260" w:type="dxa"/>
            <w:tcBorders>
              <w:top w:val="nil"/>
              <w:left w:val="single" w:sz="4" w:space="0" w:color="auto"/>
              <w:bottom w:val="single" w:sz="4" w:space="0" w:color="auto"/>
              <w:right w:val="single" w:sz="8" w:space="0" w:color="auto"/>
            </w:tcBorders>
            <w:shd w:val="clear" w:color="auto" w:fill="auto"/>
            <w:hideMark/>
          </w:tcPr>
          <w:p w:rsidR="001352BE" w:rsidRPr="00BC7BD7" w:rsidRDefault="001352BE" w:rsidP="001352BE">
            <w:pPr>
              <w:spacing w:after="0" w:line="240" w:lineRule="auto"/>
              <w:jc w:val="center"/>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25,830.74 </w:t>
            </w:r>
          </w:p>
        </w:tc>
        <w:tc>
          <w:tcPr>
            <w:tcW w:w="1480" w:type="dxa"/>
            <w:tcBorders>
              <w:top w:val="nil"/>
              <w:left w:val="single" w:sz="4" w:space="0" w:color="auto"/>
              <w:bottom w:val="single" w:sz="4" w:space="0" w:color="auto"/>
              <w:right w:val="single" w:sz="8" w:space="0" w:color="auto"/>
            </w:tcBorders>
            <w:shd w:val="clear" w:color="auto" w:fill="auto"/>
            <w:hideMark/>
          </w:tcPr>
          <w:p w:rsidR="001352BE" w:rsidRPr="00BC7BD7" w:rsidRDefault="001352BE" w:rsidP="001352BE">
            <w:pPr>
              <w:spacing w:after="0" w:line="240" w:lineRule="auto"/>
              <w:jc w:val="center"/>
              <w:rPr>
                <w:rFonts w:eastAsia="Times New Roman" w:cs="Arial"/>
                <w:sz w:val="20"/>
                <w:szCs w:val="20"/>
                <w:lang w:eastAsia="es-MX"/>
              </w:rPr>
            </w:pPr>
            <w:r w:rsidRPr="00BC7BD7">
              <w:rPr>
                <w:rFonts w:eastAsia="Times New Roman" w:cs="Arial"/>
                <w:sz w:val="20"/>
                <w:szCs w:val="20"/>
                <w:lang w:eastAsia="es-MX"/>
              </w:rPr>
              <w:t>10</w:t>
            </w:r>
          </w:p>
        </w:tc>
        <w:tc>
          <w:tcPr>
            <w:tcW w:w="1420" w:type="dxa"/>
            <w:tcBorders>
              <w:top w:val="nil"/>
              <w:left w:val="single" w:sz="4" w:space="0" w:color="auto"/>
              <w:bottom w:val="single" w:sz="4" w:space="0" w:color="auto"/>
              <w:right w:val="single" w:sz="8" w:space="0" w:color="auto"/>
            </w:tcBorders>
            <w:shd w:val="clear" w:color="auto" w:fill="auto"/>
            <w:hideMark/>
          </w:tcPr>
          <w:p w:rsidR="001352BE" w:rsidRPr="00BC7BD7" w:rsidRDefault="001352BE" w:rsidP="00956C23">
            <w:pPr>
              <w:spacing w:after="0" w:line="240" w:lineRule="auto"/>
              <w:jc w:val="center"/>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sidR="00956C23">
              <w:rPr>
                <w:rFonts w:eastAsia="Times New Roman" w:cs="Times New Roman"/>
                <w:color w:val="000000"/>
                <w:sz w:val="20"/>
                <w:szCs w:val="20"/>
                <w:lang w:eastAsia="es-MX"/>
              </w:rPr>
              <w:t>25,830.71</w:t>
            </w:r>
            <w:r w:rsidRPr="00BC7BD7">
              <w:rPr>
                <w:rFonts w:eastAsia="Times New Roman" w:cs="Times New Roman"/>
                <w:color w:val="000000"/>
                <w:sz w:val="20"/>
                <w:szCs w:val="20"/>
                <w:lang w:eastAsia="es-MX"/>
              </w:rPr>
              <w:t xml:space="preserve"> </w:t>
            </w:r>
          </w:p>
        </w:tc>
      </w:tr>
      <w:tr w:rsidR="001352BE" w:rsidRPr="00BC7BD7" w:rsidTr="00A47917">
        <w:trPr>
          <w:trHeight w:val="300"/>
        </w:trPr>
        <w:tc>
          <w:tcPr>
            <w:tcW w:w="3440" w:type="dxa"/>
            <w:gridSpan w:val="2"/>
            <w:tcBorders>
              <w:top w:val="single" w:sz="4" w:space="0" w:color="auto"/>
              <w:left w:val="single" w:sz="8" w:space="0" w:color="auto"/>
              <w:bottom w:val="single" w:sz="4" w:space="0" w:color="auto"/>
              <w:right w:val="nil"/>
            </w:tcBorders>
            <w:shd w:val="clear" w:color="auto" w:fill="auto"/>
            <w:noWrap/>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Equipo de Computo</w:t>
            </w:r>
          </w:p>
        </w:tc>
        <w:tc>
          <w:tcPr>
            <w:tcW w:w="1260" w:type="dxa"/>
            <w:tcBorders>
              <w:top w:val="nil"/>
              <w:left w:val="single" w:sz="4" w:space="0" w:color="auto"/>
              <w:bottom w:val="single" w:sz="4" w:space="0" w:color="auto"/>
              <w:right w:val="single" w:sz="8" w:space="0" w:color="auto"/>
            </w:tcBorders>
            <w:shd w:val="clear" w:color="auto" w:fill="auto"/>
            <w:hideMark/>
          </w:tcPr>
          <w:p w:rsidR="001352BE" w:rsidRPr="00BC7BD7" w:rsidRDefault="001352BE" w:rsidP="00956C23">
            <w:pPr>
              <w:spacing w:after="0" w:line="240" w:lineRule="auto"/>
              <w:jc w:val="center"/>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sidR="00956C23">
              <w:rPr>
                <w:rFonts w:eastAsia="Times New Roman" w:cs="Times New Roman"/>
                <w:color w:val="000000"/>
                <w:sz w:val="20"/>
                <w:szCs w:val="20"/>
                <w:lang w:eastAsia="es-MX"/>
              </w:rPr>
              <w:t>455,398.40</w:t>
            </w:r>
            <w:r w:rsidRPr="00BC7BD7">
              <w:rPr>
                <w:rFonts w:eastAsia="Times New Roman" w:cs="Times New Roman"/>
                <w:color w:val="000000"/>
                <w:sz w:val="20"/>
                <w:szCs w:val="20"/>
                <w:lang w:eastAsia="es-MX"/>
              </w:rPr>
              <w:t xml:space="preserve"> </w:t>
            </w:r>
          </w:p>
        </w:tc>
        <w:tc>
          <w:tcPr>
            <w:tcW w:w="1480" w:type="dxa"/>
            <w:tcBorders>
              <w:top w:val="nil"/>
              <w:left w:val="single" w:sz="4" w:space="0" w:color="auto"/>
              <w:bottom w:val="single" w:sz="4" w:space="0" w:color="auto"/>
              <w:right w:val="single" w:sz="8" w:space="0" w:color="auto"/>
            </w:tcBorders>
            <w:shd w:val="clear" w:color="auto" w:fill="auto"/>
            <w:hideMark/>
          </w:tcPr>
          <w:p w:rsidR="001352BE" w:rsidRPr="00BC7BD7" w:rsidRDefault="001352BE" w:rsidP="001352BE">
            <w:pPr>
              <w:spacing w:after="0" w:line="240" w:lineRule="auto"/>
              <w:jc w:val="center"/>
              <w:rPr>
                <w:rFonts w:eastAsia="Times New Roman" w:cs="Arial"/>
                <w:sz w:val="20"/>
                <w:szCs w:val="20"/>
                <w:lang w:eastAsia="es-MX"/>
              </w:rPr>
            </w:pPr>
            <w:r w:rsidRPr="00BC7BD7">
              <w:rPr>
                <w:rFonts w:eastAsia="Times New Roman" w:cs="Arial"/>
                <w:sz w:val="20"/>
                <w:szCs w:val="20"/>
                <w:lang w:eastAsia="es-MX"/>
              </w:rPr>
              <w:t>30</w:t>
            </w:r>
          </w:p>
        </w:tc>
        <w:tc>
          <w:tcPr>
            <w:tcW w:w="1420" w:type="dxa"/>
            <w:tcBorders>
              <w:top w:val="nil"/>
              <w:left w:val="single" w:sz="4" w:space="0" w:color="auto"/>
              <w:bottom w:val="single" w:sz="4" w:space="0" w:color="auto"/>
              <w:right w:val="single" w:sz="8" w:space="0" w:color="auto"/>
            </w:tcBorders>
            <w:shd w:val="clear" w:color="auto" w:fill="auto"/>
            <w:hideMark/>
          </w:tcPr>
          <w:p w:rsidR="001352BE" w:rsidRPr="00BC7BD7" w:rsidRDefault="001352BE" w:rsidP="00956C23">
            <w:pPr>
              <w:spacing w:after="0" w:line="240" w:lineRule="auto"/>
              <w:jc w:val="center"/>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sidR="00956C23">
              <w:rPr>
                <w:rFonts w:eastAsia="Times New Roman" w:cs="Times New Roman"/>
                <w:color w:val="000000"/>
                <w:sz w:val="20"/>
                <w:szCs w:val="20"/>
                <w:lang w:eastAsia="es-MX"/>
              </w:rPr>
              <w:t>444,146.64</w:t>
            </w:r>
            <w:r w:rsidRPr="00BC7BD7">
              <w:rPr>
                <w:rFonts w:eastAsia="Times New Roman" w:cs="Times New Roman"/>
                <w:color w:val="000000"/>
                <w:sz w:val="20"/>
                <w:szCs w:val="20"/>
                <w:lang w:eastAsia="es-MX"/>
              </w:rPr>
              <w:t xml:space="preserve"> </w:t>
            </w:r>
          </w:p>
        </w:tc>
      </w:tr>
      <w:tr w:rsidR="001352BE" w:rsidRPr="00BC7BD7" w:rsidTr="00A47917">
        <w:trPr>
          <w:trHeight w:val="300"/>
        </w:trPr>
        <w:tc>
          <w:tcPr>
            <w:tcW w:w="3440" w:type="dxa"/>
            <w:gridSpan w:val="2"/>
            <w:tcBorders>
              <w:top w:val="single" w:sz="4" w:space="0" w:color="auto"/>
              <w:left w:val="single" w:sz="8" w:space="0" w:color="auto"/>
              <w:bottom w:val="single" w:sz="4" w:space="0" w:color="auto"/>
              <w:right w:val="nil"/>
            </w:tcBorders>
            <w:shd w:val="clear" w:color="auto" w:fill="auto"/>
            <w:noWrap/>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Mobiliario y Equipo Educacional y Rec</w:t>
            </w:r>
          </w:p>
        </w:tc>
        <w:tc>
          <w:tcPr>
            <w:tcW w:w="1260" w:type="dxa"/>
            <w:tcBorders>
              <w:top w:val="nil"/>
              <w:left w:val="single" w:sz="4" w:space="0" w:color="auto"/>
              <w:bottom w:val="single" w:sz="4" w:space="0" w:color="auto"/>
              <w:right w:val="single" w:sz="8" w:space="0" w:color="auto"/>
            </w:tcBorders>
            <w:shd w:val="clear" w:color="auto" w:fill="auto"/>
            <w:hideMark/>
          </w:tcPr>
          <w:p w:rsidR="001352BE" w:rsidRPr="00BC7BD7" w:rsidRDefault="001352BE" w:rsidP="001352BE">
            <w:pPr>
              <w:spacing w:after="0" w:line="240" w:lineRule="auto"/>
              <w:jc w:val="center"/>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73,751.69 </w:t>
            </w:r>
          </w:p>
        </w:tc>
        <w:tc>
          <w:tcPr>
            <w:tcW w:w="1480" w:type="dxa"/>
            <w:tcBorders>
              <w:top w:val="nil"/>
              <w:left w:val="single" w:sz="4" w:space="0" w:color="auto"/>
              <w:bottom w:val="single" w:sz="4" w:space="0" w:color="auto"/>
              <w:right w:val="single" w:sz="8" w:space="0" w:color="auto"/>
            </w:tcBorders>
            <w:shd w:val="clear" w:color="auto" w:fill="auto"/>
            <w:hideMark/>
          </w:tcPr>
          <w:p w:rsidR="001352BE" w:rsidRPr="00BC7BD7" w:rsidRDefault="001352BE" w:rsidP="001352BE">
            <w:pPr>
              <w:spacing w:after="0" w:line="240" w:lineRule="auto"/>
              <w:jc w:val="center"/>
              <w:rPr>
                <w:rFonts w:eastAsia="Times New Roman" w:cs="Arial"/>
                <w:sz w:val="20"/>
                <w:szCs w:val="20"/>
                <w:lang w:eastAsia="es-MX"/>
              </w:rPr>
            </w:pPr>
            <w:r w:rsidRPr="00BC7BD7">
              <w:rPr>
                <w:rFonts w:eastAsia="Times New Roman" w:cs="Arial"/>
                <w:sz w:val="20"/>
                <w:szCs w:val="20"/>
                <w:lang w:eastAsia="es-MX"/>
              </w:rPr>
              <w:t>10</w:t>
            </w:r>
          </w:p>
        </w:tc>
        <w:tc>
          <w:tcPr>
            <w:tcW w:w="1420" w:type="dxa"/>
            <w:tcBorders>
              <w:top w:val="nil"/>
              <w:left w:val="single" w:sz="4" w:space="0" w:color="auto"/>
              <w:bottom w:val="single" w:sz="4" w:space="0" w:color="auto"/>
              <w:right w:val="single" w:sz="8" w:space="0" w:color="auto"/>
            </w:tcBorders>
            <w:shd w:val="clear" w:color="auto" w:fill="auto"/>
            <w:hideMark/>
          </w:tcPr>
          <w:p w:rsidR="001352BE" w:rsidRPr="00BC7BD7" w:rsidRDefault="001352BE" w:rsidP="00956C23">
            <w:pPr>
              <w:spacing w:after="0" w:line="240" w:lineRule="auto"/>
              <w:jc w:val="center"/>
              <w:rPr>
                <w:rFonts w:eastAsia="Times New Roman" w:cs="Times New Roman"/>
                <w:color w:val="000000"/>
                <w:sz w:val="20"/>
                <w:szCs w:val="20"/>
                <w:lang w:eastAsia="es-MX"/>
              </w:rPr>
            </w:pPr>
            <w:r w:rsidRPr="00BC7BD7">
              <w:rPr>
                <w:rFonts w:eastAsia="Times New Roman" w:cs="Times New Roman"/>
                <w:color w:val="000000"/>
                <w:sz w:val="20"/>
                <w:szCs w:val="20"/>
                <w:lang w:eastAsia="es-MX"/>
              </w:rPr>
              <w:t xml:space="preserve">          </w:t>
            </w:r>
            <w:r w:rsidR="00956C23">
              <w:rPr>
                <w:rFonts w:eastAsia="Times New Roman" w:cs="Times New Roman"/>
                <w:color w:val="000000"/>
                <w:sz w:val="20"/>
                <w:szCs w:val="20"/>
                <w:lang w:eastAsia="es-MX"/>
              </w:rPr>
              <w:t>42,396.61</w:t>
            </w:r>
            <w:r w:rsidRPr="00BC7BD7">
              <w:rPr>
                <w:rFonts w:eastAsia="Times New Roman" w:cs="Times New Roman"/>
                <w:color w:val="000000"/>
                <w:sz w:val="20"/>
                <w:szCs w:val="20"/>
                <w:lang w:eastAsia="es-MX"/>
              </w:rPr>
              <w:t xml:space="preserve"> </w:t>
            </w:r>
          </w:p>
        </w:tc>
      </w:tr>
      <w:tr w:rsidR="001352BE" w:rsidRPr="00BC7BD7" w:rsidTr="00A47917">
        <w:trPr>
          <w:trHeight w:val="255"/>
        </w:trPr>
        <w:tc>
          <w:tcPr>
            <w:tcW w:w="172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72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260" w:type="dxa"/>
            <w:tcBorders>
              <w:top w:val="nil"/>
              <w:left w:val="nil"/>
              <w:bottom w:val="nil"/>
              <w:right w:val="nil"/>
            </w:tcBorders>
            <w:shd w:val="clear" w:color="auto" w:fill="auto"/>
            <w:noWrap/>
            <w:vAlign w:val="bottom"/>
            <w:hideMark/>
          </w:tcPr>
          <w:p w:rsidR="001352BE" w:rsidRPr="00BC7BD7" w:rsidRDefault="001352BE" w:rsidP="00956C23">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w:t>
            </w:r>
            <w:r w:rsidR="00956C23">
              <w:rPr>
                <w:rFonts w:eastAsia="Times New Roman" w:cs="Arial"/>
                <w:b/>
                <w:bCs/>
                <w:sz w:val="20"/>
                <w:szCs w:val="20"/>
                <w:lang w:eastAsia="es-MX"/>
              </w:rPr>
              <w:t>554,980.83</w:t>
            </w:r>
            <w:r w:rsidRPr="00BC7BD7">
              <w:rPr>
                <w:rFonts w:eastAsia="Times New Roman" w:cs="Arial"/>
                <w:b/>
                <w:bCs/>
                <w:sz w:val="20"/>
                <w:szCs w:val="20"/>
                <w:lang w:eastAsia="es-MX"/>
              </w:rPr>
              <w:t xml:space="preserve"> </w:t>
            </w:r>
          </w:p>
        </w:tc>
        <w:tc>
          <w:tcPr>
            <w:tcW w:w="1480"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b/>
                <w:bCs/>
                <w:sz w:val="20"/>
                <w:szCs w:val="20"/>
                <w:lang w:eastAsia="es-MX"/>
              </w:rPr>
            </w:pPr>
          </w:p>
        </w:tc>
        <w:tc>
          <w:tcPr>
            <w:tcW w:w="1420" w:type="dxa"/>
            <w:tcBorders>
              <w:top w:val="nil"/>
              <w:left w:val="nil"/>
              <w:bottom w:val="nil"/>
              <w:right w:val="nil"/>
            </w:tcBorders>
            <w:shd w:val="clear" w:color="auto" w:fill="auto"/>
            <w:noWrap/>
            <w:vAlign w:val="bottom"/>
            <w:hideMark/>
          </w:tcPr>
          <w:p w:rsidR="001352BE" w:rsidRPr="00BC7BD7" w:rsidRDefault="00956C23" w:rsidP="001352BE">
            <w:pPr>
              <w:spacing w:after="0" w:line="240" w:lineRule="auto"/>
              <w:rPr>
                <w:rFonts w:eastAsia="Times New Roman" w:cs="Arial"/>
                <w:b/>
                <w:bCs/>
                <w:sz w:val="20"/>
                <w:szCs w:val="20"/>
                <w:lang w:eastAsia="es-MX"/>
              </w:rPr>
            </w:pPr>
            <w:r>
              <w:rPr>
                <w:rFonts w:eastAsia="Times New Roman" w:cs="Arial"/>
                <w:b/>
                <w:bCs/>
                <w:sz w:val="20"/>
                <w:szCs w:val="20"/>
                <w:lang w:eastAsia="es-MX"/>
              </w:rPr>
              <w:t xml:space="preserve">        512,373.96</w:t>
            </w:r>
            <w:r w:rsidR="001352BE" w:rsidRPr="00BC7BD7">
              <w:rPr>
                <w:rFonts w:eastAsia="Times New Roman" w:cs="Arial"/>
                <w:b/>
                <w:bCs/>
                <w:sz w:val="20"/>
                <w:szCs w:val="20"/>
                <w:lang w:eastAsia="es-MX"/>
              </w:rPr>
              <w:t xml:space="preserve"> </w:t>
            </w:r>
          </w:p>
        </w:tc>
      </w:tr>
    </w:tbl>
    <w:p w:rsidR="001352BE" w:rsidRPr="00BC7BD7" w:rsidRDefault="001352BE">
      <w:pPr>
        <w:rPr>
          <w:b/>
          <w:sz w:val="20"/>
          <w:szCs w:val="20"/>
        </w:rPr>
      </w:pPr>
    </w:p>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Actualmente los Activos Fijos </w:t>
      </w:r>
      <w:r w:rsidR="00956C23" w:rsidRPr="00BC7BD7">
        <w:rPr>
          <w:rFonts w:eastAsia="Times New Roman" w:cs="Arial"/>
          <w:sz w:val="20"/>
          <w:szCs w:val="20"/>
          <w:lang w:eastAsia="es-MX"/>
        </w:rPr>
        <w:t>están</w:t>
      </w:r>
      <w:r w:rsidRPr="00BC7BD7">
        <w:rPr>
          <w:rFonts w:eastAsia="Times New Roman" w:cs="Arial"/>
          <w:sz w:val="20"/>
          <w:szCs w:val="20"/>
          <w:lang w:eastAsia="es-MX"/>
        </w:rPr>
        <w:t xml:space="preserve"> en buen estado y en uso por la Dirección de Financiamiento y Cultura Emprendedora</w:t>
      </w:r>
    </w:p>
    <w:tbl>
      <w:tblPr>
        <w:tblW w:w="13720" w:type="dxa"/>
        <w:tblInd w:w="55" w:type="dxa"/>
        <w:tblCellMar>
          <w:left w:w="70" w:type="dxa"/>
          <w:right w:w="70" w:type="dxa"/>
        </w:tblCellMar>
        <w:tblLook w:val="04A0" w:firstRow="1" w:lastRow="0" w:firstColumn="1" w:lastColumn="0" w:noHBand="0" w:noVBand="1"/>
      </w:tblPr>
      <w:tblGrid>
        <w:gridCol w:w="13720"/>
      </w:tblGrid>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NOTA 4</w:t>
            </w:r>
          </w:p>
        </w:tc>
      </w:tr>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ESTIMACIONES POR PERDIDA O DETERIORO DE ACTIVOS CIRCULANTES</w:t>
            </w:r>
          </w:p>
        </w:tc>
      </w:tr>
    </w:tbl>
    <w:p w:rsidR="001352BE" w:rsidRPr="00BC7BD7" w:rsidRDefault="001352BE">
      <w:pPr>
        <w:rPr>
          <w:b/>
          <w:sz w:val="20"/>
          <w:szCs w:val="20"/>
        </w:rPr>
      </w:pPr>
    </w:p>
    <w:p w:rsidR="001352BE"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En este rubro se tiene registrado la </w:t>
      </w:r>
      <w:r w:rsidR="00956C23" w:rsidRPr="00BC7BD7">
        <w:rPr>
          <w:rFonts w:eastAsia="Times New Roman" w:cs="Arial"/>
          <w:sz w:val="20"/>
          <w:szCs w:val="20"/>
          <w:lang w:eastAsia="es-MX"/>
        </w:rPr>
        <w:t>estimación</w:t>
      </w:r>
      <w:r w:rsidRPr="00BC7BD7">
        <w:rPr>
          <w:rFonts w:eastAsia="Times New Roman" w:cs="Arial"/>
          <w:sz w:val="20"/>
          <w:szCs w:val="20"/>
          <w:lang w:eastAsia="es-MX"/>
        </w:rPr>
        <w:t xml:space="preserve"> de las cuentas incobrables de los </w:t>
      </w:r>
      <w:r w:rsidR="00956C23" w:rsidRPr="00BC7BD7">
        <w:rPr>
          <w:rFonts w:eastAsia="Times New Roman" w:cs="Arial"/>
          <w:sz w:val="20"/>
          <w:szCs w:val="20"/>
          <w:lang w:eastAsia="es-MX"/>
        </w:rPr>
        <w:t>créditos</w:t>
      </w:r>
      <w:r w:rsidRPr="00BC7BD7">
        <w:rPr>
          <w:rFonts w:eastAsia="Times New Roman" w:cs="Arial"/>
          <w:sz w:val="20"/>
          <w:szCs w:val="20"/>
          <w:lang w:eastAsia="es-MX"/>
        </w:rPr>
        <w:t xml:space="preserve"> otorgados por el FIDEY y que se registra una vez autorizados por el comité del Fidey la cual hasta la fecha se $ 264,828.00</w:t>
      </w:r>
    </w:p>
    <w:p w:rsidR="00712A1E" w:rsidRPr="00BC7BD7" w:rsidRDefault="00712A1E" w:rsidP="001352BE">
      <w:pPr>
        <w:spacing w:after="0" w:line="240" w:lineRule="auto"/>
        <w:rPr>
          <w:rFonts w:eastAsia="Times New Roman" w:cs="Arial"/>
          <w:sz w:val="20"/>
          <w:szCs w:val="20"/>
          <w:lang w:eastAsia="es-MX"/>
        </w:rPr>
      </w:pPr>
    </w:p>
    <w:p w:rsidR="001352BE" w:rsidRDefault="001352BE">
      <w:pPr>
        <w:rPr>
          <w:b/>
          <w:sz w:val="20"/>
          <w:szCs w:val="20"/>
        </w:rPr>
      </w:pPr>
    </w:p>
    <w:p w:rsidR="00956C23" w:rsidRPr="00BC7BD7" w:rsidRDefault="00956C23">
      <w:pPr>
        <w:rPr>
          <w:b/>
          <w:sz w:val="20"/>
          <w:szCs w:val="20"/>
        </w:rPr>
      </w:pPr>
    </w:p>
    <w:p w:rsidR="001352BE" w:rsidRPr="00BC7BD7" w:rsidRDefault="001352BE">
      <w:pPr>
        <w:rPr>
          <w:b/>
          <w:sz w:val="20"/>
          <w:szCs w:val="20"/>
        </w:rPr>
      </w:pPr>
    </w:p>
    <w:tbl>
      <w:tblPr>
        <w:tblW w:w="13720" w:type="dxa"/>
        <w:tblInd w:w="55" w:type="dxa"/>
        <w:tblCellMar>
          <w:left w:w="70" w:type="dxa"/>
          <w:right w:w="70" w:type="dxa"/>
        </w:tblCellMar>
        <w:tblLook w:val="04A0" w:firstRow="1" w:lastRow="0" w:firstColumn="1" w:lastColumn="0" w:noHBand="0" w:noVBand="1"/>
      </w:tblPr>
      <w:tblGrid>
        <w:gridCol w:w="13720"/>
      </w:tblGrid>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lastRenderedPageBreak/>
              <w:t>NOTA 5</w:t>
            </w:r>
          </w:p>
        </w:tc>
      </w:tr>
      <w:tr w:rsidR="001352BE" w:rsidRPr="00BC7BD7" w:rsidTr="001352BE">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CUENTAS POR PAGAR A CORTO PLAZO</w:t>
            </w:r>
          </w:p>
        </w:tc>
      </w:tr>
    </w:tbl>
    <w:p w:rsidR="001352BE" w:rsidRPr="00BC7BD7" w:rsidRDefault="001352BE">
      <w:pPr>
        <w:rPr>
          <w:b/>
          <w:sz w:val="20"/>
          <w:szCs w:val="20"/>
        </w:rPr>
      </w:pPr>
    </w:p>
    <w:p w:rsidR="001352BE" w:rsidRPr="00BC7BD7" w:rsidRDefault="00E04F28"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El saldo de </w:t>
      </w:r>
      <w:r w:rsidR="001352BE" w:rsidRPr="00BC7BD7">
        <w:rPr>
          <w:rFonts w:eastAsia="Times New Roman" w:cs="Arial"/>
          <w:sz w:val="20"/>
          <w:szCs w:val="20"/>
          <w:lang w:eastAsia="es-MX"/>
        </w:rPr>
        <w:t xml:space="preserve"> $ 8</w:t>
      </w:r>
      <w:r w:rsidR="00956C23">
        <w:rPr>
          <w:rFonts w:eastAsia="Times New Roman" w:cs="Arial"/>
          <w:sz w:val="20"/>
          <w:szCs w:val="20"/>
          <w:lang w:eastAsia="es-MX"/>
        </w:rPr>
        <w:t>8,788,118.22</w:t>
      </w:r>
      <w:r w:rsidR="001352BE" w:rsidRPr="00BC7BD7">
        <w:rPr>
          <w:rFonts w:eastAsia="Times New Roman" w:cs="Arial"/>
          <w:sz w:val="20"/>
          <w:szCs w:val="20"/>
          <w:lang w:eastAsia="es-MX"/>
        </w:rPr>
        <w:t xml:space="preserve"> de la cuenta otras cuentas por pagar a corto plazo, </w:t>
      </w:r>
      <w:r w:rsidRPr="00BC7BD7">
        <w:rPr>
          <w:rFonts w:eastAsia="Times New Roman" w:cs="Arial"/>
          <w:sz w:val="20"/>
          <w:szCs w:val="20"/>
          <w:lang w:eastAsia="es-MX"/>
        </w:rPr>
        <w:t>están</w:t>
      </w:r>
      <w:r w:rsidR="001352BE" w:rsidRPr="00BC7BD7">
        <w:rPr>
          <w:rFonts w:eastAsia="Times New Roman" w:cs="Arial"/>
          <w:sz w:val="20"/>
          <w:szCs w:val="20"/>
          <w:lang w:eastAsia="es-MX"/>
        </w:rPr>
        <w:t xml:space="preserve"> integrada de la siguiente manera:</w:t>
      </w:r>
    </w:p>
    <w:p w:rsidR="001352BE" w:rsidRPr="00BC7BD7" w:rsidRDefault="001352BE">
      <w:pPr>
        <w:rPr>
          <w:b/>
          <w:sz w:val="20"/>
          <w:szCs w:val="20"/>
        </w:rPr>
      </w:pPr>
    </w:p>
    <w:tbl>
      <w:tblPr>
        <w:tblW w:w="14269" w:type="dxa"/>
        <w:tblInd w:w="-302" w:type="dxa"/>
        <w:tblCellMar>
          <w:left w:w="70" w:type="dxa"/>
          <w:right w:w="70" w:type="dxa"/>
        </w:tblCellMar>
        <w:tblLook w:val="04A0" w:firstRow="1" w:lastRow="0" w:firstColumn="1" w:lastColumn="0" w:noHBand="0" w:noVBand="1"/>
      </w:tblPr>
      <w:tblGrid>
        <w:gridCol w:w="357"/>
        <w:gridCol w:w="2295"/>
        <w:gridCol w:w="338"/>
        <w:gridCol w:w="1231"/>
        <w:gridCol w:w="1231"/>
        <w:gridCol w:w="1569"/>
        <w:gridCol w:w="1569"/>
        <w:gridCol w:w="4107"/>
        <w:gridCol w:w="146"/>
        <w:gridCol w:w="146"/>
        <w:gridCol w:w="1182"/>
        <w:gridCol w:w="98"/>
      </w:tblGrid>
      <w:tr w:rsidR="001352BE" w:rsidRPr="00BC7BD7" w:rsidTr="00956C23">
        <w:trPr>
          <w:gridAfter w:val="1"/>
          <w:wAfter w:w="98" w:type="dxa"/>
          <w:trHeight w:val="280"/>
        </w:trPr>
        <w:tc>
          <w:tcPr>
            <w:tcW w:w="14171"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ACREEDORES DIVERSOS</w:t>
            </w:r>
          </w:p>
        </w:tc>
      </w:tr>
      <w:tr w:rsidR="001352BE" w:rsidRPr="00BC7BD7" w:rsidTr="00956C23">
        <w:trPr>
          <w:gridAfter w:val="1"/>
          <w:wAfter w:w="98" w:type="dxa"/>
          <w:trHeight w:val="280"/>
        </w:trPr>
        <w:tc>
          <w:tcPr>
            <w:tcW w:w="2990" w:type="dxa"/>
            <w:gridSpan w:val="3"/>
            <w:tcBorders>
              <w:top w:val="single" w:sz="8" w:space="0" w:color="auto"/>
              <w:left w:val="single" w:sz="8" w:space="0" w:color="auto"/>
              <w:bottom w:val="single" w:sz="8" w:space="0" w:color="auto"/>
              <w:right w:val="nil"/>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Cuenta</w:t>
            </w:r>
          </w:p>
        </w:tc>
        <w:tc>
          <w:tcPr>
            <w:tcW w:w="56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Nombre</w:t>
            </w:r>
          </w:p>
        </w:tc>
        <w:tc>
          <w:tcPr>
            <w:tcW w:w="5581" w:type="dxa"/>
            <w:gridSpan w:val="4"/>
            <w:tcBorders>
              <w:top w:val="nil"/>
              <w:left w:val="nil"/>
              <w:bottom w:val="single" w:sz="8" w:space="0" w:color="auto"/>
              <w:right w:val="single" w:sz="8" w:space="0" w:color="auto"/>
            </w:tcBorders>
            <w:shd w:val="clear" w:color="auto" w:fill="auto"/>
            <w:noWrap/>
            <w:vAlign w:val="bottom"/>
            <w:hideMark/>
          </w:tcPr>
          <w:p w:rsidR="001352BE" w:rsidRPr="00BC7BD7" w:rsidRDefault="001352BE" w:rsidP="001352BE">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Importe</w:t>
            </w:r>
          </w:p>
        </w:tc>
      </w:tr>
      <w:tr w:rsidR="001352BE" w:rsidRPr="00BC7BD7" w:rsidTr="00956C23">
        <w:trPr>
          <w:gridAfter w:val="1"/>
          <w:wAfter w:w="98" w:type="dxa"/>
          <w:trHeight w:val="216"/>
        </w:trPr>
        <w:tc>
          <w:tcPr>
            <w:tcW w:w="299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2-1-1-9-0-001-00001</w:t>
            </w:r>
          </w:p>
        </w:tc>
        <w:tc>
          <w:tcPr>
            <w:tcW w:w="5600"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Fondo del Capital e Inversión del Sector Rural (FOCIR) *</w:t>
            </w:r>
          </w:p>
        </w:tc>
        <w:tc>
          <w:tcPr>
            <w:tcW w:w="5581" w:type="dxa"/>
            <w:gridSpan w:val="4"/>
            <w:tcBorders>
              <w:top w:val="nil"/>
              <w:left w:val="nil"/>
              <w:bottom w:val="single" w:sz="4" w:space="0" w:color="auto"/>
              <w:right w:val="single" w:sz="8" w:space="0" w:color="auto"/>
            </w:tcBorders>
            <w:shd w:val="clear" w:color="auto" w:fill="auto"/>
            <w:noWrap/>
            <w:vAlign w:val="bottom"/>
            <w:hideMark/>
          </w:tcPr>
          <w:p w:rsidR="001352BE" w:rsidRPr="00BC7BD7" w:rsidRDefault="001352BE" w:rsidP="00956C23">
            <w:pPr>
              <w:spacing w:after="0" w:line="240" w:lineRule="auto"/>
              <w:jc w:val="right"/>
              <w:rPr>
                <w:rFonts w:eastAsia="Times New Roman" w:cs="Arial"/>
                <w:sz w:val="20"/>
                <w:szCs w:val="20"/>
                <w:lang w:eastAsia="es-MX"/>
              </w:rPr>
            </w:pPr>
            <w:r w:rsidRPr="00BC7BD7">
              <w:rPr>
                <w:rFonts w:eastAsia="Times New Roman" w:cs="Arial"/>
                <w:sz w:val="20"/>
                <w:szCs w:val="20"/>
                <w:lang w:eastAsia="es-MX"/>
              </w:rPr>
              <w:t xml:space="preserve">    </w:t>
            </w:r>
            <w:r w:rsidR="00956C23">
              <w:rPr>
                <w:rFonts w:eastAsia="Times New Roman" w:cs="Arial"/>
                <w:sz w:val="20"/>
                <w:szCs w:val="20"/>
                <w:lang w:eastAsia="es-MX"/>
              </w:rPr>
              <w:t>7,458,892.79</w:t>
            </w:r>
            <w:r w:rsidRPr="00BC7BD7">
              <w:rPr>
                <w:rFonts w:eastAsia="Times New Roman" w:cs="Arial"/>
                <w:sz w:val="20"/>
                <w:szCs w:val="20"/>
                <w:lang w:eastAsia="es-MX"/>
              </w:rPr>
              <w:t xml:space="preserve"> </w:t>
            </w:r>
          </w:p>
        </w:tc>
      </w:tr>
      <w:tr w:rsidR="001352BE" w:rsidRPr="00BC7BD7" w:rsidTr="00956C23">
        <w:trPr>
          <w:gridAfter w:val="1"/>
          <w:wAfter w:w="98" w:type="dxa"/>
          <w:trHeight w:val="238"/>
        </w:trPr>
        <w:tc>
          <w:tcPr>
            <w:tcW w:w="299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2-1-1-9-0-001-00002</w:t>
            </w:r>
          </w:p>
        </w:tc>
        <w:tc>
          <w:tcPr>
            <w:tcW w:w="2462" w:type="dxa"/>
            <w:gridSpan w:val="2"/>
            <w:tcBorders>
              <w:top w:val="single" w:sz="4" w:space="0" w:color="auto"/>
              <w:left w:val="single" w:sz="4" w:space="0" w:color="auto"/>
              <w:bottom w:val="single" w:sz="4"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Secretaría de Hacienda **</w:t>
            </w:r>
          </w:p>
        </w:tc>
        <w:tc>
          <w:tcPr>
            <w:tcW w:w="1569" w:type="dxa"/>
            <w:tcBorders>
              <w:top w:val="nil"/>
              <w:left w:val="nil"/>
              <w:bottom w:val="single" w:sz="4"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569" w:type="dxa"/>
            <w:tcBorders>
              <w:top w:val="nil"/>
              <w:left w:val="nil"/>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5581" w:type="dxa"/>
            <w:gridSpan w:val="4"/>
            <w:tcBorders>
              <w:top w:val="nil"/>
              <w:left w:val="nil"/>
              <w:bottom w:val="single" w:sz="4" w:space="0" w:color="auto"/>
              <w:right w:val="single" w:sz="8" w:space="0" w:color="auto"/>
            </w:tcBorders>
            <w:shd w:val="clear" w:color="auto" w:fill="auto"/>
            <w:noWrap/>
            <w:vAlign w:val="bottom"/>
            <w:hideMark/>
          </w:tcPr>
          <w:p w:rsidR="001352BE" w:rsidRPr="00BC7BD7" w:rsidRDefault="001352BE" w:rsidP="00956C23">
            <w:pPr>
              <w:spacing w:after="0" w:line="240" w:lineRule="auto"/>
              <w:jc w:val="right"/>
              <w:rPr>
                <w:rFonts w:eastAsia="Times New Roman" w:cs="Arial"/>
                <w:sz w:val="20"/>
                <w:szCs w:val="20"/>
                <w:lang w:eastAsia="es-MX"/>
              </w:rPr>
            </w:pPr>
            <w:r w:rsidRPr="00BC7BD7">
              <w:rPr>
                <w:rFonts w:eastAsia="Times New Roman" w:cs="Arial"/>
                <w:sz w:val="20"/>
                <w:szCs w:val="20"/>
                <w:lang w:eastAsia="es-MX"/>
              </w:rPr>
              <w:t xml:space="preserve">  14,585,441.00 </w:t>
            </w:r>
          </w:p>
        </w:tc>
      </w:tr>
      <w:tr w:rsidR="001352BE" w:rsidRPr="00BC7BD7" w:rsidTr="00956C23">
        <w:trPr>
          <w:gridAfter w:val="1"/>
          <w:wAfter w:w="98" w:type="dxa"/>
          <w:trHeight w:val="238"/>
        </w:trPr>
        <w:tc>
          <w:tcPr>
            <w:tcW w:w="299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2-1-1-9-0-001-00003</w:t>
            </w:r>
          </w:p>
        </w:tc>
        <w:tc>
          <w:tcPr>
            <w:tcW w:w="2462" w:type="dxa"/>
            <w:gridSpan w:val="2"/>
            <w:tcBorders>
              <w:top w:val="single" w:sz="4" w:space="0" w:color="auto"/>
              <w:left w:val="single" w:sz="4" w:space="0" w:color="auto"/>
              <w:bottom w:val="single" w:sz="4"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INNOVATUR ***</w:t>
            </w:r>
          </w:p>
        </w:tc>
        <w:tc>
          <w:tcPr>
            <w:tcW w:w="1569" w:type="dxa"/>
            <w:tcBorders>
              <w:top w:val="nil"/>
              <w:left w:val="nil"/>
              <w:bottom w:val="single" w:sz="4"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569" w:type="dxa"/>
            <w:tcBorders>
              <w:top w:val="nil"/>
              <w:left w:val="nil"/>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5581" w:type="dxa"/>
            <w:gridSpan w:val="4"/>
            <w:tcBorders>
              <w:top w:val="nil"/>
              <w:left w:val="nil"/>
              <w:bottom w:val="single" w:sz="4" w:space="0" w:color="auto"/>
              <w:right w:val="single" w:sz="8" w:space="0" w:color="auto"/>
            </w:tcBorders>
            <w:shd w:val="clear" w:color="auto" w:fill="auto"/>
            <w:noWrap/>
            <w:vAlign w:val="bottom"/>
            <w:hideMark/>
          </w:tcPr>
          <w:p w:rsidR="001352BE" w:rsidRPr="00BC7BD7" w:rsidRDefault="001352BE" w:rsidP="00956C23">
            <w:pPr>
              <w:spacing w:after="0" w:line="240" w:lineRule="auto"/>
              <w:jc w:val="right"/>
              <w:rPr>
                <w:rFonts w:eastAsia="Times New Roman" w:cs="Arial"/>
                <w:sz w:val="20"/>
                <w:szCs w:val="20"/>
                <w:lang w:eastAsia="es-MX"/>
              </w:rPr>
            </w:pPr>
            <w:r w:rsidRPr="00BC7BD7">
              <w:rPr>
                <w:rFonts w:eastAsia="Times New Roman" w:cs="Arial"/>
                <w:sz w:val="20"/>
                <w:szCs w:val="20"/>
                <w:lang w:eastAsia="es-MX"/>
              </w:rPr>
              <w:t xml:space="preserve">          1,379.97 </w:t>
            </w:r>
          </w:p>
        </w:tc>
      </w:tr>
      <w:tr w:rsidR="001352BE" w:rsidRPr="00BC7BD7" w:rsidTr="00956C23">
        <w:trPr>
          <w:gridAfter w:val="1"/>
          <w:wAfter w:w="98" w:type="dxa"/>
          <w:trHeight w:val="349"/>
        </w:trPr>
        <w:tc>
          <w:tcPr>
            <w:tcW w:w="299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2-1-1-9-0-001-00007</w:t>
            </w:r>
          </w:p>
        </w:tc>
        <w:tc>
          <w:tcPr>
            <w:tcW w:w="2462" w:type="dxa"/>
            <w:gridSpan w:val="2"/>
            <w:tcBorders>
              <w:top w:val="single" w:sz="4" w:space="0" w:color="auto"/>
              <w:left w:val="single" w:sz="4" w:space="0" w:color="auto"/>
              <w:bottom w:val="single" w:sz="4" w:space="0" w:color="auto"/>
              <w:right w:val="nil"/>
            </w:tcBorders>
            <w:shd w:val="clear" w:color="auto" w:fill="auto"/>
            <w:noWrap/>
            <w:vAlign w:val="bottom"/>
            <w:hideMark/>
          </w:tcPr>
          <w:p w:rsidR="001352BE" w:rsidRPr="00BC7BD7" w:rsidRDefault="00956C23" w:rsidP="001352BE">
            <w:pPr>
              <w:spacing w:after="0" w:line="240" w:lineRule="auto"/>
              <w:rPr>
                <w:rFonts w:eastAsia="Times New Roman" w:cs="Arial"/>
                <w:sz w:val="20"/>
                <w:szCs w:val="20"/>
                <w:lang w:eastAsia="es-MX"/>
              </w:rPr>
            </w:pPr>
            <w:r>
              <w:rPr>
                <w:rFonts w:eastAsia="Times New Roman" w:cs="Arial"/>
                <w:sz w:val="20"/>
                <w:szCs w:val="20"/>
                <w:lang w:eastAsia="es-MX"/>
              </w:rPr>
              <w:t xml:space="preserve">Tesorería de la Federación </w:t>
            </w:r>
            <w:r w:rsidR="001352BE" w:rsidRPr="00BC7BD7">
              <w:rPr>
                <w:rFonts w:eastAsia="Times New Roman" w:cs="Arial"/>
                <w:sz w:val="20"/>
                <w:szCs w:val="20"/>
                <w:lang w:eastAsia="es-MX"/>
              </w:rPr>
              <w:t>****</w:t>
            </w:r>
          </w:p>
        </w:tc>
        <w:tc>
          <w:tcPr>
            <w:tcW w:w="1569" w:type="dxa"/>
            <w:tcBorders>
              <w:top w:val="nil"/>
              <w:left w:val="nil"/>
              <w:bottom w:val="single" w:sz="4"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569" w:type="dxa"/>
            <w:tcBorders>
              <w:top w:val="nil"/>
              <w:left w:val="nil"/>
              <w:bottom w:val="single" w:sz="4"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5581" w:type="dxa"/>
            <w:gridSpan w:val="4"/>
            <w:tcBorders>
              <w:top w:val="nil"/>
              <w:left w:val="nil"/>
              <w:bottom w:val="single" w:sz="4" w:space="0" w:color="auto"/>
              <w:right w:val="single" w:sz="8" w:space="0" w:color="auto"/>
            </w:tcBorders>
            <w:shd w:val="clear" w:color="auto" w:fill="auto"/>
            <w:noWrap/>
            <w:vAlign w:val="bottom"/>
            <w:hideMark/>
          </w:tcPr>
          <w:p w:rsidR="001352BE" w:rsidRPr="00BC7BD7" w:rsidRDefault="001352BE" w:rsidP="00956C23">
            <w:pPr>
              <w:spacing w:after="0" w:line="240" w:lineRule="auto"/>
              <w:jc w:val="right"/>
              <w:rPr>
                <w:rFonts w:eastAsia="Times New Roman" w:cs="Arial"/>
                <w:sz w:val="20"/>
                <w:szCs w:val="20"/>
                <w:lang w:eastAsia="es-MX"/>
              </w:rPr>
            </w:pPr>
            <w:r w:rsidRPr="00BC7BD7">
              <w:rPr>
                <w:rFonts w:eastAsia="Times New Roman" w:cs="Arial"/>
                <w:sz w:val="20"/>
                <w:szCs w:val="20"/>
                <w:lang w:eastAsia="es-MX"/>
              </w:rPr>
              <w:t xml:space="preserve">  65,996,918.08 </w:t>
            </w:r>
          </w:p>
        </w:tc>
      </w:tr>
      <w:tr w:rsidR="001352BE" w:rsidRPr="00BC7BD7" w:rsidTr="00956C23">
        <w:trPr>
          <w:gridAfter w:val="1"/>
          <w:wAfter w:w="98" w:type="dxa"/>
          <w:trHeight w:val="252"/>
        </w:trPr>
        <w:tc>
          <w:tcPr>
            <w:tcW w:w="2652" w:type="dxa"/>
            <w:gridSpan w:val="2"/>
            <w:tcBorders>
              <w:top w:val="nil"/>
              <w:left w:val="single" w:sz="8" w:space="0" w:color="auto"/>
              <w:bottom w:val="single" w:sz="8"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338" w:type="dxa"/>
            <w:tcBorders>
              <w:top w:val="nil"/>
              <w:left w:val="nil"/>
              <w:bottom w:val="single" w:sz="8"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4031" w:type="dxa"/>
            <w:gridSpan w:val="3"/>
            <w:tcBorders>
              <w:top w:val="single" w:sz="4" w:space="0" w:color="auto"/>
              <w:left w:val="single" w:sz="4" w:space="0" w:color="auto"/>
              <w:bottom w:val="single" w:sz="8" w:space="0" w:color="auto"/>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Acreedores Diversos varios *****</w:t>
            </w:r>
          </w:p>
        </w:tc>
        <w:tc>
          <w:tcPr>
            <w:tcW w:w="1569" w:type="dxa"/>
            <w:tcBorders>
              <w:top w:val="nil"/>
              <w:left w:val="nil"/>
              <w:bottom w:val="single" w:sz="8" w:space="0" w:color="auto"/>
              <w:right w:val="single" w:sz="4" w:space="0" w:color="auto"/>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5581" w:type="dxa"/>
            <w:gridSpan w:val="4"/>
            <w:tcBorders>
              <w:top w:val="nil"/>
              <w:left w:val="nil"/>
              <w:bottom w:val="single" w:sz="8" w:space="0" w:color="auto"/>
              <w:right w:val="single" w:sz="8" w:space="0" w:color="auto"/>
            </w:tcBorders>
            <w:shd w:val="clear" w:color="auto" w:fill="auto"/>
            <w:noWrap/>
            <w:vAlign w:val="bottom"/>
            <w:hideMark/>
          </w:tcPr>
          <w:p w:rsidR="001352BE" w:rsidRPr="00BC7BD7" w:rsidRDefault="001352BE" w:rsidP="00956C23">
            <w:pPr>
              <w:spacing w:after="0" w:line="240" w:lineRule="auto"/>
              <w:jc w:val="right"/>
              <w:rPr>
                <w:rFonts w:eastAsia="Times New Roman" w:cs="Arial"/>
                <w:sz w:val="20"/>
                <w:szCs w:val="20"/>
                <w:lang w:eastAsia="es-MX"/>
              </w:rPr>
            </w:pPr>
            <w:r w:rsidRPr="00BC7BD7">
              <w:rPr>
                <w:rFonts w:eastAsia="Times New Roman" w:cs="Arial"/>
                <w:sz w:val="20"/>
                <w:szCs w:val="20"/>
                <w:lang w:eastAsia="es-MX"/>
              </w:rPr>
              <w:t xml:space="preserve">    </w:t>
            </w:r>
            <w:r w:rsidR="00956C23">
              <w:rPr>
                <w:rFonts w:eastAsia="Times New Roman" w:cs="Arial"/>
                <w:sz w:val="20"/>
                <w:szCs w:val="20"/>
                <w:lang w:eastAsia="es-MX"/>
              </w:rPr>
              <w:t>735,486.38</w:t>
            </w:r>
            <w:r w:rsidRPr="00BC7BD7">
              <w:rPr>
                <w:rFonts w:eastAsia="Times New Roman" w:cs="Arial"/>
                <w:sz w:val="20"/>
                <w:szCs w:val="20"/>
                <w:lang w:eastAsia="es-MX"/>
              </w:rPr>
              <w:t xml:space="preserve"> </w:t>
            </w:r>
          </w:p>
        </w:tc>
      </w:tr>
      <w:tr w:rsidR="001352BE" w:rsidRPr="00BC7BD7" w:rsidTr="00956C23">
        <w:trPr>
          <w:gridAfter w:val="1"/>
          <w:wAfter w:w="98" w:type="dxa"/>
          <w:trHeight w:val="252"/>
        </w:trPr>
        <w:tc>
          <w:tcPr>
            <w:tcW w:w="2652" w:type="dxa"/>
            <w:gridSpan w:val="2"/>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TOTAL</w:t>
            </w:r>
          </w:p>
        </w:tc>
        <w:tc>
          <w:tcPr>
            <w:tcW w:w="338"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231"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231"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569"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569"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5581" w:type="dxa"/>
            <w:gridSpan w:val="4"/>
            <w:tcBorders>
              <w:top w:val="nil"/>
              <w:left w:val="nil"/>
              <w:bottom w:val="double" w:sz="6" w:space="0" w:color="auto"/>
              <w:right w:val="nil"/>
            </w:tcBorders>
            <w:shd w:val="clear" w:color="auto" w:fill="auto"/>
            <w:noWrap/>
            <w:vAlign w:val="bottom"/>
            <w:hideMark/>
          </w:tcPr>
          <w:p w:rsidR="001352BE" w:rsidRPr="00BC7BD7" w:rsidRDefault="001352BE" w:rsidP="00956C23">
            <w:pPr>
              <w:spacing w:after="0" w:line="240" w:lineRule="auto"/>
              <w:jc w:val="right"/>
              <w:rPr>
                <w:rFonts w:eastAsia="Times New Roman" w:cs="Arial"/>
                <w:b/>
                <w:bCs/>
                <w:sz w:val="20"/>
                <w:szCs w:val="20"/>
                <w:lang w:eastAsia="es-MX"/>
              </w:rPr>
            </w:pPr>
            <w:r w:rsidRPr="00BC7BD7">
              <w:rPr>
                <w:rFonts w:eastAsia="Times New Roman" w:cs="Arial"/>
                <w:b/>
                <w:bCs/>
                <w:sz w:val="20"/>
                <w:szCs w:val="20"/>
                <w:lang w:eastAsia="es-MX"/>
              </w:rPr>
              <w:t xml:space="preserve">  </w:t>
            </w:r>
            <w:r w:rsidR="00956C23">
              <w:rPr>
                <w:rFonts w:eastAsia="Times New Roman" w:cs="Arial"/>
                <w:b/>
                <w:bCs/>
                <w:sz w:val="20"/>
                <w:szCs w:val="20"/>
                <w:lang w:eastAsia="es-MX"/>
              </w:rPr>
              <w:t>88,778,118.22</w:t>
            </w:r>
            <w:r w:rsidRPr="00BC7BD7">
              <w:rPr>
                <w:rFonts w:eastAsia="Times New Roman" w:cs="Arial"/>
                <w:b/>
                <w:bCs/>
                <w:sz w:val="20"/>
                <w:szCs w:val="20"/>
                <w:lang w:eastAsia="es-MX"/>
              </w:rPr>
              <w:t xml:space="preserve"> </w:t>
            </w:r>
          </w:p>
        </w:tc>
      </w:tr>
      <w:tr w:rsidR="001352BE" w:rsidRPr="00BC7BD7" w:rsidTr="00956C23">
        <w:trPr>
          <w:gridBefore w:val="1"/>
          <w:wBefore w:w="357" w:type="dxa"/>
          <w:trHeight w:val="255"/>
        </w:trPr>
        <w:tc>
          <w:tcPr>
            <w:tcW w:w="12632" w:type="dxa"/>
            <w:gridSpan w:val="9"/>
            <w:tcBorders>
              <w:top w:val="nil"/>
              <w:left w:val="nil"/>
              <w:bottom w:val="nil"/>
              <w:right w:val="nil"/>
            </w:tcBorders>
            <w:shd w:val="clear" w:color="auto" w:fill="auto"/>
            <w:noWrap/>
            <w:vAlign w:val="center"/>
            <w:hideMark/>
          </w:tcPr>
          <w:p w:rsidR="00956C23" w:rsidRDefault="00956C23" w:rsidP="001352BE">
            <w:pPr>
              <w:spacing w:after="0" w:line="240" w:lineRule="auto"/>
              <w:rPr>
                <w:rFonts w:eastAsia="Times New Roman" w:cs="Arial"/>
                <w:sz w:val="20"/>
                <w:szCs w:val="20"/>
                <w:lang w:eastAsia="es-MX"/>
              </w:rPr>
            </w:pPr>
          </w:p>
          <w:p w:rsidR="00956C23" w:rsidRDefault="00956C23" w:rsidP="001352BE">
            <w:pPr>
              <w:spacing w:after="0" w:line="240" w:lineRule="auto"/>
              <w:rPr>
                <w:rFonts w:eastAsia="Times New Roman" w:cs="Arial"/>
                <w:sz w:val="20"/>
                <w:szCs w:val="20"/>
                <w:lang w:eastAsia="es-MX"/>
              </w:rPr>
            </w:pPr>
          </w:p>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Este importe es por la aportación del FOCIR para la creación del Programa Mi Tortilla, para el Fondo PYME y Capital Semilla</w:t>
            </w:r>
          </w:p>
        </w:tc>
        <w:tc>
          <w:tcPr>
            <w:tcW w:w="1280" w:type="dxa"/>
            <w:gridSpan w:val="2"/>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r>
      <w:tr w:rsidR="001352BE" w:rsidRPr="00BC7BD7" w:rsidTr="00956C23">
        <w:trPr>
          <w:gridBefore w:val="1"/>
          <w:wBefore w:w="357" w:type="dxa"/>
          <w:trHeight w:val="255"/>
        </w:trPr>
        <w:tc>
          <w:tcPr>
            <w:tcW w:w="12632" w:type="dxa"/>
            <w:gridSpan w:val="9"/>
            <w:tcBorders>
              <w:top w:val="nil"/>
              <w:left w:val="nil"/>
              <w:bottom w:val="nil"/>
              <w:right w:val="nil"/>
            </w:tcBorders>
            <w:shd w:val="clear" w:color="auto" w:fill="auto"/>
            <w:noWrap/>
            <w:vAlign w:val="center"/>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Este importe es por la aportación del Gobierno del Estado de Yucatán para la creación del Programa Mi Tortilla y para el Fondo PYME</w:t>
            </w:r>
          </w:p>
        </w:tc>
        <w:tc>
          <w:tcPr>
            <w:tcW w:w="1280" w:type="dxa"/>
            <w:gridSpan w:val="2"/>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r>
      <w:tr w:rsidR="001352BE" w:rsidRPr="00BC7BD7" w:rsidTr="00956C23">
        <w:trPr>
          <w:gridBefore w:val="1"/>
          <w:wBefore w:w="357" w:type="dxa"/>
          <w:trHeight w:val="255"/>
        </w:trPr>
        <w:tc>
          <w:tcPr>
            <w:tcW w:w="12340" w:type="dxa"/>
            <w:gridSpan w:val="7"/>
            <w:tcBorders>
              <w:top w:val="nil"/>
              <w:left w:val="nil"/>
              <w:bottom w:val="nil"/>
              <w:right w:val="nil"/>
            </w:tcBorders>
            <w:shd w:val="clear" w:color="auto" w:fill="auto"/>
            <w:noWrap/>
            <w:vAlign w:val="center"/>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Este importe es saldo de la aportación de INOVATUR para el programa " Capital Semilla"</w:t>
            </w:r>
          </w:p>
        </w:tc>
        <w:tc>
          <w:tcPr>
            <w:tcW w:w="146"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280" w:type="dxa"/>
            <w:gridSpan w:val="2"/>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r>
      <w:tr w:rsidR="001352BE" w:rsidRPr="00BC7BD7" w:rsidTr="00956C23">
        <w:trPr>
          <w:gridBefore w:val="1"/>
          <w:wBefore w:w="357" w:type="dxa"/>
          <w:trHeight w:val="255"/>
        </w:trPr>
        <w:tc>
          <w:tcPr>
            <w:tcW w:w="12340" w:type="dxa"/>
            <w:gridSpan w:val="7"/>
            <w:tcBorders>
              <w:top w:val="nil"/>
              <w:left w:val="nil"/>
              <w:bottom w:val="nil"/>
              <w:right w:val="nil"/>
            </w:tcBorders>
            <w:shd w:val="clear" w:color="auto" w:fill="auto"/>
            <w:noWrap/>
            <w:vAlign w:val="center"/>
            <w:hideMark/>
          </w:tcPr>
          <w:p w:rsidR="001352BE" w:rsidRPr="00BC7BD7" w:rsidRDefault="001352BE" w:rsidP="001352BE">
            <w:pPr>
              <w:spacing w:after="0" w:line="240" w:lineRule="auto"/>
              <w:rPr>
                <w:rFonts w:eastAsia="Times New Roman" w:cs="Arial"/>
                <w:sz w:val="20"/>
                <w:szCs w:val="20"/>
                <w:lang w:eastAsia="es-MX"/>
              </w:rPr>
            </w:pPr>
            <w:r w:rsidRPr="00BC7BD7">
              <w:rPr>
                <w:rFonts w:eastAsia="Times New Roman" w:cs="Arial"/>
                <w:sz w:val="20"/>
                <w:szCs w:val="20"/>
                <w:lang w:eastAsia="es-MX"/>
              </w:rPr>
              <w:t>**** Este importe es la aportación de la TESOFE para el Prog de Proyectos Productivos PYME 2009</w:t>
            </w:r>
          </w:p>
        </w:tc>
        <w:tc>
          <w:tcPr>
            <w:tcW w:w="146"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46" w:type="dxa"/>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c>
          <w:tcPr>
            <w:tcW w:w="1280" w:type="dxa"/>
            <w:gridSpan w:val="2"/>
            <w:tcBorders>
              <w:top w:val="nil"/>
              <w:left w:val="nil"/>
              <w:bottom w:val="nil"/>
              <w:right w:val="nil"/>
            </w:tcBorders>
            <w:shd w:val="clear" w:color="auto" w:fill="auto"/>
            <w:noWrap/>
            <w:vAlign w:val="bottom"/>
            <w:hideMark/>
          </w:tcPr>
          <w:p w:rsidR="001352BE" w:rsidRPr="00BC7BD7" w:rsidRDefault="001352BE" w:rsidP="001352BE">
            <w:pPr>
              <w:spacing w:after="0" w:line="240" w:lineRule="auto"/>
              <w:rPr>
                <w:rFonts w:eastAsia="Times New Roman" w:cs="Arial"/>
                <w:sz w:val="20"/>
                <w:szCs w:val="20"/>
                <w:lang w:eastAsia="es-MX"/>
              </w:rPr>
            </w:pPr>
          </w:p>
        </w:tc>
      </w:tr>
      <w:tr w:rsidR="001352BE" w:rsidRPr="00BC7BD7" w:rsidTr="00956C23">
        <w:trPr>
          <w:gridBefore w:val="1"/>
          <w:wBefore w:w="357" w:type="dxa"/>
          <w:trHeight w:val="810"/>
        </w:trPr>
        <w:tc>
          <w:tcPr>
            <w:tcW w:w="13912" w:type="dxa"/>
            <w:gridSpan w:val="11"/>
            <w:tcBorders>
              <w:top w:val="nil"/>
              <w:left w:val="nil"/>
              <w:bottom w:val="nil"/>
              <w:right w:val="nil"/>
            </w:tcBorders>
            <w:shd w:val="clear" w:color="auto" w:fill="auto"/>
            <w:hideMark/>
          </w:tcPr>
          <w:p w:rsidR="001352BE" w:rsidRDefault="001352BE" w:rsidP="001352BE">
            <w:pPr>
              <w:spacing w:after="0" w:line="240" w:lineRule="auto"/>
              <w:jc w:val="both"/>
              <w:rPr>
                <w:rFonts w:eastAsia="Times New Roman" w:cs="Arial"/>
                <w:sz w:val="20"/>
                <w:szCs w:val="20"/>
                <w:lang w:eastAsia="es-MX"/>
              </w:rPr>
            </w:pPr>
            <w:r w:rsidRPr="00BC7BD7">
              <w:rPr>
                <w:rFonts w:eastAsia="Times New Roman" w:cs="Arial"/>
                <w:sz w:val="20"/>
                <w:szCs w:val="20"/>
                <w:lang w:eastAsia="es-MX"/>
              </w:rPr>
              <w:t xml:space="preserve">*****este importe </w:t>
            </w:r>
            <w:r w:rsidR="00E04F28" w:rsidRPr="00BC7BD7">
              <w:rPr>
                <w:rFonts w:eastAsia="Times New Roman" w:cs="Arial"/>
                <w:sz w:val="20"/>
                <w:szCs w:val="20"/>
                <w:lang w:eastAsia="es-MX"/>
              </w:rPr>
              <w:t>está</w:t>
            </w:r>
            <w:r w:rsidRPr="00BC7BD7">
              <w:rPr>
                <w:rFonts w:eastAsia="Times New Roman" w:cs="Arial"/>
                <w:sz w:val="20"/>
                <w:szCs w:val="20"/>
                <w:lang w:eastAsia="es-MX"/>
              </w:rPr>
              <w:t xml:space="preserve"> integrado por los depósitos no identificados de los diferentes acreditados que se reclasificaran apenas nos hagan saber de quienes son dichos </w:t>
            </w:r>
            <w:r w:rsidR="00E04F28" w:rsidRPr="00BC7BD7">
              <w:rPr>
                <w:rFonts w:eastAsia="Times New Roman" w:cs="Arial"/>
                <w:sz w:val="20"/>
                <w:szCs w:val="20"/>
                <w:lang w:eastAsia="es-MX"/>
              </w:rPr>
              <w:t>depósitos</w:t>
            </w:r>
            <w:r w:rsidRPr="00BC7BD7">
              <w:rPr>
                <w:rFonts w:eastAsia="Times New Roman" w:cs="Arial"/>
                <w:sz w:val="20"/>
                <w:szCs w:val="20"/>
                <w:lang w:eastAsia="es-MX"/>
              </w:rPr>
              <w:t xml:space="preserve">, </w:t>
            </w:r>
            <w:r w:rsidR="00E04F28" w:rsidRPr="00BC7BD7">
              <w:rPr>
                <w:rFonts w:eastAsia="Times New Roman" w:cs="Arial"/>
                <w:sz w:val="20"/>
                <w:szCs w:val="20"/>
                <w:lang w:eastAsia="es-MX"/>
              </w:rPr>
              <w:t>también</w:t>
            </w:r>
            <w:r w:rsidRPr="00BC7BD7">
              <w:rPr>
                <w:rFonts w:eastAsia="Times New Roman" w:cs="Arial"/>
                <w:sz w:val="20"/>
                <w:szCs w:val="20"/>
                <w:lang w:eastAsia="es-MX"/>
              </w:rPr>
              <w:t xml:space="preserve"> se encuentran lo</w:t>
            </w:r>
            <w:r w:rsidR="00E04F28" w:rsidRPr="00BC7BD7">
              <w:rPr>
                <w:rFonts w:eastAsia="Times New Roman" w:cs="Arial"/>
                <w:sz w:val="20"/>
                <w:szCs w:val="20"/>
                <w:lang w:eastAsia="es-MX"/>
              </w:rPr>
              <w:t>s acreditados que han pagado demás</w:t>
            </w:r>
            <w:r w:rsidRPr="00BC7BD7">
              <w:rPr>
                <w:rFonts w:eastAsia="Times New Roman" w:cs="Arial"/>
                <w:sz w:val="20"/>
                <w:szCs w:val="20"/>
                <w:lang w:eastAsia="es-MX"/>
              </w:rPr>
              <w:t xml:space="preserve"> en sus </w:t>
            </w:r>
            <w:r w:rsidR="00E04F28" w:rsidRPr="00BC7BD7">
              <w:rPr>
                <w:rFonts w:eastAsia="Times New Roman" w:cs="Arial"/>
                <w:sz w:val="20"/>
                <w:szCs w:val="20"/>
                <w:lang w:eastAsia="es-MX"/>
              </w:rPr>
              <w:t>créditos</w:t>
            </w:r>
            <w:r w:rsidRPr="00BC7BD7">
              <w:rPr>
                <w:rFonts w:eastAsia="Times New Roman" w:cs="Arial"/>
                <w:sz w:val="20"/>
                <w:szCs w:val="20"/>
                <w:lang w:eastAsia="es-MX"/>
              </w:rPr>
              <w:t xml:space="preserve"> y se espera que nos informen si son intereses o le </w:t>
            </w:r>
            <w:r w:rsidR="00E04F28" w:rsidRPr="00BC7BD7">
              <w:rPr>
                <w:rFonts w:eastAsia="Times New Roman" w:cs="Arial"/>
                <w:sz w:val="20"/>
                <w:szCs w:val="20"/>
                <w:lang w:eastAsia="es-MX"/>
              </w:rPr>
              <w:t>serán</w:t>
            </w:r>
            <w:r w:rsidRPr="00BC7BD7">
              <w:rPr>
                <w:rFonts w:eastAsia="Times New Roman" w:cs="Arial"/>
                <w:sz w:val="20"/>
                <w:szCs w:val="20"/>
                <w:lang w:eastAsia="es-MX"/>
              </w:rPr>
              <w:t xml:space="preserve"> devueltos dicha diferencia.</w:t>
            </w:r>
          </w:p>
          <w:p w:rsidR="00712A1E" w:rsidRDefault="00712A1E" w:rsidP="001352BE">
            <w:pPr>
              <w:spacing w:after="0" w:line="240" w:lineRule="auto"/>
              <w:jc w:val="both"/>
              <w:rPr>
                <w:rFonts w:eastAsia="Times New Roman" w:cs="Arial"/>
                <w:sz w:val="20"/>
                <w:szCs w:val="20"/>
                <w:lang w:eastAsia="es-MX"/>
              </w:rPr>
            </w:pPr>
          </w:p>
          <w:p w:rsidR="00712A1E" w:rsidRDefault="00712A1E" w:rsidP="001352BE">
            <w:pPr>
              <w:spacing w:after="0" w:line="240" w:lineRule="auto"/>
              <w:jc w:val="both"/>
              <w:rPr>
                <w:rFonts w:eastAsia="Times New Roman" w:cs="Arial"/>
                <w:sz w:val="20"/>
                <w:szCs w:val="20"/>
                <w:lang w:eastAsia="es-MX"/>
              </w:rPr>
            </w:pPr>
          </w:p>
          <w:p w:rsidR="00712A1E" w:rsidRPr="00BC7BD7" w:rsidRDefault="00712A1E" w:rsidP="001352BE">
            <w:pPr>
              <w:spacing w:after="0" w:line="240" w:lineRule="auto"/>
              <w:jc w:val="both"/>
              <w:rPr>
                <w:rFonts w:eastAsia="Times New Roman" w:cs="Arial"/>
                <w:sz w:val="20"/>
                <w:szCs w:val="20"/>
                <w:lang w:eastAsia="es-MX"/>
              </w:rPr>
            </w:pPr>
          </w:p>
        </w:tc>
      </w:tr>
    </w:tbl>
    <w:p w:rsidR="00956C23" w:rsidRPr="00BC7BD7" w:rsidRDefault="00956C23">
      <w:pPr>
        <w:rPr>
          <w:b/>
          <w:sz w:val="20"/>
          <w:szCs w:val="20"/>
        </w:rPr>
      </w:pPr>
    </w:p>
    <w:p w:rsidR="00E04F28" w:rsidRDefault="00E04F28" w:rsidP="00E04F28">
      <w:pPr>
        <w:spacing w:after="0" w:line="240" w:lineRule="auto"/>
        <w:rPr>
          <w:rFonts w:eastAsia="Times New Roman" w:cs="Times New Roman"/>
          <w:b/>
          <w:bCs/>
          <w:sz w:val="20"/>
          <w:szCs w:val="20"/>
          <w:lang w:eastAsia="es-MX"/>
        </w:rPr>
      </w:pPr>
      <w:r w:rsidRPr="00BC7BD7">
        <w:rPr>
          <w:rFonts w:eastAsia="Times New Roman" w:cs="Times New Roman"/>
          <w:b/>
          <w:bCs/>
          <w:sz w:val="20"/>
          <w:szCs w:val="20"/>
          <w:lang w:eastAsia="es-MX"/>
        </w:rPr>
        <w:lastRenderedPageBreak/>
        <w:t>NOTAS AL ESTADO DE VARIACIONES EN LA HACIENDA PUBLICA/PATRIMONIO</w:t>
      </w:r>
    </w:p>
    <w:p w:rsidR="00956C23" w:rsidRPr="00BC7BD7" w:rsidRDefault="00956C23" w:rsidP="00E04F28">
      <w:pPr>
        <w:spacing w:after="0" w:line="240" w:lineRule="auto"/>
        <w:rPr>
          <w:rFonts w:eastAsia="Times New Roman" w:cs="Times New Roman"/>
          <w:b/>
          <w:bCs/>
          <w:sz w:val="20"/>
          <w:szCs w:val="20"/>
          <w:lang w:eastAsia="es-MX"/>
        </w:rPr>
      </w:pPr>
    </w:p>
    <w:tbl>
      <w:tblPr>
        <w:tblW w:w="13720" w:type="dxa"/>
        <w:tblInd w:w="55" w:type="dxa"/>
        <w:tblCellMar>
          <w:left w:w="70" w:type="dxa"/>
          <w:right w:w="70" w:type="dxa"/>
        </w:tblCellMar>
        <w:tblLook w:val="04A0" w:firstRow="1" w:lastRow="0" w:firstColumn="1" w:lastColumn="0" w:noHBand="0" w:noVBand="1"/>
      </w:tblPr>
      <w:tblGrid>
        <w:gridCol w:w="13720"/>
      </w:tblGrid>
      <w:tr w:rsidR="00E04F28" w:rsidRPr="00BC7BD7" w:rsidTr="00E04F28">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4F28" w:rsidRPr="00BC7BD7" w:rsidRDefault="00E04F28" w:rsidP="00E04F28">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NOTA 1</w:t>
            </w:r>
          </w:p>
        </w:tc>
      </w:tr>
      <w:tr w:rsidR="00E04F28" w:rsidRPr="00BC7BD7" w:rsidTr="00E04F28">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4F28" w:rsidRPr="00BC7BD7" w:rsidRDefault="00E04F28" w:rsidP="00E04F28">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PROCEDENCIA DE LOS RECURSOS QUE MODIFICAN AL PATRIMONIO GENERADO</w:t>
            </w:r>
          </w:p>
        </w:tc>
      </w:tr>
    </w:tbl>
    <w:p w:rsidR="00E04F28" w:rsidRPr="00BC7BD7" w:rsidRDefault="00E04F28">
      <w:pPr>
        <w:rPr>
          <w:b/>
          <w:sz w:val="20"/>
          <w:szCs w:val="20"/>
        </w:rPr>
      </w:pPr>
    </w:p>
    <w:p w:rsidR="00E04F28" w:rsidRPr="00BC7BD7" w:rsidRDefault="00E04F28" w:rsidP="00E04F28">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En este periodo el Patrimonio Contribuido no tuvo movimientos debido a que no se tuvo aportación alguna de parte del Ejecutivo, por lo que respecta al Patrimonio Generado se modifica debido a reclasificación del resultado de los ejercicio anterior y a los ingresos por intereses generados por los créditos e inversiones que se cobraron en el período los cuales generan </w:t>
      </w:r>
      <w:r w:rsidR="00D472CD">
        <w:rPr>
          <w:rFonts w:eastAsia="Times New Roman" w:cs="Arial"/>
          <w:sz w:val="20"/>
          <w:szCs w:val="20"/>
          <w:lang w:eastAsia="es-MX"/>
        </w:rPr>
        <w:t>un ahorro por un importe de $ 1,114,324.25</w:t>
      </w:r>
      <w:r w:rsidRPr="00BC7BD7">
        <w:rPr>
          <w:rFonts w:eastAsia="Times New Roman" w:cs="Arial"/>
          <w:sz w:val="20"/>
          <w:szCs w:val="20"/>
          <w:lang w:eastAsia="es-MX"/>
        </w:rPr>
        <w:t xml:space="preserve"> e incluyen todos los programas que se tienen en el FIDEY, lo cual genera una utilidad que se refleja tanto en el Estado de Situación Financiera, así como, en el Estado de Variaciones de la Hacienda Pública/Patrimonio.</w:t>
      </w:r>
    </w:p>
    <w:p w:rsidR="00E04F28" w:rsidRPr="00BC7BD7" w:rsidRDefault="00E04F28">
      <w:pPr>
        <w:rPr>
          <w:b/>
          <w:sz w:val="20"/>
          <w:szCs w:val="20"/>
        </w:rPr>
      </w:pPr>
    </w:p>
    <w:p w:rsidR="00E04F28" w:rsidRPr="00BC7BD7" w:rsidRDefault="00E04F28" w:rsidP="00E04F28">
      <w:pPr>
        <w:spacing w:after="0" w:line="240" w:lineRule="auto"/>
        <w:rPr>
          <w:rFonts w:eastAsia="Times New Roman" w:cs="Times New Roman"/>
          <w:b/>
          <w:bCs/>
          <w:sz w:val="20"/>
          <w:szCs w:val="20"/>
          <w:lang w:eastAsia="es-MX"/>
        </w:rPr>
      </w:pPr>
      <w:r w:rsidRPr="00BC7BD7">
        <w:rPr>
          <w:rFonts w:eastAsia="Times New Roman" w:cs="Times New Roman"/>
          <w:b/>
          <w:bCs/>
          <w:sz w:val="20"/>
          <w:szCs w:val="20"/>
          <w:lang w:eastAsia="es-MX"/>
        </w:rPr>
        <w:t>NOTAS AL ESTADO DE ACTIVIDADES</w:t>
      </w:r>
    </w:p>
    <w:p w:rsidR="00E04F28" w:rsidRPr="00BC7BD7" w:rsidRDefault="00E04F28">
      <w:pPr>
        <w:rPr>
          <w:b/>
          <w:sz w:val="20"/>
          <w:szCs w:val="20"/>
        </w:rPr>
      </w:pPr>
    </w:p>
    <w:tbl>
      <w:tblPr>
        <w:tblW w:w="13720" w:type="dxa"/>
        <w:tblInd w:w="55" w:type="dxa"/>
        <w:tblCellMar>
          <w:left w:w="70" w:type="dxa"/>
          <w:right w:w="70" w:type="dxa"/>
        </w:tblCellMar>
        <w:tblLook w:val="04A0" w:firstRow="1" w:lastRow="0" w:firstColumn="1" w:lastColumn="0" w:noHBand="0" w:noVBand="1"/>
      </w:tblPr>
      <w:tblGrid>
        <w:gridCol w:w="13720"/>
      </w:tblGrid>
      <w:tr w:rsidR="00E04F28" w:rsidRPr="00BC7BD7" w:rsidTr="00E04F28">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4F28" w:rsidRPr="00BC7BD7" w:rsidRDefault="00E04F28" w:rsidP="00E04F28">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NOTA 1</w:t>
            </w:r>
          </w:p>
        </w:tc>
      </w:tr>
      <w:tr w:rsidR="00E04F28" w:rsidRPr="00BC7BD7" w:rsidTr="00E04F28">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4F28" w:rsidRPr="00BC7BD7" w:rsidRDefault="00E04F28" w:rsidP="00E04F28">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OTROS INGRESOS Y BENEFICIOS</w:t>
            </w:r>
          </w:p>
        </w:tc>
      </w:tr>
    </w:tbl>
    <w:p w:rsidR="00E04F28" w:rsidRPr="00BC7BD7" w:rsidRDefault="00E04F28">
      <w:pPr>
        <w:rPr>
          <w:b/>
          <w:sz w:val="20"/>
          <w:szCs w:val="20"/>
        </w:rPr>
      </w:pPr>
    </w:p>
    <w:p w:rsidR="00E04F28" w:rsidRPr="00BC7BD7" w:rsidRDefault="00E04F28" w:rsidP="00E04F28">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El FIDEY cobra intereses por los </w:t>
      </w:r>
      <w:r w:rsidR="00D472CD" w:rsidRPr="00BC7BD7">
        <w:rPr>
          <w:rFonts w:eastAsia="Times New Roman" w:cs="Arial"/>
          <w:sz w:val="20"/>
          <w:szCs w:val="20"/>
          <w:lang w:eastAsia="es-MX"/>
        </w:rPr>
        <w:t>créditos</w:t>
      </w:r>
      <w:r w:rsidRPr="00BC7BD7">
        <w:rPr>
          <w:rFonts w:eastAsia="Times New Roman" w:cs="Arial"/>
          <w:sz w:val="20"/>
          <w:szCs w:val="20"/>
          <w:lang w:eastAsia="es-MX"/>
        </w:rPr>
        <w:t xml:space="preserve"> que otorga, tanto de los recursos del </w:t>
      </w:r>
      <w:r w:rsidR="00D472CD">
        <w:rPr>
          <w:rFonts w:eastAsia="Times New Roman" w:cs="Arial"/>
          <w:sz w:val="20"/>
          <w:szCs w:val="20"/>
          <w:lang w:eastAsia="es-MX"/>
        </w:rPr>
        <w:t>mismo fondo así como por los</w:t>
      </w:r>
      <w:r w:rsidRPr="00BC7BD7">
        <w:rPr>
          <w:rFonts w:eastAsia="Times New Roman" w:cs="Arial"/>
          <w:sz w:val="20"/>
          <w:szCs w:val="20"/>
          <w:lang w:eastAsia="es-MX"/>
        </w:rPr>
        <w:t xml:space="preserve"> programas de los que es organismo intermedio que </w:t>
      </w:r>
      <w:r w:rsidR="00D472CD" w:rsidRPr="00BC7BD7">
        <w:rPr>
          <w:rFonts w:eastAsia="Times New Roman" w:cs="Arial"/>
          <w:sz w:val="20"/>
          <w:szCs w:val="20"/>
          <w:lang w:eastAsia="es-MX"/>
        </w:rPr>
        <w:t>prácticamente</w:t>
      </w:r>
      <w:r w:rsidRPr="00BC7BD7">
        <w:rPr>
          <w:rFonts w:eastAsia="Times New Roman" w:cs="Arial"/>
          <w:sz w:val="20"/>
          <w:szCs w:val="20"/>
          <w:lang w:eastAsia="es-MX"/>
        </w:rPr>
        <w:t xml:space="preserve"> representan todos los ingresos que obtiene durante el ejercicio y los intereses por inversiones en mesa de dinero, dichos ingresos </w:t>
      </w:r>
      <w:r w:rsidR="00D472CD" w:rsidRPr="00BC7BD7">
        <w:rPr>
          <w:rFonts w:eastAsia="Times New Roman" w:cs="Arial"/>
          <w:sz w:val="20"/>
          <w:szCs w:val="20"/>
          <w:lang w:eastAsia="es-MX"/>
        </w:rPr>
        <w:t>están</w:t>
      </w:r>
      <w:r w:rsidRPr="00BC7BD7">
        <w:rPr>
          <w:rFonts w:eastAsia="Times New Roman" w:cs="Arial"/>
          <w:sz w:val="20"/>
          <w:szCs w:val="20"/>
          <w:lang w:eastAsia="es-MX"/>
        </w:rPr>
        <w:t xml:space="preserve"> integrados de la siguiente manera:</w:t>
      </w:r>
    </w:p>
    <w:tbl>
      <w:tblPr>
        <w:tblStyle w:val="Tablaconcuadrcula"/>
        <w:tblW w:w="0" w:type="auto"/>
        <w:tblLook w:val="04A0" w:firstRow="1" w:lastRow="0" w:firstColumn="1" w:lastColumn="0" w:noHBand="0" w:noVBand="1"/>
      </w:tblPr>
      <w:tblGrid>
        <w:gridCol w:w="6856"/>
        <w:gridCol w:w="6856"/>
      </w:tblGrid>
      <w:tr w:rsidR="00D472CD" w:rsidTr="00D472CD">
        <w:tc>
          <w:tcPr>
            <w:tcW w:w="6856" w:type="dxa"/>
          </w:tcPr>
          <w:p w:rsidR="00D472CD" w:rsidRDefault="00D472CD" w:rsidP="00D472CD">
            <w:pPr>
              <w:jc w:val="center"/>
              <w:rPr>
                <w:b/>
                <w:sz w:val="20"/>
                <w:szCs w:val="20"/>
              </w:rPr>
            </w:pPr>
            <w:r>
              <w:rPr>
                <w:b/>
                <w:sz w:val="20"/>
                <w:szCs w:val="20"/>
              </w:rPr>
              <w:t>Nombre</w:t>
            </w:r>
          </w:p>
        </w:tc>
        <w:tc>
          <w:tcPr>
            <w:tcW w:w="6856" w:type="dxa"/>
          </w:tcPr>
          <w:p w:rsidR="00D472CD" w:rsidRDefault="00D472CD" w:rsidP="00D472CD">
            <w:pPr>
              <w:jc w:val="center"/>
              <w:rPr>
                <w:b/>
                <w:sz w:val="20"/>
                <w:szCs w:val="20"/>
              </w:rPr>
            </w:pPr>
            <w:r>
              <w:rPr>
                <w:b/>
                <w:sz w:val="20"/>
                <w:szCs w:val="20"/>
              </w:rPr>
              <w:t>Importe</w:t>
            </w:r>
          </w:p>
        </w:tc>
      </w:tr>
      <w:tr w:rsidR="00D472CD" w:rsidTr="00D472CD">
        <w:tc>
          <w:tcPr>
            <w:tcW w:w="6856" w:type="dxa"/>
          </w:tcPr>
          <w:p w:rsidR="00D472CD" w:rsidRPr="00D472CD" w:rsidRDefault="00D472CD">
            <w:pPr>
              <w:rPr>
                <w:sz w:val="20"/>
                <w:szCs w:val="20"/>
              </w:rPr>
            </w:pPr>
            <w:r>
              <w:rPr>
                <w:sz w:val="20"/>
                <w:szCs w:val="20"/>
              </w:rPr>
              <w:t>INGRESOS DE LAS INVERSIONES Y CHEQUERAS DEL FIDEY</w:t>
            </w:r>
          </w:p>
        </w:tc>
        <w:tc>
          <w:tcPr>
            <w:tcW w:w="6856" w:type="dxa"/>
          </w:tcPr>
          <w:p w:rsidR="00D472CD" w:rsidRPr="00D472CD" w:rsidRDefault="00D472CD" w:rsidP="00D472CD">
            <w:pPr>
              <w:jc w:val="right"/>
              <w:rPr>
                <w:sz w:val="20"/>
                <w:szCs w:val="20"/>
              </w:rPr>
            </w:pPr>
            <w:r>
              <w:rPr>
                <w:sz w:val="20"/>
                <w:szCs w:val="20"/>
              </w:rPr>
              <w:t>996,718.45</w:t>
            </w:r>
          </w:p>
        </w:tc>
      </w:tr>
      <w:tr w:rsidR="00D472CD" w:rsidTr="00D472CD">
        <w:tc>
          <w:tcPr>
            <w:tcW w:w="6856" w:type="dxa"/>
          </w:tcPr>
          <w:p w:rsidR="00D472CD" w:rsidRPr="00D472CD" w:rsidRDefault="00D472CD">
            <w:pPr>
              <w:rPr>
                <w:sz w:val="20"/>
                <w:szCs w:val="20"/>
              </w:rPr>
            </w:pPr>
            <w:r>
              <w:rPr>
                <w:sz w:val="20"/>
                <w:szCs w:val="20"/>
              </w:rPr>
              <w:t>INGRESOS DE LOS CRÉDITOS OTORGADOS FIDEY</w:t>
            </w:r>
          </w:p>
        </w:tc>
        <w:tc>
          <w:tcPr>
            <w:tcW w:w="6856" w:type="dxa"/>
          </w:tcPr>
          <w:p w:rsidR="00D472CD" w:rsidRPr="00D472CD" w:rsidRDefault="00D472CD" w:rsidP="00D472CD">
            <w:pPr>
              <w:jc w:val="right"/>
              <w:rPr>
                <w:sz w:val="20"/>
                <w:szCs w:val="20"/>
              </w:rPr>
            </w:pPr>
            <w:r>
              <w:rPr>
                <w:sz w:val="20"/>
                <w:szCs w:val="20"/>
              </w:rPr>
              <w:t>1,025,613.98</w:t>
            </w:r>
          </w:p>
        </w:tc>
      </w:tr>
      <w:tr w:rsidR="00D472CD" w:rsidTr="00D472CD">
        <w:tc>
          <w:tcPr>
            <w:tcW w:w="6856" w:type="dxa"/>
          </w:tcPr>
          <w:p w:rsidR="00D472CD" w:rsidRPr="00D472CD" w:rsidRDefault="00D472CD">
            <w:pPr>
              <w:rPr>
                <w:sz w:val="20"/>
                <w:szCs w:val="20"/>
              </w:rPr>
            </w:pPr>
            <w:r>
              <w:rPr>
                <w:sz w:val="20"/>
                <w:szCs w:val="20"/>
              </w:rPr>
              <w:t>INGRESOS DEL “PROGRAMA MI TORTILLA”</w:t>
            </w:r>
          </w:p>
        </w:tc>
        <w:tc>
          <w:tcPr>
            <w:tcW w:w="6856" w:type="dxa"/>
          </w:tcPr>
          <w:p w:rsidR="00D472CD" w:rsidRPr="00D472CD" w:rsidRDefault="00D472CD" w:rsidP="00D472CD">
            <w:pPr>
              <w:jc w:val="right"/>
              <w:rPr>
                <w:sz w:val="20"/>
                <w:szCs w:val="20"/>
              </w:rPr>
            </w:pPr>
            <w:r>
              <w:rPr>
                <w:sz w:val="20"/>
                <w:szCs w:val="20"/>
              </w:rPr>
              <w:t>1,314.72</w:t>
            </w:r>
          </w:p>
        </w:tc>
      </w:tr>
      <w:tr w:rsidR="00D472CD" w:rsidTr="00D472CD">
        <w:tc>
          <w:tcPr>
            <w:tcW w:w="6856" w:type="dxa"/>
          </w:tcPr>
          <w:p w:rsidR="00D472CD" w:rsidRPr="00D472CD" w:rsidRDefault="00D472CD">
            <w:pPr>
              <w:rPr>
                <w:sz w:val="20"/>
                <w:szCs w:val="20"/>
              </w:rPr>
            </w:pPr>
            <w:r>
              <w:rPr>
                <w:sz w:val="20"/>
                <w:szCs w:val="20"/>
              </w:rPr>
              <w:t>INGRESOS PROYECTOS PRODUCTIVOS FONDO PYME</w:t>
            </w:r>
          </w:p>
        </w:tc>
        <w:tc>
          <w:tcPr>
            <w:tcW w:w="6856" w:type="dxa"/>
          </w:tcPr>
          <w:p w:rsidR="00D472CD" w:rsidRPr="00D472CD" w:rsidRDefault="00D472CD" w:rsidP="00D472CD">
            <w:pPr>
              <w:jc w:val="right"/>
              <w:rPr>
                <w:sz w:val="20"/>
                <w:szCs w:val="20"/>
              </w:rPr>
            </w:pPr>
            <w:r>
              <w:rPr>
                <w:sz w:val="20"/>
                <w:szCs w:val="20"/>
              </w:rPr>
              <w:t>4,350.00</w:t>
            </w:r>
          </w:p>
        </w:tc>
      </w:tr>
      <w:tr w:rsidR="00D472CD" w:rsidTr="00D472CD">
        <w:tc>
          <w:tcPr>
            <w:tcW w:w="6856" w:type="dxa"/>
          </w:tcPr>
          <w:p w:rsidR="00D472CD" w:rsidRPr="00D472CD" w:rsidRDefault="00D472CD">
            <w:pPr>
              <w:rPr>
                <w:sz w:val="20"/>
                <w:szCs w:val="20"/>
              </w:rPr>
            </w:pPr>
            <w:r>
              <w:rPr>
                <w:sz w:val="20"/>
                <w:szCs w:val="20"/>
              </w:rPr>
              <w:t>OTROS INGRESOS Y BENEFICIOS VARIOS</w:t>
            </w:r>
          </w:p>
        </w:tc>
        <w:tc>
          <w:tcPr>
            <w:tcW w:w="6856" w:type="dxa"/>
          </w:tcPr>
          <w:p w:rsidR="00D472CD" w:rsidRPr="00D472CD" w:rsidRDefault="00D472CD" w:rsidP="00D472CD">
            <w:pPr>
              <w:jc w:val="right"/>
              <w:rPr>
                <w:sz w:val="20"/>
                <w:szCs w:val="20"/>
              </w:rPr>
            </w:pPr>
            <w:r>
              <w:rPr>
                <w:sz w:val="20"/>
                <w:szCs w:val="20"/>
              </w:rPr>
              <w:t>27.77</w:t>
            </w:r>
          </w:p>
        </w:tc>
      </w:tr>
    </w:tbl>
    <w:p w:rsidR="00D472CD" w:rsidRDefault="00D472CD" w:rsidP="00D472CD">
      <w:pPr>
        <w:jc w:val="center"/>
        <w:rPr>
          <w:b/>
          <w:sz w:val="20"/>
          <w:szCs w:val="20"/>
        </w:rPr>
      </w:pPr>
      <w:r>
        <w:rPr>
          <w:b/>
          <w:sz w:val="20"/>
          <w:szCs w:val="20"/>
        </w:rPr>
        <w:t xml:space="preserve">                                                                                                                                                                                                                                                                      2,028,024.92</w:t>
      </w:r>
    </w:p>
    <w:p w:rsidR="00E04F28" w:rsidRPr="00D472CD" w:rsidRDefault="00E04F28" w:rsidP="00D472CD">
      <w:pPr>
        <w:jc w:val="center"/>
        <w:rPr>
          <w:b/>
          <w:sz w:val="20"/>
          <w:szCs w:val="20"/>
        </w:rPr>
      </w:pPr>
      <w:r w:rsidRPr="00BC7BD7">
        <w:rPr>
          <w:rFonts w:eastAsia="Times New Roman" w:cs="Times New Roman"/>
          <w:b/>
          <w:bCs/>
          <w:sz w:val="20"/>
          <w:szCs w:val="20"/>
          <w:lang w:eastAsia="es-MX"/>
        </w:rPr>
        <w:lastRenderedPageBreak/>
        <w:t>NOTAS AL ESTADO DE FLUJOS DE EFECTIVO</w:t>
      </w:r>
    </w:p>
    <w:p w:rsidR="00E04F28" w:rsidRPr="00BC7BD7" w:rsidRDefault="00E04F28">
      <w:pPr>
        <w:rPr>
          <w:b/>
          <w:sz w:val="20"/>
          <w:szCs w:val="20"/>
        </w:rPr>
      </w:pPr>
    </w:p>
    <w:tbl>
      <w:tblPr>
        <w:tblW w:w="13720" w:type="dxa"/>
        <w:tblInd w:w="55" w:type="dxa"/>
        <w:tblCellMar>
          <w:left w:w="70" w:type="dxa"/>
          <w:right w:w="70" w:type="dxa"/>
        </w:tblCellMar>
        <w:tblLook w:val="04A0" w:firstRow="1" w:lastRow="0" w:firstColumn="1" w:lastColumn="0" w:noHBand="0" w:noVBand="1"/>
      </w:tblPr>
      <w:tblGrid>
        <w:gridCol w:w="13720"/>
      </w:tblGrid>
      <w:tr w:rsidR="00E04F28" w:rsidRPr="00BC7BD7" w:rsidTr="00E04F28">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4F28" w:rsidRPr="00BC7BD7" w:rsidRDefault="00E04F28" w:rsidP="00E04F28">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NOTA 1</w:t>
            </w:r>
          </w:p>
        </w:tc>
      </w:tr>
      <w:tr w:rsidR="00E04F28" w:rsidRPr="00BC7BD7" w:rsidTr="00E04F28">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4F28" w:rsidRPr="00BC7BD7" w:rsidRDefault="00E04F28" w:rsidP="00E04F28">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EFECTIVO Y EQUIVALENTES</w:t>
            </w:r>
          </w:p>
        </w:tc>
      </w:tr>
    </w:tbl>
    <w:p w:rsidR="00E04F28" w:rsidRPr="00BC7BD7" w:rsidRDefault="00E04F28">
      <w:pPr>
        <w:rPr>
          <w:b/>
          <w:sz w:val="20"/>
          <w:szCs w:val="20"/>
        </w:rPr>
      </w:pPr>
    </w:p>
    <w:p w:rsidR="00E04F28" w:rsidRPr="00BC7BD7" w:rsidRDefault="00E04F28" w:rsidP="00E04F28">
      <w:pPr>
        <w:spacing w:after="0" w:line="240" w:lineRule="auto"/>
        <w:rPr>
          <w:rFonts w:eastAsia="Times New Roman" w:cs="Arial"/>
          <w:sz w:val="20"/>
          <w:szCs w:val="20"/>
          <w:lang w:eastAsia="es-MX"/>
        </w:rPr>
      </w:pPr>
      <w:r w:rsidRPr="00BC7BD7">
        <w:rPr>
          <w:rFonts w:eastAsia="Times New Roman" w:cs="Arial"/>
          <w:sz w:val="20"/>
          <w:szCs w:val="20"/>
          <w:lang w:eastAsia="es-MX"/>
        </w:rPr>
        <w:t>Análisis de los Saldos inicial y final que figuran en la última parte del Estado de Flujo de Efectivo en la cuenta de efectivo y equivalentes</w:t>
      </w:r>
    </w:p>
    <w:p w:rsidR="00E04F28" w:rsidRPr="00BC7BD7" w:rsidRDefault="00E04F28">
      <w:pPr>
        <w:rPr>
          <w:b/>
          <w:sz w:val="20"/>
          <w:szCs w:val="20"/>
        </w:rPr>
      </w:pPr>
    </w:p>
    <w:tbl>
      <w:tblPr>
        <w:tblW w:w="9200" w:type="dxa"/>
        <w:tblInd w:w="55" w:type="dxa"/>
        <w:tblCellMar>
          <w:left w:w="70" w:type="dxa"/>
          <w:right w:w="70" w:type="dxa"/>
        </w:tblCellMar>
        <w:tblLook w:val="04A0" w:firstRow="1" w:lastRow="0" w:firstColumn="1" w:lastColumn="0" w:noHBand="0" w:noVBand="1"/>
      </w:tblPr>
      <w:tblGrid>
        <w:gridCol w:w="1600"/>
        <w:gridCol w:w="1780"/>
        <w:gridCol w:w="1660"/>
        <w:gridCol w:w="1260"/>
        <w:gridCol w:w="1480"/>
        <w:gridCol w:w="1420"/>
      </w:tblGrid>
      <w:tr w:rsidR="00E04F28" w:rsidRPr="00BC7BD7" w:rsidTr="00E04F28">
        <w:trPr>
          <w:trHeight w:val="270"/>
        </w:trPr>
        <w:tc>
          <w:tcPr>
            <w:tcW w:w="1600" w:type="dxa"/>
            <w:tcBorders>
              <w:top w:val="nil"/>
              <w:left w:val="nil"/>
              <w:bottom w:val="nil"/>
              <w:right w:val="nil"/>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p>
        </w:tc>
        <w:tc>
          <w:tcPr>
            <w:tcW w:w="1780" w:type="dxa"/>
            <w:tcBorders>
              <w:top w:val="nil"/>
              <w:left w:val="nil"/>
              <w:bottom w:val="nil"/>
              <w:right w:val="nil"/>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p>
        </w:tc>
        <w:tc>
          <w:tcPr>
            <w:tcW w:w="1660" w:type="dxa"/>
            <w:tcBorders>
              <w:top w:val="nil"/>
              <w:left w:val="nil"/>
              <w:bottom w:val="nil"/>
              <w:right w:val="nil"/>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p>
        </w:tc>
        <w:tc>
          <w:tcPr>
            <w:tcW w:w="1260" w:type="dxa"/>
            <w:tcBorders>
              <w:top w:val="nil"/>
              <w:left w:val="nil"/>
              <w:bottom w:val="nil"/>
              <w:right w:val="nil"/>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p>
        </w:tc>
        <w:tc>
          <w:tcPr>
            <w:tcW w:w="1480" w:type="dxa"/>
            <w:tcBorders>
              <w:top w:val="nil"/>
              <w:left w:val="nil"/>
              <w:bottom w:val="nil"/>
              <w:right w:val="nil"/>
            </w:tcBorders>
            <w:shd w:val="clear" w:color="auto" w:fill="auto"/>
            <w:noWrap/>
            <w:vAlign w:val="bottom"/>
            <w:hideMark/>
          </w:tcPr>
          <w:p w:rsidR="00E04F28" w:rsidRPr="00BC7BD7" w:rsidRDefault="00D472CD" w:rsidP="00E04F28">
            <w:pPr>
              <w:spacing w:after="0" w:line="240" w:lineRule="auto"/>
              <w:jc w:val="center"/>
              <w:rPr>
                <w:rFonts w:eastAsia="Times New Roman" w:cs="Arial"/>
                <w:b/>
                <w:bCs/>
                <w:sz w:val="20"/>
                <w:szCs w:val="20"/>
                <w:lang w:eastAsia="es-MX"/>
              </w:rPr>
            </w:pPr>
            <w:r>
              <w:rPr>
                <w:rFonts w:eastAsia="Times New Roman" w:cs="Arial"/>
                <w:b/>
                <w:bCs/>
                <w:sz w:val="20"/>
                <w:szCs w:val="20"/>
                <w:lang w:eastAsia="es-MX"/>
              </w:rPr>
              <w:t>2017</w:t>
            </w:r>
          </w:p>
        </w:tc>
        <w:tc>
          <w:tcPr>
            <w:tcW w:w="1420" w:type="dxa"/>
            <w:tcBorders>
              <w:top w:val="nil"/>
              <w:left w:val="nil"/>
              <w:bottom w:val="nil"/>
              <w:right w:val="nil"/>
            </w:tcBorders>
            <w:shd w:val="clear" w:color="auto" w:fill="auto"/>
            <w:noWrap/>
            <w:vAlign w:val="bottom"/>
            <w:hideMark/>
          </w:tcPr>
          <w:p w:rsidR="00E04F28" w:rsidRPr="00BC7BD7" w:rsidRDefault="00D472CD" w:rsidP="00E04F28">
            <w:pPr>
              <w:spacing w:after="0" w:line="240" w:lineRule="auto"/>
              <w:jc w:val="center"/>
              <w:rPr>
                <w:rFonts w:eastAsia="Times New Roman" w:cs="Arial"/>
                <w:b/>
                <w:bCs/>
                <w:sz w:val="20"/>
                <w:szCs w:val="20"/>
                <w:lang w:eastAsia="es-MX"/>
              </w:rPr>
            </w:pPr>
            <w:r>
              <w:rPr>
                <w:rFonts w:eastAsia="Times New Roman" w:cs="Arial"/>
                <w:b/>
                <w:bCs/>
                <w:sz w:val="20"/>
                <w:szCs w:val="20"/>
                <w:lang w:eastAsia="es-MX"/>
              </w:rPr>
              <w:t>2016</w:t>
            </w:r>
          </w:p>
        </w:tc>
      </w:tr>
      <w:tr w:rsidR="00E04F28" w:rsidRPr="00BC7BD7" w:rsidTr="00E04F28">
        <w:trPr>
          <w:trHeight w:val="255"/>
        </w:trPr>
        <w:tc>
          <w:tcPr>
            <w:tcW w:w="1600" w:type="dxa"/>
            <w:tcBorders>
              <w:top w:val="nil"/>
              <w:left w:val="nil"/>
              <w:bottom w:val="nil"/>
              <w:right w:val="nil"/>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p>
        </w:tc>
        <w:tc>
          <w:tcPr>
            <w:tcW w:w="1780" w:type="dxa"/>
            <w:tcBorders>
              <w:top w:val="single" w:sz="8" w:space="0" w:color="auto"/>
              <w:left w:val="single" w:sz="8" w:space="0" w:color="auto"/>
              <w:bottom w:val="single" w:sz="4" w:space="0" w:color="auto"/>
              <w:right w:val="nil"/>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r w:rsidRPr="00BC7BD7">
              <w:rPr>
                <w:rFonts w:eastAsia="Times New Roman" w:cs="Arial"/>
                <w:sz w:val="20"/>
                <w:szCs w:val="20"/>
                <w:lang w:eastAsia="es-MX"/>
              </w:rPr>
              <w:t>Bancos/tesorería</w:t>
            </w:r>
          </w:p>
        </w:tc>
        <w:tc>
          <w:tcPr>
            <w:tcW w:w="1660" w:type="dxa"/>
            <w:tcBorders>
              <w:top w:val="single" w:sz="8" w:space="0" w:color="auto"/>
              <w:left w:val="nil"/>
              <w:bottom w:val="single" w:sz="4" w:space="0" w:color="auto"/>
              <w:right w:val="nil"/>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260" w:type="dxa"/>
            <w:tcBorders>
              <w:top w:val="single" w:sz="8" w:space="0" w:color="auto"/>
              <w:left w:val="nil"/>
              <w:bottom w:val="single" w:sz="4" w:space="0" w:color="auto"/>
              <w:right w:val="single" w:sz="8" w:space="0" w:color="auto"/>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r w:rsidRPr="00BC7BD7">
              <w:rPr>
                <w:rFonts w:eastAsia="Times New Roman" w:cs="Arial"/>
                <w:sz w:val="20"/>
                <w:szCs w:val="20"/>
                <w:lang w:eastAsia="es-MX"/>
              </w:rPr>
              <w:t> </w:t>
            </w:r>
          </w:p>
        </w:tc>
        <w:tc>
          <w:tcPr>
            <w:tcW w:w="1480" w:type="dxa"/>
            <w:tcBorders>
              <w:top w:val="single" w:sz="8" w:space="0" w:color="auto"/>
              <w:left w:val="nil"/>
              <w:bottom w:val="single" w:sz="4" w:space="0" w:color="auto"/>
              <w:right w:val="single" w:sz="8" w:space="0" w:color="auto"/>
            </w:tcBorders>
            <w:shd w:val="clear" w:color="auto" w:fill="auto"/>
            <w:noWrap/>
            <w:vAlign w:val="bottom"/>
            <w:hideMark/>
          </w:tcPr>
          <w:p w:rsidR="00E04F28" w:rsidRPr="00BC7BD7" w:rsidRDefault="00D472CD" w:rsidP="00E04F28">
            <w:pPr>
              <w:spacing w:after="0" w:line="240" w:lineRule="auto"/>
              <w:rPr>
                <w:rFonts w:eastAsia="Times New Roman" w:cs="Arial"/>
                <w:sz w:val="20"/>
                <w:szCs w:val="20"/>
                <w:lang w:eastAsia="es-MX"/>
              </w:rPr>
            </w:pPr>
            <w:r>
              <w:rPr>
                <w:rFonts w:eastAsia="Times New Roman" w:cs="Arial"/>
                <w:sz w:val="20"/>
                <w:szCs w:val="20"/>
                <w:lang w:eastAsia="es-MX"/>
              </w:rPr>
              <w:t xml:space="preserve">    13,914,853.48</w:t>
            </w:r>
          </w:p>
        </w:tc>
        <w:tc>
          <w:tcPr>
            <w:tcW w:w="1420" w:type="dxa"/>
            <w:tcBorders>
              <w:top w:val="single" w:sz="8" w:space="0" w:color="auto"/>
              <w:left w:val="nil"/>
              <w:bottom w:val="single" w:sz="4" w:space="0" w:color="auto"/>
              <w:right w:val="single" w:sz="8" w:space="0" w:color="auto"/>
            </w:tcBorders>
            <w:shd w:val="clear" w:color="auto" w:fill="auto"/>
            <w:noWrap/>
            <w:vAlign w:val="bottom"/>
            <w:hideMark/>
          </w:tcPr>
          <w:p w:rsidR="00E04F28" w:rsidRPr="00BC7BD7" w:rsidRDefault="00E04F28" w:rsidP="00D472CD">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  </w:t>
            </w:r>
            <w:r w:rsidR="00D472CD">
              <w:rPr>
                <w:rFonts w:eastAsia="Times New Roman" w:cs="Arial"/>
                <w:sz w:val="20"/>
                <w:szCs w:val="20"/>
                <w:lang w:eastAsia="es-MX"/>
              </w:rPr>
              <w:t>15,410,416.06</w:t>
            </w:r>
            <w:r w:rsidRPr="00BC7BD7">
              <w:rPr>
                <w:rFonts w:eastAsia="Times New Roman" w:cs="Arial"/>
                <w:sz w:val="20"/>
                <w:szCs w:val="20"/>
                <w:lang w:eastAsia="es-MX"/>
              </w:rPr>
              <w:t xml:space="preserve"> </w:t>
            </w:r>
          </w:p>
        </w:tc>
      </w:tr>
      <w:tr w:rsidR="00E04F28" w:rsidRPr="00BC7BD7" w:rsidTr="00E04F28">
        <w:trPr>
          <w:trHeight w:val="270"/>
        </w:trPr>
        <w:tc>
          <w:tcPr>
            <w:tcW w:w="1600" w:type="dxa"/>
            <w:tcBorders>
              <w:top w:val="nil"/>
              <w:left w:val="nil"/>
              <w:bottom w:val="nil"/>
              <w:right w:val="nil"/>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p>
        </w:tc>
        <w:tc>
          <w:tcPr>
            <w:tcW w:w="470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r w:rsidRPr="00BC7BD7">
              <w:rPr>
                <w:rFonts w:eastAsia="Times New Roman" w:cs="Arial"/>
                <w:sz w:val="20"/>
                <w:szCs w:val="20"/>
                <w:lang w:eastAsia="es-MX"/>
              </w:rPr>
              <w:t>Inversiones Temporales (Hasta 3 Meses)</w:t>
            </w:r>
          </w:p>
        </w:tc>
        <w:tc>
          <w:tcPr>
            <w:tcW w:w="1480" w:type="dxa"/>
            <w:tcBorders>
              <w:top w:val="nil"/>
              <w:left w:val="nil"/>
              <w:bottom w:val="single" w:sz="8" w:space="0" w:color="auto"/>
              <w:right w:val="single" w:sz="8" w:space="0" w:color="auto"/>
            </w:tcBorders>
            <w:shd w:val="clear" w:color="auto" w:fill="auto"/>
            <w:noWrap/>
            <w:vAlign w:val="bottom"/>
            <w:hideMark/>
          </w:tcPr>
          <w:p w:rsidR="00E04F28" w:rsidRPr="00BC7BD7" w:rsidRDefault="00E04F28" w:rsidP="00D472CD">
            <w:pPr>
              <w:spacing w:after="0" w:line="240" w:lineRule="auto"/>
              <w:rPr>
                <w:rFonts w:eastAsia="Times New Roman" w:cs="Arial"/>
                <w:sz w:val="20"/>
                <w:szCs w:val="20"/>
                <w:lang w:eastAsia="es-MX"/>
              </w:rPr>
            </w:pPr>
            <w:r w:rsidRPr="00BC7BD7">
              <w:rPr>
                <w:rFonts w:eastAsia="Times New Roman" w:cs="Arial"/>
                <w:sz w:val="20"/>
                <w:szCs w:val="20"/>
                <w:lang w:eastAsia="es-MX"/>
              </w:rPr>
              <w:t xml:space="preserve">    </w:t>
            </w:r>
            <w:r w:rsidR="00D472CD">
              <w:rPr>
                <w:rFonts w:eastAsia="Times New Roman" w:cs="Arial"/>
                <w:sz w:val="20"/>
                <w:szCs w:val="20"/>
                <w:lang w:eastAsia="es-MX"/>
              </w:rPr>
              <w:t>15,419,945.00</w:t>
            </w:r>
            <w:r w:rsidRPr="00BC7BD7">
              <w:rPr>
                <w:rFonts w:eastAsia="Times New Roman" w:cs="Arial"/>
                <w:sz w:val="20"/>
                <w:szCs w:val="20"/>
                <w:lang w:eastAsia="es-MX"/>
              </w:rPr>
              <w:t xml:space="preserve"> </w:t>
            </w:r>
          </w:p>
        </w:tc>
        <w:tc>
          <w:tcPr>
            <w:tcW w:w="1420" w:type="dxa"/>
            <w:tcBorders>
              <w:top w:val="nil"/>
              <w:left w:val="nil"/>
              <w:bottom w:val="single" w:sz="8" w:space="0" w:color="auto"/>
              <w:right w:val="single" w:sz="8" w:space="0" w:color="auto"/>
            </w:tcBorders>
            <w:shd w:val="clear" w:color="auto" w:fill="auto"/>
            <w:noWrap/>
            <w:vAlign w:val="bottom"/>
            <w:hideMark/>
          </w:tcPr>
          <w:p w:rsidR="00E04F28" w:rsidRPr="00BC7BD7" w:rsidRDefault="00FB5D93" w:rsidP="00E04F28">
            <w:pPr>
              <w:spacing w:after="0" w:line="240" w:lineRule="auto"/>
              <w:rPr>
                <w:rFonts w:eastAsia="Times New Roman" w:cs="Arial"/>
                <w:sz w:val="20"/>
                <w:szCs w:val="20"/>
                <w:lang w:eastAsia="es-MX"/>
              </w:rPr>
            </w:pPr>
            <w:r>
              <w:rPr>
                <w:rFonts w:eastAsia="Times New Roman" w:cs="Arial"/>
                <w:sz w:val="20"/>
                <w:szCs w:val="20"/>
                <w:lang w:eastAsia="es-MX"/>
              </w:rPr>
              <w:t>14,644,612.58</w:t>
            </w:r>
            <w:r w:rsidR="00E04F28" w:rsidRPr="00BC7BD7">
              <w:rPr>
                <w:rFonts w:eastAsia="Times New Roman" w:cs="Arial"/>
                <w:sz w:val="20"/>
                <w:szCs w:val="20"/>
                <w:lang w:eastAsia="es-MX"/>
              </w:rPr>
              <w:t xml:space="preserve"> </w:t>
            </w:r>
          </w:p>
        </w:tc>
      </w:tr>
      <w:tr w:rsidR="00E04F28" w:rsidRPr="00BC7BD7" w:rsidTr="00E04F28">
        <w:trPr>
          <w:trHeight w:val="255"/>
        </w:trPr>
        <w:tc>
          <w:tcPr>
            <w:tcW w:w="1600" w:type="dxa"/>
            <w:tcBorders>
              <w:top w:val="nil"/>
              <w:left w:val="nil"/>
              <w:bottom w:val="nil"/>
              <w:right w:val="nil"/>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p>
        </w:tc>
        <w:tc>
          <w:tcPr>
            <w:tcW w:w="4700" w:type="dxa"/>
            <w:gridSpan w:val="3"/>
            <w:tcBorders>
              <w:top w:val="nil"/>
              <w:left w:val="nil"/>
              <w:bottom w:val="nil"/>
              <w:right w:val="nil"/>
            </w:tcBorders>
            <w:shd w:val="clear" w:color="auto" w:fill="auto"/>
            <w:noWrap/>
            <w:vAlign w:val="bottom"/>
            <w:hideMark/>
          </w:tcPr>
          <w:p w:rsidR="00E04F28" w:rsidRPr="00BC7BD7" w:rsidRDefault="00E04F28" w:rsidP="00E04F28">
            <w:pPr>
              <w:spacing w:after="0" w:line="240" w:lineRule="auto"/>
              <w:rPr>
                <w:rFonts w:eastAsia="Times New Roman" w:cs="Arial"/>
                <w:sz w:val="20"/>
                <w:szCs w:val="20"/>
                <w:lang w:eastAsia="es-MX"/>
              </w:rPr>
            </w:pPr>
            <w:r w:rsidRPr="00BC7BD7">
              <w:rPr>
                <w:rFonts w:eastAsia="Times New Roman" w:cs="Arial"/>
                <w:sz w:val="20"/>
                <w:szCs w:val="20"/>
                <w:lang w:eastAsia="es-MX"/>
              </w:rPr>
              <w:t>TOTAL DE EFECTIVO Y EQUIVALENTES</w:t>
            </w:r>
          </w:p>
        </w:tc>
        <w:tc>
          <w:tcPr>
            <w:tcW w:w="1480" w:type="dxa"/>
            <w:tcBorders>
              <w:top w:val="nil"/>
              <w:left w:val="nil"/>
              <w:bottom w:val="nil"/>
              <w:right w:val="nil"/>
            </w:tcBorders>
            <w:shd w:val="clear" w:color="auto" w:fill="auto"/>
            <w:noWrap/>
            <w:vAlign w:val="bottom"/>
            <w:hideMark/>
          </w:tcPr>
          <w:p w:rsidR="00E04F28" w:rsidRPr="00BC7BD7" w:rsidRDefault="00E04F28" w:rsidP="00FB5D93">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w:t>
            </w:r>
            <w:r w:rsidR="00FB5D93">
              <w:rPr>
                <w:rFonts w:eastAsia="Times New Roman" w:cs="Arial"/>
                <w:b/>
                <w:bCs/>
                <w:sz w:val="20"/>
                <w:szCs w:val="20"/>
                <w:lang w:eastAsia="es-MX"/>
              </w:rPr>
              <w:t xml:space="preserve">29,334,798.48 </w:t>
            </w:r>
            <w:r w:rsidRPr="00BC7BD7">
              <w:rPr>
                <w:rFonts w:eastAsia="Times New Roman" w:cs="Arial"/>
                <w:b/>
                <w:bCs/>
                <w:sz w:val="20"/>
                <w:szCs w:val="20"/>
                <w:lang w:eastAsia="es-MX"/>
              </w:rPr>
              <w:t xml:space="preserve"> </w:t>
            </w:r>
          </w:p>
        </w:tc>
        <w:tc>
          <w:tcPr>
            <w:tcW w:w="1420" w:type="dxa"/>
            <w:tcBorders>
              <w:top w:val="nil"/>
              <w:left w:val="nil"/>
              <w:bottom w:val="nil"/>
              <w:right w:val="nil"/>
            </w:tcBorders>
            <w:shd w:val="clear" w:color="auto" w:fill="auto"/>
            <w:noWrap/>
            <w:vAlign w:val="bottom"/>
            <w:hideMark/>
          </w:tcPr>
          <w:p w:rsidR="00E04F28" w:rsidRPr="00BC7BD7" w:rsidRDefault="00E04F28" w:rsidP="00FB5D93">
            <w:pPr>
              <w:spacing w:after="0" w:line="240" w:lineRule="auto"/>
              <w:rPr>
                <w:rFonts w:eastAsia="Times New Roman" w:cs="Arial"/>
                <w:b/>
                <w:bCs/>
                <w:sz w:val="20"/>
                <w:szCs w:val="20"/>
                <w:lang w:eastAsia="es-MX"/>
              </w:rPr>
            </w:pPr>
            <w:r w:rsidRPr="00BC7BD7">
              <w:rPr>
                <w:rFonts w:eastAsia="Times New Roman" w:cs="Arial"/>
                <w:b/>
                <w:bCs/>
                <w:sz w:val="20"/>
                <w:szCs w:val="20"/>
                <w:lang w:eastAsia="es-MX"/>
              </w:rPr>
              <w:t xml:space="preserve"> </w:t>
            </w:r>
            <w:r w:rsidR="00FB5D93">
              <w:rPr>
                <w:rFonts w:eastAsia="Times New Roman" w:cs="Arial"/>
                <w:b/>
                <w:bCs/>
                <w:sz w:val="20"/>
                <w:szCs w:val="20"/>
                <w:lang w:eastAsia="es-MX"/>
              </w:rPr>
              <w:t>30,055,028.64</w:t>
            </w:r>
            <w:r w:rsidRPr="00BC7BD7">
              <w:rPr>
                <w:rFonts w:eastAsia="Times New Roman" w:cs="Arial"/>
                <w:b/>
                <w:bCs/>
                <w:sz w:val="20"/>
                <w:szCs w:val="20"/>
                <w:lang w:eastAsia="es-MX"/>
              </w:rPr>
              <w:t xml:space="preserve"> </w:t>
            </w:r>
          </w:p>
        </w:tc>
      </w:tr>
      <w:tr w:rsidR="00FB5D93" w:rsidRPr="00BC7BD7" w:rsidTr="00E04F28">
        <w:trPr>
          <w:trHeight w:val="255"/>
        </w:trPr>
        <w:tc>
          <w:tcPr>
            <w:tcW w:w="1600" w:type="dxa"/>
            <w:tcBorders>
              <w:top w:val="nil"/>
              <w:left w:val="nil"/>
              <w:bottom w:val="nil"/>
              <w:right w:val="nil"/>
            </w:tcBorders>
            <w:shd w:val="clear" w:color="auto" w:fill="auto"/>
            <w:noWrap/>
            <w:vAlign w:val="bottom"/>
          </w:tcPr>
          <w:p w:rsidR="00FB5D93" w:rsidRPr="00BC7BD7" w:rsidRDefault="00FB5D93" w:rsidP="00E04F28">
            <w:pPr>
              <w:spacing w:after="0" w:line="240" w:lineRule="auto"/>
              <w:rPr>
                <w:rFonts w:eastAsia="Times New Roman" w:cs="Arial"/>
                <w:sz w:val="20"/>
                <w:szCs w:val="20"/>
                <w:lang w:eastAsia="es-MX"/>
              </w:rPr>
            </w:pPr>
          </w:p>
        </w:tc>
        <w:tc>
          <w:tcPr>
            <w:tcW w:w="4700" w:type="dxa"/>
            <w:gridSpan w:val="3"/>
            <w:tcBorders>
              <w:top w:val="nil"/>
              <w:left w:val="nil"/>
              <w:bottom w:val="nil"/>
              <w:right w:val="nil"/>
            </w:tcBorders>
            <w:shd w:val="clear" w:color="auto" w:fill="auto"/>
            <w:noWrap/>
            <w:vAlign w:val="bottom"/>
          </w:tcPr>
          <w:p w:rsidR="00FB5D93" w:rsidRPr="00BC7BD7" w:rsidRDefault="00FB5D93" w:rsidP="00E04F28">
            <w:pPr>
              <w:spacing w:after="0" w:line="240" w:lineRule="auto"/>
              <w:rPr>
                <w:rFonts w:eastAsia="Times New Roman" w:cs="Arial"/>
                <w:sz w:val="20"/>
                <w:szCs w:val="20"/>
                <w:lang w:eastAsia="es-MX"/>
              </w:rPr>
            </w:pPr>
          </w:p>
        </w:tc>
        <w:tc>
          <w:tcPr>
            <w:tcW w:w="1480" w:type="dxa"/>
            <w:tcBorders>
              <w:top w:val="nil"/>
              <w:left w:val="nil"/>
              <w:bottom w:val="nil"/>
              <w:right w:val="nil"/>
            </w:tcBorders>
            <w:shd w:val="clear" w:color="auto" w:fill="auto"/>
            <w:noWrap/>
            <w:vAlign w:val="bottom"/>
          </w:tcPr>
          <w:p w:rsidR="00FB5D93" w:rsidRPr="00BC7BD7" w:rsidRDefault="00FB5D93" w:rsidP="00FB5D93">
            <w:pPr>
              <w:spacing w:after="0" w:line="240" w:lineRule="auto"/>
              <w:rPr>
                <w:rFonts w:eastAsia="Times New Roman" w:cs="Arial"/>
                <w:b/>
                <w:bCs/>
                <w:sz w:val="20"/>
                <w:szCs w:val="20"/>
                <w:lang w:eastAsia="es-MX"/>
              </w:rPr>
            </w:pPr>
          </w:p>
        </w:tc>
        <w:tc>
          <w:tcPr>
            <w:tcW w:w="1420" w:type="dxa"/>
            <w:tcBorders>
              <w:top w:val="nil"/>
              <w:left w:val="nil"/>
              <w:bottom w:val="nil"/>
              <w:right w:val="nil"/>
            </w:tcBorders>
            <w:shd w:val="clear" w:color="auto" w:fill="auto"/>
            <w:noWrap/>
            <w:vAlign w:val="bottom"/>
          </w:tcPr>
          <w:p w:rsidR="00FB5D93" w:rsidRPr="00BC7BD7" w:rsidRDefault="00FB5D93" w:rsidP="00FB5D93">
            <w:pPr>
              <w:spacing w:after="0" w:line="240" w:lineRule="auto"/>
              <w:rPr>
                <w:rFonts w:eastAsia="Times New Roman" w:cs="Arial"/>
                <w:b/>
                <w:bCs/>
                <w:sz w:val="20"/>
                <w:szCs w:val="20"/>
                <w:lang w:eastAsia="es-MX"/>
              </w:rPr>
            </w:pPr>
          </w:p>
        </w:tc>
      </w:tr>
    </w:tbl>
    <w:p w:rsidR="00E04F28" w:rsidRPr="00BC7BD7" w:rsidRDefault="00E04F28">
      <w:pPr>
        <w:rPr>
          <w:b/>
          <w:sz w:val="20"/>
          <w:szCs w:val="20"/>
        </w:rPr>
      </w:pPr>
    </w:p>
    <w:p w:rsidR="00E04F28" w:rsidRDefault="00E04F28">
      <w:pPr>
        <w:rPr>
          <w:b/>
          <w:sz w:val="20"/>
          <w:szCs w:val="20"/>
        </w:rPr>
      </w:pPr>
    </w:p>
    <w:p w:rsidR="00FB5D93" w:rsidRDefault="00FB5D93">
      <w:pPr>
        <w:rPr>
          <w:b/>
          <w:sz w:val="20"/>
          <w:szCs w:val="20"/>
        </w:rPr>
      </w:pPr>
    </w:p>
    <w:p w:rsidR="00FB5D93" w:rsidRDefault="00FB5D93">
      <w:pPr>
        <w:rPr>
          <w:b/>
          <w:sz w:val="20"/>
          <w:szCs w:val="20"/>
        </w:rPr>
      </w:pPr>
    </w:p>
    <w:p w:rsidR="00FB5D93" w:rsidRDefault="00FB5D93">
      <w:pPr>
        <w:rPr>
          <w:b/>
          <w:sz w:val="20"/>
          <w:szCs w:val="20"/>
        </w:rPr>
      </w:pPr>
    </w:p>
    <w:p w:rsidR="00FB5D93" w:rsidRDefault="00FB5D93">
      <w:pPr>
        <w:rPr>
          <w:b/>
          <w:sz w:val="20"/>
          <w:szCs w:val="20"/>
        </w:rPr>
      </w:pPr>
    </w:p>
    <w:p w:rsidR="00FB5D93" w:rsidRPr="00BC7BD7" w:rsidRDefault="00FB5D93">
      <w:pPr>
        <w:rPr>
          <w:b/>
          <w:sz w:val="20"/>
          <w:szCs w:val="20"/>
        </w:rPr>
      </w:pPr>
    </w:p>
    <w:p w:rsidR="00E04F28" w:rsidRPr="00BC7BD7" w:rsidRDefault="00D472CD" w:rsidP="00E04F28">
      <w:pPr>
        <w:spacing w:after="0" w:line="240" w:lineRule="auto"/>
        <w:rPr>
          <w:rFonts w:eastAsia="Times New Roman" w:cs="Times New Roman"/>
          <w:b/>
          <w:bCs/>
          <w:sz w:val="20"/>
          <w:szCs w:val="20"/>
          <w:lang w:eastAsia="es-MX"/>
        </w:rPr>
      </w:pPr>
      <w:r>
        <w:rPr>
          <w:rFonts w:eastAsia="Times New Roman" w:cs="Times New Roman"/>
          <w:b/>
          <w:bCs/>
          <w:sz w:val="20"/>
          <w:szCs w:val="20"/>
          <w:lang w:eastAsia="es-MX"/>
        </w:rPr>
        <w:lastRenderedPageBreak/>
        <w:t>NOTAS DE GESTIÓ</w:t>
      </w:r>
      <w:r w:rsidR="00E04F28" w:rsidRPr="00BC7BD7">
        <w:rPr>
          <w:rFonts w:eastAsia="Times New Roman" w:cs="Times New Roman"/>
          <w:b/>
          <w:bCs/>
          <w:sz w:val="20"/>
          <w:szCs w:val="20"/>
          <w:lang w:eastAsia="es-MX"/>
        </w:rPr>
        <w:t>N</w:t>
      </w:r>
    </w:p>
    <w:p w:rsidR="00E04F28" w:rsidRPr="00BC7BD7" w:rsidRDefault="00E04F28">
      <w:pPr>
        <w:rPr>
          <w:b/>
          <w:sz w:val="20"/>
          <w:szCs w:val="20"/>
        </w:rPr>
      </w:pPr>
    </w:p>
    <w:tbl>
      <w:tblPr>
        <w:tblW w:w="13720" w:type="dxa"/>
        <w:tblInd w:w="55" w:type="dxa"/>
        <w:tblCellMar>
          <w:left w:w="70" w:type="dxa"/>
          <w:right w:w="70" w:type="dxa"/>
        </w:tblCellMar>
        <w:tblLook w:val="04A0" w:firstRow="1" w:lastRow="0" w:firstColumn="1" w:lastColumn="0" w:noHBand="0" w:noVBand="1"/>
      </w:tblPr>
      <w:tblGrid>
        <w:gridCol w:w="13720"/>
      </w:tblGrid>
      <w:tr w:rsidR="00E04F28" w:rsidRPr="00BC7BD7" w:rsidTr="00E04F28">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4F28" w:rsidRPr="00BC7BD7" w:rsidRDefault="00E04F28" w:rsidP="00E04F28">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NOTA 1</w:t>
            </w:r>
          </w:p>
        </w:tc>
      </w:tr>
      <w:tr w:rsidR="00E04F28" w:rsidRPr="00BC7BD7" w:rsidTr="00E04F28">
        <w:trPr>
          <w:trHeight w:val="270"/>
        </w:trPr>
        <w:tc>
          <w:tcPr>
            <w:tcW w:w="137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4F28" w:rsidRPr="00BC7BD7" w:rsidRDefault="00E04F28" w:rsidP="00E04F28">
            <w:pPr>
              <w:spacing w:after="0" w:line="240" w:lineRule="auto"/>
              <w:jc w:val="center"/>
              <w:rPr>
                <w:rFonts w:eastAsia="Times New Roman" w:cs="Arial"/>
                <w:b/>
                <w:bCs/>
                <w:sz w:val="20"/>
                <w:szCs w:val="20"/>
                <w:lang w:eastAsia="es-MX"/>
              </w:rPr>
            </w:pPr>
            <w:r w:rsidRPr="00BC7BD7">
              <w:rPr>
                <w:rFonts w:eastAsia="Times New Roman" w:cs="Arial"/>
                <w:b/>
                <w:bCs/>
                <w:sz w:val="20"/>
                <w:szCs w:val="20"/>
                <w:lang w:eastAsia="es-MX"/>
              </w:rPr>
              <w:t>INTRODUCCION</w:t>
            </w:r>
          </w:p>
        </w:tc>
      </w:tr>
    </w:tbl>
    <w:p w:rsidR="00E04F28" w:rsidRDefault="00E04F28">
      <w:pPr>
        <w:rPr>
          <w:b/>
          <w:sz w:val="20"/>
          <w:szCs w:val="20"/>
        </w:rPr>
      </w:pPr>
    </w:p>
    <w:p w:rsidR="00712A1E" w:rsidRPr="00BC7BD7" w:rsidRDefault="00712A1E">
      <w:pPr>
        <w:rPr>
          <w:b/>
          <w:sz w:val="20"/>
          <w:szCs w:val="20"/>
        </w:rPr>
      </w:pPr>
    </w:p>
    <w:tbl>
      <w:tblPr>
        <w:tblW w:w="13720" w:type="dxa"/>
        <w:tblInd w:w="55" w:type="dxa"/>
        <w:tblCellMar>
          <w:left w:w="70" w:type="dxa"/>
          <w:right w:w="70" w:type="dxa"/>
        </w:tblCellMar>
        <w:tblLook w:val="04A0" w:firstRow="1" w:lastRow="0" w:firstColumn="1" w:lastColumn="0" w:noHBand="0" w:noVBand="1"/>
      </w:tblPr>
      <w:tblGrid>
        <w:gridCol w:w="13720"/>
      </w:tblGrid>
      <w:tr w:rsidR="00E04F28" w:rsidRPr="00BC7BD7" w:rsidTr="00E04F28">
        <w:trPr>
          <w:trHeight w:val="570"/>
        </w:trPr>
        <w:tc>
          <w:tcPr>
            <w:tcW w:w="13720" w:type="dxa"/>
            <w:tcBorders>
              <w:top w:val="nil"/>
              <w:left w:val="nil"/>
              <w:bottom w:val="nil"/>
              <w:right w:val="nil"/>
            </w:tcBorders>
            <w:shd w:val="clear" w:color="auto" w:fill="auto"/>
            <w:hideMark/>
          </w:tcPr>
          <w:p w:rsidR="00E04F28" w:rsidRPr="00BC7BD7" w:rsidRDefault="00E04F28" w:rsidP="00E04F28">
            <w:pPr>
              <w:spacing w:after="0" w:line="240" w:lineRule="auto"/>
              <w:jc w:val="both"/>
              <w:rPr>
                <w:rFonts w:eastAsia="Times New Roman" w:cs="Arial"/>
                <w:sz w:val="20"/>
                <w:szCs w:val="20"/>
                <w:lang w:eastAsia="es-MX"/>
              </w:rPr>
            </w:pPr>
            <w:r w:rsidRPr="00BC7BD7">
              <w:rPr>
                <w:rFonts w:eastAsia="Times New Roman" w:cs="Arial"/>
                <w:sz w:val="20"/>
                <w:szCs w:val="20"/>
                <w:lang w:eastAsia="es-MX"/>
              </w:rPr>
              <w:t>Los Estados Financieros de los entes públicos, proveen de información financiera a los principales usuarios de la misma, al Congreso y a los Ciudadanos.</w:t>
            </w:r>
          </w:p>
        </w:tc>
      </w:tr>
      <w:tr w:rsidR="00E04F28" w:rsidRPr="00BC7BD7" w:rsidTr="00E04F28">
        <w:trPr>
          <w:trHeight w:val="840"/>
        </w:trPr>
        <w:tc>
          <w:tcPr>
            <w:tcW w:w="13720" w:type="dxa"/>
            <w:tcBorders>
              <w:top w:val="nil"/>
              <w:left w:val="nil"/>
              <w:bottom w:val="nil"/>
              <w:right w:val="nil"/>
            </w:tcBorders>
            <w:shd w:val="clear" w:color="auto" w:fill="auto"/>
            <w:hideMark/>
          </w:tcPr>
          <w:p w:rsidR="00E04F28" w:rsidRPr="00BC7BD7" w:rsidRDefault="00E04F28" w:rsidP="00E04F28">
            <w:pPr>
              <w:spacing w:after="0" w:line="240" w:lineRule="auto"/>
              <w:jc w:val="both"/>
              <w:rPr>
                <w:rFonts w:eastAsia="Times New Roman" w:cs="Arial"/>
                <w:sz w:val="20"/>
                <w:szCs w:val="20"/>
                <w:lang w:eastAsia="es-MX"/>
              </w:rPr>
            </w:pPr>
            <w:r w:rsidRPr="00BC7BD7">
              <w:rPr>
                <w:rFonts w:eastAsia="Times New Roman" w:cs="Arial"/>
                <w:sz w:val="20"/>
                <w:szCs w:val="20"/>
                <w:lang w:eastAsia="es-MX"/>
              </w:rPr>
              <w:t xml:space="preserve">El Objetivo del presente documento es la revelación del contexto y de los aspectos económicos-financieros </w:t>
            </w:r>
            <w:r w:rsidR="00CF0EAA" w:rsidRPr="00BC7BD7">
              <w:rPr>
                <w:rFonts w:eastAsia="Times New Roman" w:cs="Arial"/>
                <w:sz w:val="20"/>
                <w:szCs w:val="20"/>
                <w:lang w:eastAsia="es-MX"/>
              </w:rPr>
              <w:t>más</w:t>
            </w:r>
            <w:r w:rsidRPr="00BC7BD7">
              <w:rPr>
                <w:rFonts w:eastAsia="Times New Roman" w:cs="Arial"/>
                <w:sz w:val="20"/>
                <w:szCs w:val="20"/>
                <w:lang w:eastAsia="es-MX"/>
              </w:rPr>
              <w:t xml:space="preserve"> relevantes que influyeron en las decisiones del período y que deberán ser considerados en la elaboración de los estados financieros para la mayor comprensión de los mismos y sus particulares.</w:t>
            </w:r>
          </w:p>
        </w:tc>
      </w:tr>
      <w:tr w:rsidR="00E04F28" w:rsidRPr="00BC7BD7" w:rsidTr="00E04F28">
        <w:trPr>
          <w:trHeight w:val="615"/>
        </w:trPr>
        <w:tc>
          <w:tcPr>
            <w:tcW w:w="13720" w:type="dxa"/>
            <w:tcBorders>
              <w:top w:val="nil"/>
              <w:left w:val="nil"/>
              <w:bottom w:val="nil"/>
              <w:right w:val="nil"/>
            </w:tcBorders>
            <w:shd w:val="clear" w:color="auto" w:fill="auto"/>
            <w:hideMark/>
          </w:tcPr>
          <w:p w:rsidR="00E04F28" w:rsidRDefault="00E04F28" w:rsidP="00E04F28">
            <w:pPr>
              <w:spacing w:after="0" w:line="240" w:lineRule="auto"/>
              <w:jc w:val="both"/>
              <w:rPr>
                <w:rFonts w:eastAsia="Times New Roman" w:cs="Arial"/>
                <w:sz w:val="20"/>
                <w:szCs w:val="20"/>
                <w:lang w:eastAsia="es-MX"/>
              </w:rPr>
            </w:pPr>
            <w:r w:rsidRPr="00BC7BD7">
              <w:rPr>
                <w:rFonts w:eastAsia="Times New Roman" w:cs="Arial"/>
                <w:sz w:val="20"/>
                <w:szCs w:val="20"/>
                <w:lang w:eastAsia="es-MX"/>
              </w:rPr>
              <w:t>De esta manera, se informa y se explica la respuesta del gobierno a las condiciones relacionadas con la información financiera de cada período de gestión; además, de exponer aquellas políticas que podrían afectar la toma de decisiones en períodos posteriores.</w:t>
            </w:r>
          </w:p>
          <w:p w:rsidR="00712A1E" w:rsidRPr="00BC7BD7" w:rsidRDefault="00712A1E" w:rsidP="00E04F28">
            <w:pPr>
              <w:spacing w:after="0" w:line="240" w:lineRule="auto"/>
              <w:jc w:val="both"/>
              <w:rPr>
                <w:rFonts w:eastAsia="Times New Roman" w:cs="Arial"/>
                <w:sz w:val="20"/>
                <w:szCs w:val="20"/>
                <w:lang w:eastAsia="es-MX"/>
              </w:rPr>
            </w:pPr>
          </w:p>
        </w:tc>
      </w:tr>
    </w:tbl>
    <w:p w:rsidR="00E04F28" w:rsidRPr="00BC7BD7" w:rsidRDefault="00E04F28">
      <w:pPr>
        <w:rPr>
          <w:b/>
          <w:sz w:val="20"/>
          <w:szCs w:val="20"/>
        </w:rPr>
      </w:pPr>
    </w:p>
    <w:p w:rsidR="009D3EFB" w:rsidRDefault="009D3EFB" w:rsidP="00BC7BD7">
      <w:pPr>
        <w:pStyle w:val="Texto"/>
        <w:spacing w:after="86"/>
        <w:ind w:firstLine="0"/>
        <w:jc w:val="left"/>
        <w:rPr>
          <w:rFonts w:asciiTheme="minorHAnsi" w:hAnsiTheme="minorHAnsi" w:cstheme="minorHAnsi"/>
          <w:sz w:val="20"/>
        </w:rPr>
      </w:pPr>
    </w:p>
    <w:tbl>
      <w:tblPr>
        <w:tblW w:w="13780" w:type="dxa"/>
        <w:tblInd w:w="55" w:type="dxa"/>
        <w:tblCellMar>
          <w:left w:w="70" w:type="dxa"/>
          <w:right w:w="70" w:type="dxa"/>
        </w:tblCellMar>
        <w:tblLook w:val="04A0" w:firstRow="1" w:lastRow="0" w:firstColumn="1" w:lastColumn="0" w:noHBand="0" w:noVBand="1"/>
      </w:tblPr>
      <w:tblGrid>
        <w:gridCol w:w="13780"/>
      </w:tblGrid>
      <w:tr w:rsidR="00FB5D93" w:rsidRPr="00FB5D93" w:rsidTr="00FB5D93">
        <w:trPr>
          <w:trHeight w:val="270"/>
        </w:trPr>
        <w:tc>
          <w:tcPr>
            <w:tcW w:w="1378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2</w:t>
            </w:r>
          </w:p>
        </w:tc>
      </w:tr>
      <w:tr w:rsidR="00FB5D93" w:rsidRPr="00FB5D93" w:rsidTr="00FB5D93">
        <w:trPr>
          <w:trHeight w:val="270"/>
        </w:trPr>
        <w:tc>
          <w:tcPr>
            <w:tcW w:w="1378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PANORAMA ECONOMICO-FINANCIERO</w:t>
            </w:r>
          </w:p>
        </w:tc>
      </w:tr>
    </w:tbl>
    <w:p w:rsidR="009D3EFB" w:rsidRDefault="009D3EFB" w:rsidP="00BC7BD7">
      <w:pPr>
        <w:pStyle w:val="Texto"/>
        <w:spacing w:after="86"/>
        <w:ind w:firstLine="0"/>
        <w:jc w:val="left"/>
        <w:rPr>
          <w:rFonts w:asciiTheme="minorHAnsi" w:hAnsiTheme="minorHAnsi" w:cstheme="minorHAnsi"/>
          <w:sz w:val="20"/>
        </w:rPr>
      </w:pPr>
    </w:p>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El FIDEY opera bajo condiciones económico-financieras seguras y estables puesto que todas las decisiones que se toman son expuestas al Comité y las mismas son aprobadas, en su caso, y siempre tomado en consideración la salvaguarda y protección de los recursos del Estado.</w:t>
      </w:r>
    </w:p>
    <w:p w:rsidR="00FB5D93" w:rsidRPr="00FB5D93" w:rsidRDefault="00FB5D93" w:rsidP="00BC7BD7">
      <w:pPr>
        <w:pStyle w:val="Texto"/>
        <w:spacing w:after="86"/>
        <w:ind w:firstLine="0"/>
        <w:jc w:val="left"/>
        <w:rPr>
          <w:rFonts w:asciiTheme="minorHAnsi" w:hAnsiTheme="minorHAnsi" w:cstheme="minorHAnsi"/>
          <w:sz w:val="20"/>
          <w:lang w:val="es-MX"/>
        </w:rPr>
      </w:pPr>
    </w:p>
    <w:p w:rsidR="009D3EFB" w:rsidRDefault="009D3EFB" w:rsidP="00BC7BD7">
      <w:pPr>
        <w:pStyle w:val="Texto"/>
        <w:spacing w:after="86"/>
        <w:ind w:firstLine="0"/>
        <w:jc w:val="left"/>
        <w:rPr>
          <w:rFonts w:asciiTheme="minorHAnsi" w:hAnsiTheme="minorHAnsi" w:cstheme="minorHAnsi"/>
          <w:sz w:val="20"/>
        </w:rPr>
      </w:pPr>
    </w:p>
    <w:p w:rsidR="00FB5D93" w:rsidRDefault="00FB5D93" w:rsidP="00BC7BD7">
      <w:pPr>
        <w:pStyle w:val="Texto"/>
        <w:spacing w:after="86"/>
        <w:ind w:firstLine="0"/>
        <w:jc w:val="left"/>
        <w:rPr>
          <w:rFonts w:asciiTheme="minorHAnsi" w:hAnsiTheme="minorHAnsi" w:cstheme="minorHAnsi"/>
          <w:sz w:val="20"/>
        </w:rPr>
      </w:pPr>
    </w:p>
    <w:p w:rsidR="00FB5D93" w:rsidRDefault="00FB5D93" w:rsidP="00BC7BD7">
      <w:pPr>
        <w:pStyle w:val="Texto"/>
        <w:spacing w:after="86"/>
        <w:ind w:firstLine="0"/>
        <w:jc w:val="left"/>
        <w:rPr>
          <w:rFonts w:asciiTheme="minorHAnsi" w:hAnsiTheme="minorHAnsi" w:cstheme="minorHAnsi"/>
          <w:sz w:val="20"/>
        </w:rPr>
      </w:pPr>
    </w:p>
    <w:tbl>
      <w:tblPr>
        <w:tblW w:w="13780" w:type="dxa"/>
        <w:tblInd w:w="55" w:type="dxa"/>
        <w:tblCellMar>
          <w:left w:w="70" w:type="dxa"/>
          <w:right w:w="70" w:type="dxa"/>
        </w:tblCellMar>
        <w:tblLook w:val="04A0" w:firstRow="1" w:lastRow="0" w:firstColumn="1" w:lastColumn="0" w:noHBand="0" w:noVBand="1"/>
      </w:tblPr>
      <w:tblGrid>
        <w:gridCol w:w="13780"/>
      </w:tblGrid>
      <w:tr w:rsidR="00FB5D93" w:rsidRPr="00FB5D93" w:rsidTr="00FB5D93">
        <w:trPr>
          <w:trHeight w:val="270"/>
        </w:trPr>
        <w:tc>
          <w:tcPr>
            <w:tcW w:w="1378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lastRenderedPageBreak/>
              <w:t>NOTA 3</w:t>
            </w:r>
          </w:p>
        </w:tc>
      </w:tr>
      <w:tr w:rsidR="00FB5D93" w:rsidRPr="00FB5D93" w:rsidTr="00FB5D93">
        <w:trPr>
          <w:trHeight w:val="270"/>
        </w:trPr>
        <w:tc>
          <w:tcPr>
            <w:tcW w:w="1378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AUTORIZACION E HISTORIA</w:t>
            </w:r>
          </w:p>
        </w:tc>
      </w:tr>
    </w:tbl>
    <w:p w:rsidR="00FB5D93" w:rsidRDefault="00FB5D93" w:rsidP="00BC7BD7">
      <w:pPr>
        <w:pStyle w:val="Texto"/>
        <w:spacing w:after="86"/>
        <w:ind w:firstLine="0"/>
        <w:jc w:val="left"/>
        <w:rPr>
          <w:rFonts w:asciiTheme="minorHAnsi" w:hAnsiTheme="minorHAnsi" w:cstheme="minorHAnsi"/>
          <w:sz w:val="20"/>
        </w:rPr>
      </w:pPr>
    </w:p>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El Fideicomiso " Fondo Integral para el Desarrollo Económico de Yucatán" (FIDEY) fue constituido el 22 de Febrero de 2002, según convenio celebrado entre el Gobierno del Estado de Yucatán como fideicomitente y Nacional Financiera, S.N.C. como fiduciaria.</w:t>
      </w:r>
    </w:p>
    <w:tbl>
      <w:tblPr>
        <w:tblW w:w="13780" w:type="dxa"/>
        <w:tblInd w:w="55" w:type="dxa"/>
        <w:tblCellMar>
          <w:left w:w="70" w:type="dxa"/>
          <w:right w:w="70" w:type="dxa"/>
        </w:tblCellMar>
        <w:tblLook w:val="04A0" w:firstRow="1" w:lastRow="0" w:firstColumn="1" w:lastColumn="0" w:noHBand="0" w:noVBand="1"/>
      </w:tblPr>
      <w:tblGrid>
        <w:gridCol w:w="13780"/>
      </w:tblGrid>
      <w:tr w:rsidR="00FB5D93" w:rsidRPr="00FB5D93" w:rsidTr="00FB5D93">
        <w:trPr>
          <w:trHeight w:val="1185"/>
        </w:trPr>
        <w:tc>
          <w:tcPr>
            <w:tcW w:w="13780" w:type="dxa"/>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El Articulo 4 Fracc XII de la Ley de Contabilidad, establece que son Entes Públicos: los poderes Ejecutivo, Legislativo y Judicial de la Federación y de las entidades federativas; los entes autónomos de la Federación y de las entidades federativas; los ayuntamientos de los municipios; los organos políticos administrativos de las demarcaciones territoriales del Distrito Federal; y las entidades de la administración pública paraestatal, ya sean federales, estatales o municipales.</w:t>
            </w:r>
          </w:p>
        </w:tc>
      </w:tr>
      <w:tr w:rsidR="00FB5D93" w:rsidRPr="00FB5D93" w:rsidTr="00FB5D93">
        <w:trPr>
          <w:trHeight w:val="915"/>
        </w:trPr>
        <w:tc>
          <w:tcPr>
            <w:tcW w:w="13780" w:type="dxa"/>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La duración del FIDEY será la máxima que permitan las leyes para cumplir con los fines del mismo y podrá extinguirse por cualquiera de las causas previstas en el artículo 392 de la Ley General de Títulos y Operaciones de Crédito, reservándose expresamente el fideicomitente la facultad de revocarlo, siempre y cuando no existan obligaciones a cargo del patrimonio del FIDEY y sin perjuicio de los derechos que correspondan a terceros.</w:t>
            </w:r>
          </w:p>
        </w:tc>
      </w:tr>
    </w:tbl>
    <w:p w:rsidR="00FB5D93" w:rsidRPr="00FB5D93" w:rsidRDefault="00FB5D93" w:rsidP="00BC7BD7">
      <w:pPr>
        <w:pStyle w:val="Texto"/>
        <w:spacing w:after="86"/>
        <w:ind w:firstLine="0"/>
        <w:jc w:val="left"/>
        <w:rPr>
          <w:rFonts w:asciiTheme="minorHAnsi" w:hAnsiTheme="minorHAnsi" w:cstheme="minorHAnsi"/>
          <w:sz w:val="20"/>
          <w:lang w:val="es-MX"/>
        </w:rPr>
      </w:pPr>
    </w:p>
    <w:p w:rsidR="00FB5D93" w:rsidRDefault="00FB5D93" w:rsidP="00BC7BD7">
      <w:pPr>
        <w:pStyle w:val="Texto"/>
        <w:spacing w:after="86"/>
        <w:ind w:firstLine="0"/>
        <w:jc w:val="left"/>
        <w:rPr>
          <w:rFonts w:asciiTheme="minorHAnsi" w:hAnsiTheme="minorHAnsi" w:cstheme="minorHAnsi"/>
          <w:sz w:val="20"/>
        </w:rPr>
      </w:pPr>
    </w:p>
    <w:tbl>
      <w:tblPr>
        <w:tblW w:w="13780" w:type="dxa"/>
        <w:tblInd w:w="55" w:type="dxa"/>
        <w:tblCellMar>
          <w:left w:w="70" w:type="dxa"/>
          <w:right w:w="70" w:type="dxa"/>
        </w:tblCellMar>
        <w:tblLook w:val="04A0" w:firstRow="1" w:lastRow="0" w:firstColumn="1" w:lastColumn="0" w:noHBand="0" w:noVBand="1"/>
      </w:tblPr>
      <w:tblGrid>
        <w:gridCol w:w="1532"/>
        <w:gridCol w:w="1044"/>
        <w:gridCol w:w="487"/>
        <w:gridCol w:w="1111"/>
        <w:gridCol w:w="420"/>
        <w:gridCol w:w="1116"/>
        <w:gridCol w:w="415"/>
        <w:gridCol w:w="916"/>
        <w:gridCol w:w="615"/>
        <w:gridCol w:w="719"/>
        <w:gridCol w:w="812"/>
        <w:gridCol w:w="522"/>
        <w:gridCol w:w="1009"/>
        <w:gridCol w:w="553"/>
        <w:gridCol w:w="978"/>
        <w:gridCol w:w="373"/>
        <w:gridCol w:w="1158"/>
      </w:tblGrid>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4</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ORGANIZACIÓN Y OBJETO SOCIAL</w:t>
            </w:r>
          </w:p>
        </w:tc>
      </w:tr>
      <w:tr w:rsidR="00FB5D93" w:rsidRPr="00FB5D93" w:rsidTr="00FB5D93">
        <w:trPr>
          <w:trHeight w:val="255"/>
        </w:trPr>
        <w:tc>
          <w:tcPr>
            <w:tcW w:w="1532"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72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El Objeto del Fideicomiso es entre otros, la realización de programas de apoyo financiero para las micro, pequeñas y medianas empresas establecidas o por establecerse en el Estado de Yucatán, en los que se incluirá la participación en esquema de riesgo de financiamiento.</w:t>
            </w:r>
          </w:p>
        </w:tc>
      </w:tr>
      <w:tr w:rsidR="00FB5D93" w:rsidRPr="00FB5D93" w:rsidTr="00FB5D93">
        <w:trPr>
          <w:trHeight w:val="82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El FIDEY se crea bajo la figura jurídica de un Fideicomiso Público sin fines de lucro registrado ante La Secretaría de Hacienda y Crédito Público como tal y tiene las obligaciones fiscales de retener el ISR por los servicios de asesoría por honorarios de las personas físicas a las que contrate y  también tiene la obligación del IVA por los actos o actividades que asi lo requiera según Ley de IVA.</w:t>
            </w:r>
          </w:p>
        </w:tc>
      </w:tr>
      <w:tr w:rsidR="00FB5D93" w:rsidRPr="00FB5D93" w:rsidTr="00FB5D93">
        <w:trPr>
          <w:trHeight w:val="106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El FIDEY no tiene contratado servicios personales para que laboral en el mismo, puesto que todas sus actividades administrativas las elabora el personal de la Secretaría de Fomento Económico destinada para tales fines. Cuenta con un Director General que es el representante legal del Fondo, dicho Director es el Presidente del Comité que se encarga de recibir, evaluar y autorizar todos los asuntos que atañen y en su caso afecten al Fondo.</w:t>
            </w:r>
          </w:p>
        </w:tc>
      </w:tr>
      <w:tr w:rsidR="00FB5D93" w:rsidRPr="00FB5D93" w:rsidTr="00FB5D93">
        <w:trPr>
          <w:trHeight w:val="106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lastRenderedPageBreak/>
              <w:t>NOTA 5</w:t>
            </w:r>
          </w:p>
        </w:tc>
      </w:tr>
      <w:tr w:rsidR="00FB5D93" w:rsidRPr="00FB5D93" w:rsidTr="00FB5D93">
        <w:trPr>
          <w:trHeight w:val="106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BASES DE PREPARACION DE LOS ESTADOS FINANCIEROS</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67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Para la preparacion de los Estados Financieros se tomo como base la Ley de Contabilidad Gubernamental asi como tambien la normatividad emitida por le CONAC y las disposiciones legales aplicables.</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13780" w:type="dxa"/>
            <w:gridSpan w:val="17"/>
            <w:tcBorders>
              <w:top w:val="nil"/>
              <w:left w:val="nil"/>
              <w:bottom w:val="nil"/>
              <w:right w:val="nil"/>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sz w:val="20"/>
                <w:szCs w:val="20"/>
                <w:lang w:eastAsia="es-MX"/>
              </w:rPr>
            </w:pPr>
            <w:r w:rsidRPr="00FB5D93">
              <w:rPr>
                <w:rFonts w:ascii="Arial" w:eastAsia="Times New Roman" w:hAnsi="Arial" w:cs="Arial"/>
                <w:sz w:val="20"/>
                <w:szCs w:val="20"/>
                <w:lang w:eastAsia="es-MX"/>
              </w:rPr>
              <w:t>POSTULADOS BASICOS</w:t>
            </w:r>
          </w:p>
        </w:tc>
      </w:tr>
      <w:tr w:rsidR="00FB5D93" w:rsidRPr="00FB5D93" w:rsidTr="00FB5D93">
        <w:trPr>
          <w:trHeight w:val="255"/>
        </w:trPr>
        <w:tc>
          <w:tcPr>
            <w:tcW w:w="4174" w:type="dxa"/>
            <w:gridSpan w:val="4"/>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Sustancia Económica</w:t>
            </w: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732"/>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Los ingresos y gastos fueron reconocidos en el momento en que fueron realizados y ejercidos, respectivamente y se encuentran registrados de acuerdo con los criterios de la Ley General de Contabilidad Gubernamental, las Normas Emitidas por el CONAC, la La Ley de Presupuesto y Contabilidad Gubernamental.</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Entes Públicos</w:t>
            </w:r>
          </w:p>
        </w:tc>
        <w:tc>
          <w:tcPr>
            <w:tcW w:w="1598" w:type="dxa"/>
            <w:gridSpan w:val="2"/>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p>
        </w:tc>
      </w:tr>
      <w:tr w:rsidR="00FB5D93" w:rsidRPr="00FB5D93" w:rsidTr="00FB5D93">
        <w:trPr>
          <w:trHeight w:val="97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Los poderes Ejecutivo, Legislativo y Judicial de la Federación y de las entidades federativas; los entes autónomos de la Federación y de las entidades federativas; los ayuntamientos de los municipios; los organos políticos administrativos de las demarcaciones territoriales del Distrito Federal; y las entidades de la administración pública paraestatal, ya sean federales, estatales o municipales.</w:t>
            </w:r>
          </w:p>
        </w:tc>
      </w:tr>
      <w:tr w:rsidR="00FB5D93" w:rsidRPr="00FB5D93" w:rsidTr="00FB5D93">
        <w:trPr>
          <w:trHeight w:val="255"/>
        </w:trPr>
        <w:tc>
          <w:tcPr>
            <w:tcW w:w="4174" w:type="dxa"/>
            <w:gridSpan w:val="4"/>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Existencia Permanente</w:t>
            </w: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93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La duracion del FIDEY será la máxima que permitan las leyes para cumplir con los fines del mismo y podrá extinguirse por cualquiera de las causas previstas en el artículo 392 de la Ley General de Títulos y Operaciones de Crédito, reservandose expresamente el fideicomitente la facultad de revocarlo, siempre y cuando no existan obligaciones a cargo del patrimonio del FIDEY y sin perjuicio de los derechos que correspondan a terceros.</w:t>
            </w:r>
          </w:p>
        </w:tc>
      </w:tr>
      <w:tr w:rsidR="00FB5D93" w:rsidRPr="00FB5D93" w:rsidTr="00FB5D93">
        <w:trPr>
          <w:trHeight w:val="255"/>
        </w:trPr>
        <w:tc>
          <w:tcPr>
            <w:tcW w:w="4174" w:type="dxa"/>
            <w:gridSpan w:val="4"/>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Revelacion Suficiente</w:t>
            </w: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69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lastRenderedPageBreak/>
              <w:t>Los estados financieros se presentan conjuntamente con sus notas para una adecuada evaluación cuantitativa cumpliendo con las características de objetividad, verificabilidad y representatividad y que muestran amplia y claramente la situacion financiera y los resultados obtenidos del FIDEY</w:t>
            </w:r>
          </w:p>
        </w:tc>
      </w:tr>
      <w:tr w:rsidR="00FB5D93" w:rsidRPr="00FB5D93" w:rsidTr="00FB5D93">
        <w:trPr>
          <w:trHeight w:val="255"/>
        </w:trPr>
        <w:tc>
          <w:tcPr>
            <w:tcW w:w="4174" w:type="dxa"/>
            <w:gridSpan w:val="4"/>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Importancia Relativa</w:t>
            </w: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69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La información financiera presentada del FIDEY no tiene riesgo debido a alguna omisión o presentación errónea en sus importes que afecte la percepción de los usuarios de dicha informacion, en relación con la rendición de cuentas, la fiscalización y la toma de decisiones.</w:t>
            </w:r>
          </w:p>
        </w:tc>
      </w:tr>
      <w:tr w:rsidR="00FB5D93" w:rsidRPr="00FB5D93" w:rsidTr="00FB5D93">
        <w:trPr>
          <w:trHeight w:val="255"/>
        </w:trPr>
        <w:tc>
          <w:tcPr>
            <w:tcW w:w="4174" w:type="dxa"/>
            <w:gridSpan w:val="4"/>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Periodo Contable</w:t>
            </w: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60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Las Operaciones que dieron origen a los Estados Financieros corresponden al ejercicio presupuestal comprendido del 01 de enero al 31 de diciembre de 2017</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Valuacion</w:t>
            </w: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57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Las Operaciones Contables que se presentan fueron registrados a su valor histórico de adquisición sin incluir efectos de re-evaluación por inflación, asi como tambien, todas las operaciones se registraron en moneda nacional.</w:t>
            </w:r>
          </w:p>
        </w:tc>
      </w:tr>
      <w:tr w:rsidR="00FB5D93" w:rsidRPr="00FB5D93" w:rsidTr="00FB5D93">
        <w:trPr>
          <w:trHeight w:val="255"/>
        </w:trPr>
        <w:tc>
          <w:tcPr>
            <w:tcW w:w="4174" w:type="dxa"/>
            <w:gridSpan w:val="4"/>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Dualidad Económica</w:t>
            </w: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103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Todos los ingresos que se tiene en este período se deben principalmente a los intereses que se cobran por los créditos que se otorgan, no se tuvo alguna aportación por parte del ejecutivo, ni crédito alguno con alguna institucion financiera, por los que la estructura financiera se mantiene igual, reflejando los movimientos en los Activos por los Créditos que se otorgan, y en el patrimonio generado por los intereses que se cobran y que generan un ahorro segun se muentra en el Estado de Actividades.</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Consistencia</w:t>
            </w: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87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El metodo de registro de las operaciones del FIDEY se realizaron de acuerdo a la Normatividad Vigente y se aplicaran de la misma forma en todas las operaciones similares en los ejercicios subsecuentes, aunque podran variar dependiendo de algun cambio que se de ya sea por modificaciones a la Ley o de las Normas.</w:t>
            </w: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6</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POLITICAS DE CONTABILIDAD SIGNIFICATIVAS</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4174" w:type="dxa"/>
            <w:gridSpan w:val="4"/>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a) Registro de los Ingresos</w:t>
            </w: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12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60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lastRenderedPageBreak/>
              <w:t>Los Ingresos provienen de las transferencias recibidas del Poder Ejecutivo y de la Federación, así como de los intereses que se cobran por los créditos otorgados por el FIDEY</w:t>
            </w:r>
          </w:p>
        </w:tc>
      </w:tr>
      <w:tr w:rsidR="00FB5D93" w:rsidRPr="00FB5D93" w:rsidTr="00FB5D93">
        <w:trPr>
          <w:trHeight w:val="12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4174" w:type="dxa"/>
            <w:gridSpan w:val="4"/>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b) Registro de los Egresos.</w:t>
            </w: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12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57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Los egresos se registran en el momento que efectua el gasto o en la emision del Cheque y se le anexa los documentos que amparan la adquisición de los bienes o la prestación del servicio.</w:t>
            </w:r>
          </w:p>
        </w:tc>
      </w:tr>
      <w:tr w:rsidR="00FB5D93" w:rsidRPr="00FB5D93" w:rsidTr="00FB5D93">
        <w:trPr>
          <w:trHeight w:val="25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Las adquisiciones de materiales y suministros son consideradas directamente como egresos y su utilización es generalmente inmediata.</w:t>
            </w:r>
          </w:p>
        </w:tc>
      </w:tr>
      <w:tr w:rsidR="00FB5D93" w:rsidRPr="00FB5D93" w:rsidTr="00FB5D93">
        <w:trPr>
          <w:trHeight w:val="12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4174" w:type="dxa"/>
            <w:gridSpan w:val="4"/>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d) Registro Contable</w:t>
            </w: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12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7041" w:type="dxa"/>
            <w:gridSpan w:val="8"/>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En el registro contable intervienen los siguiente departamentos:</w:t>
            </w: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12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36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Departamento de Finanzas y Presupuesto.- Realiza el cobro de los abonos de los acreditados del FIDEY, realiza el depósito bancario.</w:t>
            </w:r>
          </w:p>
        </w:tc>
      </w:tr>
      <w:tr w:rsidR="00FB5D93" w:rsidRPr="00FB5D93" w:rsidTr="00FB5D93">
        <w:trPr>
          <w:trHeight w:val="85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Dirección de Apoyos Financieros.- Solicíta a la Dirección de Administración y Finanzas la emisión de los cheques para le sean entregados a los Acreditados, una vez que la Dirección de Apoyos Financieros recaba la firma de recibido del acreditado, adjunta los documentos soporte y los envía al Departamento de Contabilidad para su registro contable y su custodia.</w:t>
            </w:r>
          </w:p>
        </w:tc>
      </w:tr>
      <w:tr w:rsidR="00FB5D93" w:rsidRPr="00FB5D93" w:rsidTr="00FB5D93">
        <w:trPr>
          <w:trHeight w:val="66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Departamento de Contabilidad.- Es responsable del registro contable de todas las operaciones del  FIDEY, así como de la custodia de la documentación soporte de dichas operaciones, emitir los Estados Financieros del FIDEY y enviar a las diferentes interesados para su revisión e integración a la cuenta pública.</w:t>
            </w: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7</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POSICION EN MONEDA EXTRANJERA Y PROTECCION POR RIESGO CAMBIARIO</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540"/>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El Fidey no tiene operaciones en moneda extranjera por lo que no necesita de algun metodo de proteccion de riesgo por variaciones en el tipo de cambio.</w:t>
            </w: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8</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REPORTE ANALITICO DEL ACTIVO</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61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lastRenderedPageBreak/>
              <w:t>Los Activos Fijos se presentan valuados a su precio de adquisición, Las depreciaciones se acumulan por el método de línea recta en base a las siguientes tasas anuales:</w:t>
            </w:r>
          </w:p>
        </w:tc>
      </w:tr>
      <w:tr w:rsidR="00FB5D93" w:rsidRPr="00FB5D93" w:rsidTr="00FB5D93">
        <w:trPr>
          <w:trHeight w:val="270"/>
        </w:trPr>
        <w:tc>
          <w:tcPr>
            <w:tcW w:w="571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Concepto</w:t>
            </w:r>
          </w:p>
        </w:tc>
        <w:tc>
          <w:tcPr>
            <w:tcW w:w="1331" w:type="dxa"/>
            <w:gridSpan w:val="2"/>
            <w:tcBorders>
              <w:top w:val="single" w:sz="8" w:space="0" w:color="auto"/>
              <w:left w:val="nil"/>
              <w:bottom w:val="single" w:sz="8" w:space="0" w:color="auto"/>
              <w:right w:val="single" w:sz="8" w:space="0" w:color="auto"/>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w:t>
            </w: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4174" w:type="dxa"/>
            <w:gridSpan w:val="4"/>
            <w:tcBorders>
              <w:top w:val="nil"/>
              <w:left w:val="single" w:sz="8" w:space="0" w:color="auto"/>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Muebles de Oficina y Estanteria</w:t>
            </w:r>
          </w:p>
        </w:tc>
        <w:tc>
          <w:tcPr>
            <w:tcW w:w="1536" w:type="dxa"/>
            <w:gridSpan w:val="2"/>
            <w:tcBorders>
              <w:top w:val="nil"/>
              <w:left w:val="nil"/>
              <w:bottom w:val="nil"/>
              <w:right w:val="single" w:sz="8" w:space="0" w:color="auto"/>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 </w:t>
            </w:r>
          </w:p>
        </w:tc>
        <w:tc>
          <w:tcPr>
            <w:tcW w:w="1331" w:type="dxa"/>
            <w:gridSpan w:val="2"/>
            <w:tcBorders>
              <w:top w:val="nil"/>
              <w:left w:val="nil"/>
              <w:bottom w:val="nil"/>
              <w:right w:val="single" w:sz="8" w:space="0" w:color="auto"/>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sz w:val="20"/>
                <w:szCs w:val="20"/>
                <w:lang w:eastAsia="es-MX"/>
              </w:rPr>
            </w:pPr>
            <w:r w:rsidRPr="00FB5D93">
              <w:rPr>
                <w:rFonts w:ascii="Arial" w:eastAsia="Times New Roman" w:hAnsi="Arial" w:cs="Arial"/>
                <w:sz w:val="20"/>
                <w:szCs w:val="20"/>
                <w:lang w:eastAsia="es-MX"/>
              </w:rPr>
              <w:t>10</w:t>
            </w: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4174" w:type="dxa"/>
            <w:gridSpan w:val="4"/>
            <w:tcBorders>
              <w:top w:val="nil"/>
              <w:left w:val="single" w:sz="8" w:space="0" w:color="auto"/>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Equipo de Computo</w:t>
            </w:r>
          </w:p>
        </w:tc>
        <w:tc>
          <w:tcPr>
            <w:tcW w:w="1536" w:type="dxa"/>
            <w:gridSpan w:val="2"/>
            <w:tcBorders>
              <w:top w:val="nil"/>
              <w:left w:val="nil"/>
              <w:bottom w:val="nil"/>
              <w:right w:val="single" w:sz="8" w:space="0" w:color="auto"/>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 </w:t>
            </w:r>
          </w:p>
        </w:tc>
        <w:tc>
          <w:tcPr>
            <w:tcW w:w="1331" w:type="dxa"/>
            <w:gridSpan w:val="2"/>
            <w:tcBorders>
              <w:top w:val="nil"/>
              <w:left w:val="nil"/>
              <w:bottom w:val="nil"/>
              <w:right w:val="single" w:sz="8" w:space="0" w:color="auto"/>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sz w:val="20"/>
                <w:szCs w:val="20"/>
                <w:lang w:eastAsia="es-MX"/>
              </w:rPr>
            </w:pPr>
            <w:r w:rsidRPr="00FB5D93">
              <w:rPr>
                <w:rFonts w:ascii="Arial" w:eastAsia="Times New Roman" w:hAnsi="Arial" w:cs="Arial"/>
                <w:sz w:val="20"/>
                <w:szCs w:val="20"/>
                <w:lang w:eastAsia="es-MX"/>
              </w:rPr>
              <w:t>30</w:t>
            </w: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5710" w:type="dxa"/>
            <w:gridSpan w:val="6"/>
            <w:tcBorders>
              <w:top w:val="nil"/>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r w:rsidRPr="00FB5D93">
              <w:rPr>
                <w:rFonts w:ascii="Arial" w:eastAsia="Times New Roman" w:hAnsi="Arial" w:cs="Arial"/>
                <w:sz w:val="20"/>
                <w:szCs w:val="20"/>
                <w:lang w:eastAsia="es-MX"/>
              </w:rPr>
              <w:t>Mobiliario y Equipo Educacional y Rec</w:t>
            </w:r>
          </w:p>
        </w:tc>
        <w:tc>
          <w:tcPr>
            <w:tcW w:w="1331" w:type="dxa"/>
            <w:gridSpan w:val="2"/>
            <w:tcBorders>
              <w:top w:val="nil"/>
              <w:left w:val="nil"/>
              <w:bottom w:val="single" w:sz="8" w:space="0" w:color="auto"/>
              <w:right w:val="single" w:sz="8" w:space="0" w:color="auto"/>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sz w:val="20"/>
                <w:szCs w:val="20"/>
                <w:lang w:eastAsia="es-MX"/>
              </w:rPr>
            </w:pPr>
            <w:r w:rsidRPr="00FB5D93">
              <w:rPr>
                <w:rFonts w:ascii="Arial" w:eastAsia="Times New Roman" w:hAnsi="Arial" w:cs="Arial"/>
                <w:sz w:val="20"/>
                <w:szCs w:val="20"/>
                <w:lang w:eastAsia="es-MX"/>
              </w:rPr>
              <w:t>10</w:t>
            </w: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9</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FIDEICOMISOS, MANDATOS Y ANALOGOS</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El FIDEY no realiza operaciones con ningun Fideicomiso, motivo por le cual no se informa situacion alguna en esta nota.</w:t>
            </w: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10</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REPORTE DE RECAUDACION</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El FIDEY no recauda ningun tipo de contribución, motivo por le cual no se informa situacion alguna en esta nota.</w:t>
            </w: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11</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DEUDA PUBLICA Y REPORTE ANALITICO DE LA DEUDA</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El FIDEY no tiene contratado algún tipo de deuda pública por lo que no se reporta información en esta nota.</w:t>
            </w: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12</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CALIFICACIONES OTORGADAS</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El FIDEY no tiene ha sido sujeto de alguna evaluación que le otorgar calificación crediticia por lo que no se reporta información en esta nota.</w:t>
            </w: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lastRenderedPageBreak/>
              <w:t>NOTA 13</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PROCESOS DE MEJORA</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58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Las políticas de control que maneja el FIDEY son las que establece las Reglas de Operación y que están previamente autorizadas por el Comité, fuera de eso no existe política alguna que establecer.</w:t>
            </w: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14, 15 y 16</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INFORMACION POR SEGMENTOS, EVENTOS POSTERIORES AL CIERRE Y PARTES RELACIONADAS</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61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La información que presenta el FIDEY no contiene ningún evento posterior que afecte económicamente al mismo, tampoco realiza operaciones con partes relacionadas y debido al volumen de operaciones que tiene, no se ve en la necesidad de presentar la información de manera segmentada.</w:t>
            </w: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17</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RESPONSABILIDAD SOBRE LA PRESENTACION RAZONABLE DE LOS ESTADOS FINANCIEROS</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61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Los Estados Financieros y sus notas están debidamente firmados por el Jefe de Contabilidad y Administración de la SEFOE que es quien los elabora, firmado de revisado por el Director de Finanzas y Administración de la SEFOE y firmados de autorizados por el Director General de FIDEY.</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55"/>
        </w:trPr>
        <w:tc>
          <w:tcPr>
            <w:tcW w:w="13780" w:type="dxa"/>
            <w:gridSpan w:val="17"/>
            <w:tcBorders>
              <w:top w:val="nil"/>
              <w:left w:val="nil"/>
              <w:bottom w:val="nil"/>
              <w:right w:val="nil"/>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ESTADOS E INFORMES PRESUPUESTARIOS Y PROGRAMATICOS</w:t>
            </w:r>
          </w:p>
        </w:tc>
      </w:tr>
      <w:tr w:rsidR="00FB5D93" w:rsidRPr="00FB5D93" w:rsidTr="00FB5D93">
        <w:trPr>
          <w:trHeight w:val="270"/>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NOTA 1</w:t>
            </w:r>
          </w:p>
        </w:tc>
      </w:tr>
      <w:tr w:rsidR="00FB5D93" w:rsidRPr="00FB5D93" w:rsidTr="00FB5D93">
        <w:trPr>
          <w:trHeight w:val="270"/>
        </w:trPr>
        <w:tc>
          <w:tcPr>
            <w:tcW w:w="13780"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5D93" w:rsidRPr="00FB5D93" w:rsidRDefault="00FB5D93" w:rsidP="00FB5D93">
            <w:pPr>
              <w:spacing w:after="0" w:line="240" w:lineRule="auto"/>
              <w:jc w:val="center"/>
              <w:rPr>
                <w:rFonts w:ascii="Arial" w:eastAsia="Times New Roman" w:hAnsi="Arial" w:cs="Arial"/>
                <w:b/>
                <w:bCs/>
                <w:sz w:val="20"/>
                <w:szCs w:val="20"/>
                <w:lang w:eastAsia="es-MX"/>
              </w:rPr>
            </w:pPr>
            <w:r w:rsidRPr="00FB5D93">
              <w:rPr>
                <w:rFonts w:ascii="Arial" w:eastAsia="Times New Roman" w:hAnsi="Arial" w:cs="Arial"/>
                <w:b/>
                <w:bCs/>
                <w:sz w:val="20"/>
                <w:szCs w:val="20"/>
                <w:lang w:eastAsia="es-MX"/>
              </w:rPr>
              <w:t>ESTADOS E INFORMES PRESUPUESTARIOS Y PROGRAMATICOS</w:t>
            </w:r>
          </w:p>
        </w:tc>
      </w:tr>
      <w:tr w:rsidR="00FB5D93" w:rsidRPr="00FB5D93" w:rsidTr="00FB5D93">
        <w:trPr>
          <w:trHeight w:val="255"/>
        </w:trPr>
        <w:tc>
          <w:tcPr>
            <w:tcW w:w="257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98"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36"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34"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562"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351" w:type="dxa"/>
            <w:gridSpan w:val="2"/>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c>
          <w:tcPr>
            <w:tcW w:w="1158" w:type="dxa"/>
            <w:tcBorders>
              <w:top w:val="nil"/>
              <w:left w:val="nil"/>
              <w:bottom w:val="nil"/>
              <w:right w:val="nil"/>
            </w:tcBorders>
            <w:shd w:val="clear" w:color="auto" w:fill="auto"/>
            <w:noWrap/>
            <w:vAlign w:val="bottom"/>
            <w:hideMark/>
          </w:tcPr>
          <w:p w:rsidR="00FB5D93" w:rsidRPr="00FB5D93" w:rsidRDefault="00FB5D93" w:rsidP="00FB5D93">
            <w:pPr>
              <w:spacing w:after="0" w:line="240" w:lineRule="auto"/>
              <w:rPr>
                <w:rFonts w:ascii="Arial" w:eastAsia="Times New Roman" w:hAnsi="Arial" w:cs="Arial"/>
                <w:sz w:val="20"/>
                <w:szCs w:val="20"/>
                <w:lang w:eastAsia="es-MX"/>
              </w:rPr>
            </w:pPr>
          </w:p>
        </w:tc>
      </w:tr>
      <w:tr w:rsidR="00FB5D93" w:rsidRPr="00FB5D93" w:rsidTr="00FB5D93">
        <w:trPr>
          <w:trHeight w:val="675"/>
        </w:trPr>
        <w:tc>
          <w:tcPr>
            <w:tcW w:w="13780" w:type="dxa"/>
            <w:gridSpan w:val="17"/>
            <w:tcBorders>
              <w:top w:val="nil"/>
              <w:left w:val="nil"/>
              <w:bottom w:val="nil"/>
              <w:right w:val="nil"/>
            </w:tcBorders>
            <w:shd w:val="clear" w:color="auto" w:fill="auto"/>
            <w:hideMark/>
          </w:tcPr>
          <w:p w:rsidR="00FB5D93" w:rsidRPr="00FB5D93" w:rsidRDefault="00FB5D93" w:rsidP="00FB5D93">
            <w:pPr>
              <w:spacing w:after="0" w:line="240" w:lineRule="auto"/>
              <w:jc w:val="both"/>
              <w:rPr>
                <w:rFonts w:ascii="Arial" w:eastAsia="Times New Roman" w:hAnsi="Arial" w:cs="Arial"/>
                <w:sz w:val="20"/>
                <w:szCs w:val="20"/>
                <w:lang w:eastAsia="es-MX"/>
              </w:rPr>
            </w:pPr>
            <w:r w:rsidRPr="00FB5D93">
              <w:rPr>
                <w:rFonts w:ascii="Arial" w:eastAsia="Times New Roman" w:hAnsi="Arial" w:cs="Arial"/>
                <w:sz w:val="20"/>
                <w:szCs w:val="20"/>
                <w:lang w:eastAsia="es-MX"/>
              </w:rPr>
              <w:t>En el caso del Fondo Integral Para el Desarrollo Económico de Yucatán, no se elaboran los Estados e Informes Presupuestarios y Programáticos, puesto que este Fondo no Ejerce Presupuesto, sólo otorga y recupera los créditos que otorga con sus propios recursos.</w:t>
            </w:r>
          </w:p>
        </w:tc>
      </w:tr>
    </w:tbl>
    <w:p w:rsidR="00BC7BD7" w:rsidRPr="00FB5D93" w:rsidRDefault="00BC7BD7" w:rsidP="00FB5D93">
      <w:pPr>
        <w:pStyle w:val="Texto"/>
        <w:spacing w:after="86"/>
        <w:ind w:firstLine="0"/>
        <w:jc w:val="left"/>
        <w:rPr>
          <w:rFonts w:asciiTheme="minorHAnsi" w:hAnsiTheme="minorHAnsi" w:cstheme="minorHAnsi"/>
          <w:sz w:val="20"/>
        </w:rPr>
      </w:pPr>
      <w:r w:rsidRPr="00BC7BD7">
        <w:rPr>
          <w:rFonts w:asciiTheme="minorHAnsi" w:hAnsiTheme="minorHAnsi" w:cstheme="minorHAnsi"/>
          <w:sz w:val="20"/>
        </w:rPr>
        <w:t xml:space="preserve">Bajo protesta de decir verdad declaramos que los Estados </w:t>
      </w:r>
      <w:r w:rsidR="005163BF">
        <w:rPr>
          <w:rFonts w:asciiTheme="minorHAnsi" w:hAnsiTheme="minorHAnsi" w:cstheme="minorHAnsi"/>
          <w:sz w:val="20"/>
        </w:rPr>
        <w:t>Financieros y sus N</w:t>
      </w:r>
      <w:bookmarkStart w:id="0" w:name="_GoBack"/>
      <w:bookmarkEnd w:id="0"/>
      <w:r w:rsidRPr="00BC7BD7">
        <w:rPr>
          <w:rFonts w:asciiTheme="minorHAnsi" w:hAnsiTheme="minorHAnsi" w:cstheme="minorHAnsi"/>
          <w:sz w:val="20"/>
        </w:rPr>
        <w:t>ot</w:t>
      </w:r>
      <w:r w:rsidR="00CF0EAA">
        <w:rPr>
          <w:rFonts w:asciiTheme="minorHAnsi" w:hAnsiTheme="minorHAnsi" w:cstheme="minorHAnsi"/>
          <w:sz w:val="20"/>
        </w:rPr>
        <w:t>as</w:t>
      </w:r>
      <w:r w:rsidRPr="00BC7BD7">
        <w:rPr>
          <w:rFonts w:asciiTheme="minorHAnsi" w:hAnsiTheme="minorHAnsi" w:cstheme="minorHAnsi"/>
          <w:sz w:val="20"/>
        </w:rPr>
        <w:t xml:space="preserve"> son razonablemente correctos y</w:t>
      </w:r>
      <w:r w:rsidR="00CF0EAA">
        <w:rPr>
          <w:rFonts w:asciiTheme="minorHAnsi" w:hAnsiTheme="minorHAnsi" w:cstheme="minorHAnsi"/>
          <w:sz w:val="20"/>
        </w:rPr>
        <w:t xml:space="preserve"> son responsabilidad del emisor</w:t>
      </w:r>
      <w:r w:rsidR="00FB5D93">
        <w:rPr>
          <w:rFonts w:asciiTheme="minorHAnsi" w:hAnsiTheme="minorHAnsi" w:cstheme="minorHAnsi"/>
          <w:sz w:val="20"/>
        </w:rPr>
        <w:t>.</w:t>
      </w:r>
      <w:r w:rsidR="00B2766F">
        <w:rPr>
          <w:sz w:val="20"/>
        </w:rPr>
        <w:tab/>
      </w:r>
    </w:p>
    <w:sectPr w:rsidR="00BC7BD7" w:rsidRPr="00FB5D93" w:rsidSect="001352BE">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D2" w:rsidRDefault="003505D2" w:rsidP="00FB5D93">
      <w:pPr>
        <w:spacing w:after="0" w:line="240" w:lineRule="auto"/>
      </w:pPr>
      <w:r>
        <w:separator/>
      </w:r>
    </w:p>
  </w:endnote>
  <w:endnote w:type="continuationSeparator" w:id="0">
    <w:p w:rsidR="003505D2" w:rsidRDefault="003505D2" w:rsidP="00FB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D2" w:rsidRDefault="003505D2" w:rsidP="00FB5D93">
      <w:pPr>
        <w:spacing w:after="0" w:line="240" w:lineRule="auto"/>
      </w:pPr>
      <w:r>
        <w:separator/>
      </w:r>
    </w:p>
  </w:footnote>
  <w:footnote w:type="continuationSeparator" w:id="0">
    <w:p w:rsidR="003505D2" w:rsidRDefault="003505D2" w:rsidP="00FB5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BE"/>
    <w:rsid w:val="000504DD"/>
    <w:rsid w:val="001352BE"/>
    <w:rsid w:val="003327DC"/>
    <w:rsid w:val="003505D2"/>
    <w:rsid w:val="003A5FFC"/>
    <w:rsid w:val="004869BD"/>
    <w:rsid w:val="005163BF"/>
    <w:rsid w:val="006D0476"/>
    <w:rsid w:val="00712A1E"/>
    <w:rsid w:val="007F193C"/>
    <w:rsid w:val="00956C23"/>
    <w:rsid w:val="009D3EFB"/>
    <w:rsid w:val="00A47917"/>
    <w:rsid w:val="00AB7BFA"/>
    <w:rsid w:val="00B2766F"/>
    <w:rsid w:val="00B6165C"/>
    <w:rsid w:val="00BC7BD7"/>
    <w:rsid w:val="00C801F7"/>
    <w:rsid w:val="00CA57A0"/>
    <w:rsid w:val="00CF0EAA"/>
    <w:rsid w:val="00D472CD"/>
    <w:rsid w:val="00E04F28"/>
    <w:rsid w:val="00F56DDD"/>
    <w:rsid w:val="00F84D40"/>
    <w:rsid w:val="00FB5D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BC7B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C7BD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C7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BD7"/>
    <w:rPr>
      <w:rFonts w:ascii="Tahoma" w:hAnsi="Tahoma" w:cs="Tahoma"/>
      <w:sz w:val="16"/>
      <w:szCs w:val="16"/>
    </w:rPr>
  </w:style>
  <w:style w:type="table" w:styleId="Tablaconcuadrcula">
    <w:name w:val="Table Grid"/>
    <w:basedOn w:val="Tablanormal"/>
    <w:uiPriority w:val="59"/>
    <w:rsid w:val="00D47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B5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D93"/>
  </w:style>
  <w:style w:type="paragraph" w:styleId="Piedepgina">
    <w:name w:val="footer"/>
    <w:basedOn w:val="Normal"/>
    <w:link w:val="PiedepginaCar"/>
    <w:uiPriority w:val="99"/>
    <w:unhideWhenUsed/>
    <w:rsid w:val="00FB5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BC7B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C7BD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C7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BD7"/>
    <w:rPr>
      <w:rFonts w:ascii="Tahoma" w:hAnsi="Tahoma" w:cs="Tahoma"/>
      <w:sz w:val="16"/>
      <w:szCs w:val="16"/>
    </w:rPr>
  </w:style>
  <w:style w:type="table" w:styleId="Tablaconcuadrcula">
    <w:name w:val="Table Grid"/>
    <w:basedOn w:val="Tablanormal"/>
    <w:uiPriority w:val="59"/>
    <w:rsid w:val="00D47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B5D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D93"/>
  </w:style>
  <w:style w:type="paragraph" w:styleId="Piedepgina">
    <w:name w:val="footer"/>
    <w:basedOn w:val="Normal"/>
    <w:link w:val="PiedepginaCar"/>
    <w:uiPriority w:val="99"/>
    <w:unhideWhenUsed/>
    <w:rsid w:val="00FB5D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916">
      <w:bodyDiv w:val="1"/>
      <w:marLeft w:val="0"/>
      <w:marRight w:val="0"/>
      <w:marTop w:val="0"/>
      <w:marBottom w:val="0"/>
      <w:divBdr>
        <w:top w:val="none" w:sz="0" w:space="0" w:color="auto"/>
        <w:left w:val="none" w:sz="0" w:space="0" w:color="auto"/>
        <w:bottom w:val="none" w:sz="0" w:space="0" w:color="auto"/>
        <w:right w:val="none" w:sz="0" w:space="0" w:color="auto"/>
      </w:divBdr>
    </w:div>
    <w:div w:id="69430302">
      <w:bodyDiv w:val="1"/>
      <w:marLeft w:val="0"/>
      <w:marRight w:val="0"/>
      <w:marTop w:val="0"/>
      <w:marBottom w:val="0"/>
      <w:divBdr>
        <w:top w:val="none" w:sz="0" w:space="0" w:color="auto"/>
        <w:left w:val="none" w:sz="0" w:space="0" w:color="auto"/>
        <w:bottom w:val="none" w:sz="0" w:space="0" w:color="auto"/>
        <w:right w:val="none" w:sz="0" w:space="0" w:color="auto"/>
      </w:divBdr>
    </w:div>
    <w:div w:id="149250182">
      <w:bodyDiv w:val="1"/>
      <w:marLeft w:val="0"/>
      <w:marRight w:val="0"/>
      <w:marTop w:val="0"/>
      <w:marBottom w:val="0"/>
      <w:divBdr>
        <w:top w:val="none" w:sz="0" w:space="0" w:color="auto"/>
        <w:left w:val="none" w:sz="0" w:space="0" w:color="auto"/>
        <w:bottom w:val="none" w:sz="0" w:space="0" w:color="auto"/>
        <w:right w:val="none" w:sz="0" w:space="0" w:color="auto"/>
      </w:divBdr>
    </w:div>
    <w:div w:id="260995257">
      <w:bodyDiv w:val="1"/>
      <w:marLeft w:val="0"/>
      <w:marRight w:val="0"/>
      <w:marTop w:val="0"/>
      <w:marBottom w:val="0"/>
      <w:divBdr>
        <w:top w:val="none" w:sz="0" w:space="0" w:color="auto"/>
        <w:left w:val="none" w:sz="0" w:space="0" w:color="auto"/>
        <w:bottom w:val="none" w:sz="0" w:space="0" w:color="auto"/>
        <w:right w:val="none" w:sz="0" w:space="0" w:color="auto"/>
      </w:divBdr>
    </w:div>
    <w:div w:id="278882216">
      <w:bodyDiv w:val="1"/>
      <w:marLeft w:val="0"/>
      <w:marRight w:val="0"/>
      <w:marTop w:val="0"/>
      <w:marBottom w:val="0"/>
      <w:divBdr>
        <w:top w:val="none" w:sz="0" w:space="0" w:color="auto"/>
        <w:left w:val="none" w:sz="0" w:space="0" w:color="auto"/>
        <w:bottom w:val="none" w:sz="0" w:space="0" w:color="auto"/>
        <w:right w:val="none" w:sz="0" w:space="0" w:color="auto"/>
      </w:divBdr>
    </w:div>
    <w:div w:id="348991860">
      <w:bodyDiv w:val="1"/>
      <w:marLeft w:val="0"/>
      <w:marRight w:val="0"/>
      <w:marTop w:val="0"/>
      <w:marBottom w:val="0"/>
      <w:divBdr>
        <w:top w:val="none" w:sz="0" w:space="0" w:color="auto"/>
        <w:left w:val="none" w:sz="0" w:space="0" w:color="auto"/>
        <w:bottom w:val="none" w:sz="0" w:space="0" w:color="auto"/>
        <w:right w:val="none" w:sz="0" w:space="0" w:color="auto"/>
      </w:divBdr>
    </w:div>
    <w:div w:id="469784003">
      <w:bodyDiv w:val="1"/>
      <w:marLeft w:val="0"/>
      <w:marRight w:val="0"/>
      <w:marTop w:val="0"/>
      <w:marBottom w:val="0"/>
      <w:divBdr>
        <w:top w:val="none" w:sz="0" w:space="0" w:color="auto"/>
        <w:left w:val="none" w:sz="0" w:space="0" w:color="auto"/>
        <w:bottom w:val="none" w:sz="0" w:space="0" w:color="auto"/>
        <w:right w:val="none" w:sz="0" w:space="0" w:color="auto"/>
      </w:divBdr>
    </w:div>
    <w:div w:id="508060241">
      <w:bodyDiv w:val="1"/>
      <w:marLeft w:val="0"/>
      <w:marRight w:val="0"/>
      <w:marTop w:val="0"/>
      <w:marBottom w:val="0"/>
      <w:divBdr>
        <w:top w:val="none" w:sz="0" w:space="0" w:color="auto"/>
        <w:left w:val="none" w:sz="0" w:space="0" w:color="auto"/>
        <w:bottom w:val="none" w:sz="0" w:space="0" w:color="auto"/>
        <w:right w:val="none" w:sz="0" w:space="0" w:color="auto"/>
      </w:divBdr>
    </w:div>
    <w:div w:id="508953746">
      <w:bodyDiv w:val="1"/>
      <w:marLeft w:val="0"/>
      <w:marRight w:val="0"/>
      <w:marTop w:val="0"/>
      <w:marBottom w:val="0"/>
      <w:divBdr>
        <w:top w:val="none" w:sz="0" w:space="0" w:color="auto"/>
        <w:left w:val="none" w:sz="0" w:space="0" w:color="auto"/>
        <w:bottom w:val="none" w:sz="0" w:space="0" w:color="auto"/>
        <w:right w:val="none" w:sz="0" w:space="0" w:color="auto"/>
      </w:divBdr>
    </w:div>
    <w:div w:id="527790826">
      <w:bodyDiv w:val="1"/>
      <w:marLeft w:val="0"/>
      <w:marRight w:val="0"/>
      <w:marTop w:val="0"/>
      <w:marBottom w:val="0"/>
      <w:divBdr>
        <w:top w:val="none" w:sz="0" w:space="0" w:color="auto"/>
        <w:left w:val="none" w:sz="0" w:space="0" w:color="auto"/>
        <w:bottom w:val="none" w:sz="0" w:space="0" w:color="auto"/>
        <w:right w:val="none" w:sz="0" w:space="0" w:color="auto"/>
      </w:divBdr>
    </w:div>
    <w:div w:id="548761167">
      <w:bodyDiv w:val="1"/>
      <w:marLeft w:val="0"/>
      <w:marRight w:val="0"/>
      <w:marTop w:val="0"/>
      <w:marBottom w:val="0"/>
      <w:divBdr>
        <w:top w:val="none" w:sz="0" w:space="0" w:color="auto"/>
        <w:left w:val="none" w:sz="0" w:space="0" w:color="auto"/>
        <w:bottom w:val="none" w:sz="0" w:space="0" w:color="auto"/>
        <w:right w:val="none" w:sz="0" w:space="0" w:color="auto"/>
      </w:divBdr>
    </w:div>
    <w:div w:id="638344748">
      <w:bodyDiv w:val="1"/>
      <w:marLeft w:val="0"/>
      <w:marRight w:val="0"/>
      <w:marTop w:val="0"/>
      <w:marBottom w:val="0"/>
      <w:divBdr>
        <w:top w:val="none" w:sz="0" w:space="0" w:color="auto"/>
        <w:left w:val="none" w:sz="0" w:space="0" w:color="auto"/>
        <w:bottom w:val="none" w:sz="0" w:space="0" w:color="auto"/>
        <w:right w:val="none" w:sz="0" w:space="0" w:color="auto"/>
      </w:divBdr>
    </w:div>
    <w:div w:id="707532691">
      <w:bodyDiv w:val="1"/>
      <w:marLeft w:val="0"/>
      <w:marRight w:val="0"/>
      <w:marTop w:val="0"/>
      <w:marBottom w:val="0"/>
      <w:divBdr>
        <w:top w:val="none" w:sz="0" w:space="0" w:color="auto"/>
        <w:left w:val="none" w:sz="0" w:space="0" w:color="auto"/>
        <w:bottom w:val="none" w:sz="0" w:space="0" w:color="auto"/>
        <w:right w:val="none" w:sz="0" w:space="0" w:color="auto"/>
      </w:divBdr>
    </w:div>
    <w:div w:id="765229099">
      <w:bodyDiv w:val="1"/>
      <w:marLeft w:val="0"/>
      <w:marRight w:val="0"/>
      <w:marTop w:val="0"/>
      <w:marBottom w:val="0"/>
      <w:divBdr>
        <w:top w:val="none" w:sz="0" w:space="0" w:color="auto"/>
        <w:left w:val="none" w:sz="0" w:space="0" w:color="auto"/>
        <w:bottom w:val="none" w:sz="0" w:space="0" w:color="auto"/>
        <w:right w:val="none" w:sz="0" w:space="0" w:color="auto"/>
      </w:divBdr>
    </w:div>
    <w:div w:id="798837229">
      <w:bodyDiv w:val="1"/>
      <w:marLeft w:val="0"/>
      <w:marRight w:val="0"/>
      <w:marTop w:val="0"/>
      <w:marBottom w:val="0"/>
      <w:divBdr>
        <w:top w:val="none" w:sz="0" w:space="0" w:color="auto"/>
        <w:left w:val="none" w:sz="0" w:space="0" w:color="auto"/>
        <w:bottom w:val="none" w:sz="0" w:space="0" w:color="auto"/>
        <w:right w:val="none" w:sz="0" w:space="0" w:color="auto"/>
      </w:divBdr>
    </w:div>
    <w:div w:id="800613253">
      <w:bodyDiv w:val="1"/>
      <w:marLeft w:val="0"/>
      <w:marRight w:val="0"/>
      <w:marTop w:val="0"/>
      <w:marBottom w:val="0"/>
      <w:divBdr>
        <w:top w:val="none" w:sz="0" w:space="0" w:color="auto"/>
        <w:left w:val="none" w:sz="0" w:space="0" w:color="auto"/>
        <w:bottom w:val="none" w:sz="0" w:space="0" w:color="auto"/>
        <w:right w:val="none" w:sz="0" w:space="0" w:color="auto"/>
      </w:divBdr>
    </w:div>
    <w:div w:id="855116664">
      <w:bodyDiv w:val="1"/>
      <w:marLeft w:val="0"/>
      <w:marRight w:val="0"/>
      <w:marTop w:val="0"/>
      <w:marBottom w:val="0"/>
      <w:divBdr>
        <w:top w:val="none" w:sz="0" w:space="0" w:color="auto"/>
        <w:left w:val="none" w:sz="0" w:space="0" w:color="auto"/>
        <w:bottom w:val="none" w:sz="0" w:space="0" w:color="auto"/>
        <w:right w:val="none" w:sz="0" w:space="0" w:color="auto"/>
      </w:divBdr>
    </w:div>
    <w:div w:id="868221699">
      <w:bodyDiv w:val="1"/>
      <w:marLeft w:val="0"/>
      <w:marRight w:val="0"/>
      <w:marTop w:val="0"/>
      <w:marBottom w:val="0"/>
      <w:divBdr>
        <w:top w:val="none" w:sz="0" w:space="0" w:color="auto"/>
        <w:left w:val="none" w:sz="0" w:space="0" w:color="auto"/>
        <w:bottom w:val="none" w:sz="0" w:space="0" w:color="auto"/>
        <w:right w:val="none" w:sz="0" w:space="0" w:color="auto"/>
      </w:divBdr>
    </w:div>
    <w:div w:id="897670893">
      <w:bodyDiv w:val="1"/>
      <w:marLeft w:val="0"/>
      <w:marRight w:val="0"/>
      <w:marTop w:val="0"/>
      <w:marBottom w:val="0"/>
      <w:divBdr>
        <w:top w:val="none" w:sz="0" w:space="0" w:color="auto"/>
        <w:left w:val="none" w:sz="0" w:space="0" w:color="auto"/>
        <w:bottom w:val="none" w:sz="0" w:space="0" w:color="auto"/>
        <w:right w:val="none" w:sz="0" w:space="0" w:color="auto"/>
      </w:divBdr>
    </w:div>
    <w:div w:id="928807755">
      <w:bodyDiv w:val="1"/>
      <w:marLeft w:val="0"/>
      <w:marRight w:val="0"/>
      <w:marTop w:val="0"/>
      <w:marBottom w:val="0"/>
      <w:divBdr>
        <w:top w:val="none" w:sz="0" w:space="0" w:color="auto"/>
        <w:left w:val="none" w:sz="0" w:space="0" w:color="auto"/>
        <w:bottom w:val="none" w:sz="0" w:space="0" w:color="auto"/>
        <w:right w:val="none" w:sz="0" w:space="0" w:color="auto"/>
      </w:divBdr>
    </w:div>
    <w:div w:id="972563320">
      <w:bodyDiv w:val="1"/>
      <w:marLeft w:val="0"/>
      <w:marRight w:val="0"/>
      <w:marTop w:val="0"/>
      <w:marBottom w:val="0"/>
      <w:divBdr>
        <w:top w:val="none" w:sz="0" w:space="0" w:color="auto"/>
        <w:left w:val="none" w:sz="0" w:space="0" w:color="auto"/>
        <w:bottom w:val="none" w:sz="0" w:space="0" w:color="auto"/>
        <w:right w:val="none" w:sz="0" w:space="0" w:color="auto"/>
      </w:divBdr>
    </w:div>
    <w:div w:id="1017849403">
      <w:bodyDiv w:val="1"/>
      <w:marLeft w:val="0"/>
      <w:marRight w:val="0"/>
      <w:marTop w:val="0"/>
      <w:marBottom w:val="0"/>
      <w:divBdr>
        <w:top w:val="none" w:sz="0" w:space="0" w:color="auto"/>
        <w:left w:val="none" w:sz="0" w:space="0" w:color="auto"/>
        <w:bottom w:val="none" w:sz="0" w:space="0" w:color="auto"/>
        <w:right w:val="none" w:sz="0" w:space="0" w:color="auto"/>
      </w:divBdr>
    </w:div>
    <w:div w:id="1092117656">
      <w:bodyDiv w:val="1"/>
      <w:marLeft w:val="0"/>
      <w:marRight w:val="0"/>
      <w:marTop w:val="0"/>
      <w:marBottom w:val="0"/>
      <w:divBdr>
        <w:top w:val="none" w:sz="0" w:space="0" w:color="auto"/>
        <w:left w:val="none" w:sz="0" w:space="0" w:color="auto"/>
        <w:bottom w:val="none" w:sz="0" w:space="0" w:color="auto"/>
        <w:right w:val="none" w:sz="0" w:space="0" w:color="auto"/>
      </w:divBdr>
    </w:div>
    <w:div w:id="1110320541">
      <w:bodyDiv w:val="1"/>
      <w:marLeft w:val="0"/>
      <w:marRight w:val="0"/>
      <w:marTop w:val="0"/>
      <w:marBottom w:val="0"/>
      <w:divBdr>
        <w:top w:val="none" w:sz="0" w:space="0" w:color="auto"/>
        <w:left w:val="none" w:sz="0" w:space="0" w:color="auto"/>
        <w:bottom w:val="none" w:sz="0" w:space="0" w:color="auto"/>
        <w:right w:val="none" w:sz="0" w:space="0" w:color="auto"/>
      </w:divBdr>
    </w:div>
    <w:div w:id="1121266595">
      <w:bodyDiv w:val="1"/>
      <w:marLeft w:val="0"/>
      <w:marRight w:val="0"/>
      <w:marTop w:val="0"/>
      <w:marBottom w:val="0"/>
      <w:divBdr>
        <w:top w:val="none" w:sz="0" w:space="0" w:color="auto"/>
        <w:left w:val="none" w:sz="0" w:space="0" w:color="auto"/>
        <w:bottom w:val="none" w:sz="0" w:space="0" w:color="auto"/>
        <w:right w:val="none" w:sz="0" w:space="0" w:color="auto"/>
      </w:divBdr>
    </w:div>
    <w:div w:id="1218781578">
      <w:bodyDiv w:val="1"/>
      <w:marLeft w:val="0"/>
      <w:marRight w:val="0"/>
      <w:marTop w:val="0"/>
      <w:marBottom w:val="0"/>
      <w:divBdr>
        <w:top w:val="none" w:sz="0" w:space="0" w:color="auto"/>
        <w:left w:val="none" w:sz="0" w:space="0" w:color="auto"/>
        <w:bottom w:val="none" w:sz="0" w:space="0" w:color="auto"/>
        <w:right w:val="none" w:sz="0" w:space="0" w:color="auto"/>
      </w:divBdr>
    </w:div>
    <w:div w:id="1225025107">
      <w:bodyDiv w:val="1"/>
      <w:marLeft w:val="0"/>
      <w:marRight w:val="0"/>
      <w:marTop w:val="0"/>
      <w:marBottom w:val="0"/>
      <w:divBdr>
        <w:top w:val="none" w:sz="0" w:space="0" w:color="auto"/>
        <w:left w:val="none" w:sz="0" w:space="0" w:color="auto"/>
        <w:bottom w:val="none" w:sz="0" w:space="0" w:color="auto"/>
        <w:right w:val="none" w:sz="0" w:space="0" w:color="auto"/>
      </w:divBdr>
    </w:div>
    <w:div w:id="1337882279">
      <w:bodyDiv w:val="1"/>
      <w:marLeft w:val="0"/>
      <w:marRight w:val="0"/>
      <w:marTop w:val="0"/>
      <w:marBottom w:val="0"/>
      <w:divBdr>
        <w:top w:val="none" w:sz="0" w:space="0" w:color="auto"/>
        <w:left w:val="none" w:sz="0" w:space="0" w:color="auto"/>
        <w:bottom w:val="none" w:sz="0" w:space="0" w:color="auto"/>
        <w:right w:val="none" w:sz="0" w:space="0" w:color="auto"/>
      </w:divBdr>
    </w:div>
    <w:div w:id="1349139227">
      <w:bodyDiv w:val="1"/>
      <w:marLeft w:val="0"/>
      <w:marRight w:val="0"/>
      <w:marTop w:val="0"/>
      <w:marBottom w:val="0"/>
      <w:divBdr>
        <w:top w:val="none" w:sz="0" w:space="0" w:color="auto"/>
        <w:left w:val="none" w:sz="0" w:space="0" w:color="auto"/>
        <w:bottom w:val="none" w:sz="0" w:space="0" w:color="auto"/>
        <w:right w:val="none" w:sz="0" w:space="0" w:color="auto"/>
      </w:divBdr>
    </w:div>
    <w:div w:id="1412777478">
      <w:bodyDiv w:val="1"/>
      <w:marLeft w:val="0"/>
      <w:marRight w:val="0"/>
      <w:marTop w:val="0"/>
      <w:marBottom w:val="0"/>
      <w:divBdr>
        <w:top w:val="none" w:sz="0" w:space="0" w:color="auto"/>
        <w:left w:val="none" w:sz="0" w:space="0" w:color="auto"/>
        <w:bottom w:val="none" w:sz="0" w:space="0" w:color="auto"/>
        <w:right w:val="none" w:sz="0" w:space="0" w:color="auto"/>
      </w:divBdr>
    </w:div>
    <w:div w:id="1517234987">
      <w:bodyDiv w:val="1"/>
      <w:marLeft w:val="0"/>
      <w:marRight w:val="0"/>
      <w:marTop w:val="0"/>
      <w:marBottom w:val="0"/>
      <w:divBdr>
        <w:top w:val="none" w:sz="0" w:space="0" w:color="auto"/>
        <w:left w:val="none" w:sz="0" w:space="0" w:color="auto"/>
        <w:bottom w:val="none" w:sz="0" w:space="0" w:color="auto"/>
        <w:right w:val="none" w:sz="0" w:space="0" w:color="auto"/>
      </w:divBdr>
    </w:div>
    <w:div w:id="1586186135">
      <w:bodyDiv w:val="1"/>
      <w:marLeft w:val="0"/>
      <w:marRight w:val="0"/>
      <w:marTop w:val="0"/>
      <w:marBottom w:val="0"/>
      <w:divBdr>
        <w:top w:val="none" w:sz="0" w:space="0" w:color="auto"/>
        <w:left w:val="none" w:sz="0" w:space="0" w:color="auto"/>
        <w:bottom w:val="none" w:sz="0" w:space="0" w:color="auto"/>
        <w:right w:val="none" w:sz="0" w:space="0" w:color="auto"/>
      </w:divBdr>
    </w:div>
    <w:div w:id="1600724193">
      <w:bodyDiv w:val="1"/>
      <w:marLeft w:val="0"/>
      <w:marRight w:val="0"/>
      <w:marTop w:val="0"/>
      <w:marBottom w:val="0"/>
      <w:divBdr>
        <w:top w:val="none" w:sz="0" w:space="0" w:color="auto"/>
        <w:left w:val="none" w:sz="0" w:space="0" w:color="auto"/>
        <w:bottom w:val="none" w:sz="0" w:space="0" w:color="auto"/>
        <w:right w:val="none" w:sz="0" w:space="0" w:color="auto"/>
      </w:divBdr>
    </w:div>
    <w:div w:id="1641619183">
      <w:bodyDiv w:val="1"/>
      <w:marLeft w:val="0"/>
      <w:marRight w:val="0"/>
      <w:marTop w:val="0"/>
      <w:marBottom w:val="0"/>
      <w:divBdr>
        <w:top w:val="none" w:sz="0" w:space="0" w:color="auto"/>
        <w:left w:val="none" w:sz="0" w:space="0" w:color="auto"/>
        <w:bottom w:val="none" w:sz="0" w:space="0" w:color="auto"/>
        <w:right w:val="none" w:sz="0" w:space="0" w:color="auto"/>
      </w:divBdr>
    </w:div>
    <w:div w:id="1663848686">
      <w:bodyDiv w:val="1"/>
      <w:marLeft w:val="0"/>
      <w:marRight w:val="0"/>
      <w:marTop w:val="0"/>
      <w:marBottom w:val="0"/>
      <w:divBdr>
        <w:top w:val="none" w:sz="0" w:space="0" w:color="auto"/>
        <w:left w:val="none" w:sz="0" w:space="0" w:color="auto"/>
        <w:bottom w:val="none" w:sz="0" w:space="0" w:color="auto"/>
        <w:right w:val="none" w:sz="0" w:space="0" w:color="auto"/>
      </w:divBdr>
    </w:div>
    <w:div w:id="1737050911">
      <w:bodyDiv w:val="1"/>
      <w:marLeft w:val="0"/>
      <w:marRight w:val="0"/>
      <w:marTop w:val="0"/>
      <w:marBottom w:val="0"/>
      <w:divBdr>
        <w:top w:val="none" w:sz="0" w:space="0" w:color="auto"/>
        <w:left w:val="none" w:sz="0" w:space="0" w:color="auto"/>
        <w:bottom w:val="none" w:sz="0" w:space="0" w:color="auto"/>
        <w:right w:val="none" w:sz="0" w:space="0" w:color="auto"/>
      </w:divBdr>
    </w:div>
    <w:div w:id="1757507803">
      <w:bodyDiv w:val="1"/>
      <w:marLeft w:val="0"/>
      <w:marRight w:val="0"/>
      <w:marTop w:val="0"/>
      <w:marBottom w:val="0"/>
      <w:divBdr>
        <w:top w:val="none" w:sz="0" w:space="0" w:color="auto"/>
        <w:left w:val="none" w:sz="0" w:space="0" w:color="auto"/>
        <w:bottom w:val="none" w:sz="0" w:space="0" w:color="auto"/>
        <w:right w:val="none" w:sz="0" w:space="0" w:color="auto"/>
      </w:divBdr>
    </w:div>
    <w:div w:id="1757556902">
      <w:bodyDiv w:val="1"/>
      <w:marLeft w:val="0"/>
      <w:marRight w:val="0"/>
      <w:marTop w:val="0"/>
      <w:marBottom w:val="0"/>
      <w:divBdr>
        <w:top w:val="none" w:sz="0" w:space="0" w:color="auto"/>
        <w:left w:val="none" w:sz="0" w:space="0" w:color="auto"/>
        <w:bottom w:val="none" w:sz="0" w:space="0" w:color="auto"/>
        <w:right w:val="none" w:sz="0" w:space="0" w:color="auto"/>
      </w:divBdr>
    </w:div>
    <w:div w:id="1760783623">
      <w:bodyDiv w:val="1"/>
      <w:marLeft w:val="0"/>
      <w:marRight w:val="0"/>
      <w:marTop w:val="0"/>
      <w:marBottom w:val="0"/>
      <w:divBdr>
        <w:top w:val="none" w:sz="0" w:space="0" w:color="auto"/>
        <w:left w:val="none" w:sz="0" w:space="0" w:color="auto"/>
        <w:bottom w:val="none" w:sz="0" w:space="0" w:color="auto"/>
        <w:right w:val="none" w:sz="0" w:space="0" w:color="auto"/>
      </w:divBdr>
    </w:div>
    <w:div w:id="1780757686">
      <w:bodyDiv w:val="1"/>
      <w:marLeft w:val="0"/>
      <w:marRight w:val="0"/>
      <w:marTop w:val="0"/>
      <w:marBottom w:val="0"/>
      <w:divBdr>
        <w:top w:val="none" w:sz="0" w:space="0" w:color="auto"/>
        <w:left w:val="none" w:sz="0" w:space="0" w:color="auto"/>
        <w:bottom w:val="none" w:sz="0" w:space="0" w:color="auto"/>
        <w:right w:val="none" w:sz="0" w:space="0" w:color="auto"/>
      </w:divBdr>
    </w:div>
    <w:div w:id="1786148361">
      <w:bodyDiv w:val="1"/>
      <w:marLeft w:val="0"/>
      <w:marRight w:val="0"/>
      <w:marTop w:val="0"/>
      <w:marBottom w:val="0"/>
      <w:divBdr>
        <w:top w:val="none" w:sz="0" w:space="0" w:color="auto"/>
        <w:left w:val="none" w:sz="0" w:space="0" w:color="auto"/>
        <w:bottom w:val="none" w:sz="0" w:space="0" w:color="auto"/>
        <w:right w:val="none" w:sz="0" w:space="0" w:color="auto"/>
      </w:divBdr>
    </w:div>
    <w:div w:id="1786462605">
      <w:bodyDiv w:val="1"/>
      <w:marLeft w:val="0"/>
      <w:marRight w:val="0"/>
      <w:marTop w:val="0"/>
      <w:marBottom w:val="0"/>
      <w:divBdr>
        <w:top w:val="none" w:sz="0" w:space="0" w:color="auto"/>
        <w:left w:val="none" w:sz="0" w:space="0" w:color="auto"/>
        <w:bottom w:val="none" w:sz="0" w:space="0" w:color="auto"/>
        <w:right w:val="none" w:sz="0" w:space="0" w:color="auto"/>
      </w:divBdr>
    </w:div>
    <w:div w:id="1956057446">
      <w:bodyDiv w:val="1"/>
      <w:marLeft w:val="0"/>
      <w:marRight w:val="0"/>
      <w:marTop w:val="0"/>
      <w:marBottom w:val="0"/>
      <w:divBdr>
        <w:top w:val="none" w:sz="0" w:space="0" w:color="auto"/>
        <w:left w:val="none" w:sz="0" w:space="0" w:color="auto"/>
        <w:bottom w:val="none" w:sz="0" w:space="0" w:color="auto"/>
        <w:right w:val="none" w:sz="0" w:space="0" w:color="auto"/>
      </w:divBdr>
    </w:div>
    <w:div w:id="1978297717">
      <w:bodyDiv w:val="1"/>
      <w:marLeft w:val="0"/>
      <w:marRight w:val="0"/>
      <w:marTop w:val="0"/>
      <w:marBottom w:val="0"/>
      <w:divBdr>
        <w:top w:val="none" w:sz="0" w:space="0" w:color="auto"/>
        <w:left w:val="none" w:sz="0" w:space="0" w:color="auto"/>
        <w:bottom w:val="none" w:sz="0" w:space="0" w:color="auto"/>
        <w:right w:val="none" w:sz="0" w:space="0" w:color="auto"/>
      </w:divBdr>
    </w:div>
    <w:div w:id="2003122910">
      <w:bodyDiv w:val="1"/>
      <w:marLeft w:val="0"/>
      <w:marRight w:val="0"/>
      <w:marTop w:val="0"/>
      <w:marBottom w:val="0"/>
      <w:divBdr>
        <w:top w:val="none" w:sz="0" w:space="0" w:color="auto"/>
        <w:left w:val="none" w:sz="0" w:space="0" w:color="auto"/>
        <w:bottom w:val="none" w:sz="0" w:space="0" w:color="auto"/>
        <w:right w:val="none" w:sz="0" w:space="0" w:color="auto"/>
      </w:divBdr>
    </w:div>
    <w:div w:id="20689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3045</Words>
  <Characters>16751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 Ricardo Cachón Pérez</dc:creator>
  <cp:lastModifiedBy>Alvar Ricardo Cachón Pérez</cp:lastModifiedBy>
  <cp:revision>7</cp:revision>
  <cp:lastPrinted>2017-03-14T19:50:00Z</cp:lastPrinted>
  <dcterms:created xsi:type="dcterms:W3CDTF">2018-02-21T17:16:00Z</dcterms:created>
  <dcterms:modified xsi:type="dcterms:W3CDTF">2018-03-13T18:28:00Z</dcterms:modified>
</cp:coreProperties>
</file>