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89" w:rsidRDefault="00A17B33" w:rsidP="00373189">
      <w:pPr>
        <w:autoSpaceDE w:val="0"/>
        <w:autoSpaceDN w:val="0"/>
        <w:adjustRightInd w:val="0"/>
        <w:spacing w:line="360" w:lineRule="auto"/>
        <w:jc w:val="center"/>
        <w:rPr>
          <w:b/>
        </w:rPr>
      </w:pPr>
      <w:r>
        <w:rPr>
          <w:b/>
        </w:rPr>
        <w:t>Cuenta Pública 2017</w:t>
      </w:r>
    </w:p>
    <w:p w:rsidR="00373189" w:rsidRDefault="00373189" w:rsidP="00373189">
      <w:pPr>
        <w:autoSpaceDE w:val="0"/>
        <w:autoSpaceDN w:val="0"/>
        <w:adjustRightInd w:val="0"/>
        <w:spacing w:line="360" w:lineRule="auto"/>
        <w:jc w:val="center"/>
        <w:rPr>
          <w:b/>
          <w:sz w:val="20"/>
        </w:rPr>
      </w:pPr>
      <w:bookmarkStart w:id="0" w:name="m18"/>
      <w:bookmarkEnd w:id="0"/>
      <w:r>
        <w:rPr>
          <w:b/>
          <w:sz w:val="20"/>
        </w:rPr>
        <w:t xml:space="preserve">Notas a los estados financieros </w:t>
      </w:r>
    </w:p>
    <w:p w:rsidR="00373189" w:rsidRDefault="00B81E09" w:rsidP="00373189">
      <w:pPr>
        <w:autoSpaceDE w:val="0"/>
        <w:autoSpaceDN w:val="0"/>
        <w:adjustRightInd w:val="0"/>
        <w:spacing w:line="360" w:lineRule="auto"/>
        <w:jc w:val="center"/>
        <w:rPr>
          <w:b/>
          <w:sz w:val="20"/>
        </w:rPr>
      </w:pPr>
      <w:r>
        <w:rPr>
          <w:b/>
          <w:sz w:val="20"/>
        </w:rPr>
        <w:t>Al 31</w:t>
      </w:r>
      <w:r w:rsidR="00373189">
        <w:rPr>
          <w:b/>
          <w:sz w:val="20"/>
        </w:rPr>
        <w:t xml:space="preserve"> de </w:t>
      </w:r>
      <w:r>
        <w:rPr>
          <w:b/>
          <w:sz w:val="20"/>
        </w:rPr>
        <w:t>Diciembre</w:t>
      </w:r>
      <w:r w:rsidR="00A17B33">
        <w:rPr>
          <w:b/>
          <w:sz w:val="20"/>
        </w:rPr>
        <w:t xml:space="preserve"> de 2017</w:t>
      </w:r>
    </w:p>
    <w:p w:rsidR="00373189" w:rsidRDefault="00373189" w:rsidP="00373189">
      <w:pPr>
        <w:autoSpaceDE w:val="0"/>
        <w:autoSpaceDN w:val="0"/>
        <w:adjustRightInd w:val="0"/>
        <w:spacing w:line="360" w:lineRule="auto"/>
        <w:jc w:val="center"/>
        <w:rPr>
          <w:b/>
          <w:sz w:val="20"/>
        </w:rPr>
      </w:pPr>
      <w:r>
        <w:rPr>
          <w:b/>
          <w:sz w:val="20"/>
        </w:rPr>
        <w:t>(Pesos)</w:t>
      </w:r>
    </w:p>
    <w:p w:rsidR="00B81E09" w:rsidRDefault="00B81E09" w:rsidP="00373189">
      <w:pPr>
        <w:autoSpaceDE w:val="0"/>
        <w:autoSpaceDN w:val="0"/>
        <w:adjustRightInd w:val="0"/>
        <w:spacing w:line="360" w:lineRule="auto"/>
        <w:rPr>
          <w:b/>
          <w:sz w:val="20"/>
        </w:rPr>
      </w:pPr>
    </w:p>
    <w:p w:rsidR="00373189" w:rsidRDefault="00373189" w:rsidP="00373189">
      <w:pPr>
        <w:autoSpaceDE w:val="0"/>
        <w:autoSpaceDN w:val="0"/>
        <w:adjustRightInd w:val="0"/>
        <w:spacing w:line="360" w:lineRule="auto"/>
        <w:rPr>
          <w:b/>
          <w:sz w:val="20"/>
        </w:rPr>
      </w:pPr>
      <w:r>
        <w:rPr>
          <w:b/>
          <w:sz w:val="20"/>
        </w:rPr>
        <w:t>Ente Público: PODER EJECUTIVO</w:t>
      </w:r>
    </w:p>
    <w:p w:rsidR="00373189" w:rsidRDefault="00373189" w:rsidP="00373189">
      <w:pPr>
        <w:autoSpaceDE w:val="0"/>
        <w:autoSpaceDN w:val="0"/>
        <w:adjustRightInd w:val="0"/>
        <w:spacing w:line="360" w:lineRule="auto"/>
        <w:rPr>
          <w:b/>
          <w:sz w:val="20"/>
        </w:rPr>
      </w:pPr>
    </w:p>
    <w:p w:rsidR="00A17B33" w:rsidRPr="00392C40" w:rsidRDefault="00A17B33" w:rsidP="00A17B33">
      <w:pPr>
        <w:autoSpaceDE w:val="0"/>
        <w:autoSpaceDN w:val="0"/>
        <w:adjustRightInd w:val="0"/>
        <w:spacing w:line="360" w:lineRule="auto"/>
        <w:rPr>
          <w:b/>
        </w:rPr>
      </w:pPr>
      <w:r w:rsidRPr="00392C40">
        <w:rPr>
          <w:b/>
        </w:rPr>
        <w:t>NOTAS  DE GESTIÓN ADMINISTRATIVA</w:t>
      </w:r>
    </w:p>
    <w:p w:rsidR="00A17B33" w:rsidRPr="00392C40" w:rsidRDefault="00A17B33" w:rsidP="00A17B33">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A17B33" w:rsidRPr="00392C40" w:rsidRDefault="00A17B33" w:rsidP="00A17B33">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  a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A17B33" w:rsidRPr="00392C40" w:rsidRDefault="00A17B33" w:rsidP="00A17B33">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A17B33" w:rsidRPr="00392C40" w:rsidRDefault="00A17B33" w:rsidP="00A17B33">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17B33" w:rsidRPr="00392C40" w:rsidRDefault="00A17B33" w:rsidP="00A17B33">
      <w:pPr>
        <w:autoSpaceDE w:val="0"/>
        <w:autoSpaceDN w:val="0"/>
        <w:adjustRightInd w:val="0"/>
        <w:spacing w:line="360" w:lineRule="auto"/>
        <w:jc w:val="both"/>
        <w:rPr>
          <w:rFonts w:ascii="Calibri" w:hAnsi="Calibri" w:cs="Calibri"/>
          <w:sz w:val="20"/>
          <w:szCs w:val="20"/>
        </w:rPr>
      </w:pPr>
    </w:p>
    <w:p w:rsidR="00A17B33" w:rsidRPr="00392C40" w:rsidRDefault="00A17B33" w:rsidP="00A17B33">
      <w:pPr>
        <w:autoSpaceDE w:val="0"/>
        <w:autoSpaceDN w:val="0"/>
        <w:adjustRightInd w:val="0"/>
        <w:spacing w:line="360" w:lineRule="auto"/>
        <w:jc w:val="both"/>
        <w:rPr>
          <w:b/>
          <w:bCs/>
        </w:rPr>
      </w:pPr>
      <w:r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w:t>
      </w:r>
      <w:r>
        <w:rPr>
          <w:rFonts w:ascii="Calibri" w:hAnsi="Calibri" w:cs="Calibri"/>
          <w:sz w:val="20"/>
          <w:szCs w:val="20"/>
        </w:rPr>
        <w:t>SIGEY</w:t>
      </w:r>
      <w:r w:rsidRPr="00392C40">
        <w:rPr>
          <w:rFonts w:ascii="Calibri" w:hAnsi="Calibri" w:cs="Calibri"/>
          <w:sz w:val="20"/>
          <w:szCs w:val="20"/>
        </w:rPr>
        <w:t xml:space="preserve">, Sistema Integral </w:t>
      </w:r>
      <w:r>
        <w:rPr>
          <w:rFonts w:ascii="Calibri" w:hAnsi="Calibri" w:cs="Calibri"/>
          <w:sz w:val="20"/>
          <w:szCs w:val="20"/>
        </w:rPr>
        <w:t xml:space="preserve">del Gobierno del Estado de Yucatán </w:t>
      </w:r>
      <w:r w:rsidRPr="00392C40">
        <w:rPr>
          <w:rFonts w:ascii="Calibri" w:hAnsi="Calibri" w:cs="Calibri"/>
          <w:sz w:val="20"/>
          <w:szCs w:val="20"/>
        </w:rPr>
        <w:t xml:space="preserve">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w:t>
      </w:r>
      <w:r w:rsidRPr="00392C40">
        <w:rPr>
          <w:rFonts w:ascii="Calibri" w:hAnsi="Calibri" w:cs="Calibri"/>
          <w:sz w:val="20"/>
          <w:szCs w:val="20"/>
        </w:rPr>
        <w:lastRenderedPageBreak/>
        <w:t>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w:t>
      </w:r>
      <w:r>
        <w:rPr>
          <w:rFonts w:ascii="Calibri" w:hAnsi="Calibri" w:cs="Calibri"/>
          <w:sz w:val="20"/>
          <w:szCs w:val="20"/>
        </w:rPr>
        <w:t xml:space="preserve"> en algunos procesos</w:t>
      </w:r>
      <w:r w:rsidRPr="00392C40">
        <w:rPr>
          <w:rFonts w:ascii="Calibri" w:hAnsi="Calibri" w:cs="Calibri"/>
          <w:sz w:val="20"/>
          <w:szCs w:val="20"/>
        </w:rPr>
        <w:t xml:space="preserve"> para el registro de los momentos contables en las cuentas de orden.</w:t>
      </w:r>
      <w:r w:rsidRPr="00392C40">
        <w:rPr>
          <w:b/>
          <w:bCs/>
        </w:rPr>
        <w:tab/>
      </w:r>
    </w:p>
    <w:p w:rsidR="00A17B33" w:rsidRPr="00392C40" w:rsidRDefault="00A17B33" w:rsidP="00A17B33">
      <w:pPr>
        <w:autoSpaceDE w:val="0"/>
        <w:autoSpaceDN w:val="0"/>
        <w:adjustRightInd w:val="0"/>
        <w:spacing w:line="360" w:lineRule="auto"/>
        <w:rPr>
          <w:b/>
          <w:bCs/>
        </w:rPr>
      </w:pPr>
    </w:p>
    <w:p w:rsidR="00A17B33" w:rsidRPr="00392C40" w:rsidRDefault="00A17B33" w:rsidP="00A17B33">
      <w:pPr>
        <w:autoSpaceDE w:val="0"/>
        <w:autoSpaceDN w:val="0"/>
        <w:adjustRightInd w:val="0"/>
        <w:spacing w:line="360" w:lineRule="auto"/>
        <w:ind w:left="709"/>
        <w:rPr>
          <w:rFonts w:ascii="Eras Medium ITC" w:hAnsi="Eras Medium ITC" w:cs="Eras Medium ITC"/>
          <w:b/>
        </w:rPr>
      </w:pPr>
    </w:p>
    <w:p w:rsidR="00A17B33" w:rsidRPr="00392C40" w:rsidRDefault="00A17B33" w:rsidP="00A17B33">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2.-  Panorama Económico y Financiero</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Entre las principales fortaleza que tiene el Estado se encuentra su ubicación geográfica, lo que representa un punto clave para el comercio nacional e internacional.</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Durante el tercer trimestre de 2017 Yucatán mantuvo un crecimiento sostenido como se ha venido registrando desde los periodos previos, por lo que su economía presenta signos de solidez y dinamismos. Destaca el incremento de las actividades industriales como efecto del crecimiento de la manufactura, así como también, el crecimiento de las actividades agropecuarias, y una dinámica positiva de las actividades de comercio y de servicio en Yucatán.</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A tasa anual se registró un crecimiento de la actividad económica estatal en razón de 2.7%, así como en sus tres sectores en que se clasifica, dentro de los cuales destaca el primario con un crecimiento de 4.2%, seguido de las actividades secundarias con 2.8% y finalmente el sector terciario tuvo un crecimiento del 2.6%. Yucatán fue la novena entidad de mayor crecimiento durante el tercr trimestre 2017.</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Los datos acumulados a septiembre de 2017 muestran un crecimiento de 3.2% en total de la actividad económica estatal, una variación de 6.5% para las actividades primarias, 5.8% para las secundarias y de 2.1% para el sector terciario.</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Durante los primeros nueve meses del 2017, el índice de la actividad industrial por entidad federativa del sector de las industrias manufactureras ha observado un notable dinamismo respecto del mismo periodo del 2016. En dicho periodo la variación promedio del índice manufacturero fue del 10.4%, ocupando la quinta posición a nivel nacional con mayor crecimiento.</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lastRenderedPageBreak/>
        <w:t>De acuerdo al índice mensual de actividad industrial por entidad federativa del sector de la construcción, en el periodo de enero a septiembre de 2017 tuvo mayor dinamismo respecto al mismo periodo del año anterior. El sector de la construcción presento una variación de -0.4%.</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Con datos de enero a diciembre de 2017, la cifra acumulada de turistas con pernocta en el Estado fue de 1, 652,653 visitantes, lo que representa un crecimiento de 13.5% respecto del mismo periodo del año 2016, cuando se recibieron 1, 455,957 visitantes.</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Por su parte, el porcentaje de la ocupación hotelera acumulada a diciembre de 2017 fue de 57.5% lo que significó un incremento de 0.6 puntos porcentuales respecto del mismo periodo del año anterior en el que la ocupación hotelera se ubicó en 56.9%.</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De acuerdo al Sistema Integral de Gestión Registral, el número de empresas creadas durante el periodo de enero a diciembre de 2017 fue de 1,786; lo que representa una variación de 20.8% con respecto al año anterior en él se registraron 1,478 empresas.</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En términos porcentuales, la cantidad de contenedores TEU que se importaron y exportaron en el Estado durante el periodo de enero a diciembre de 2017 fue 34.6% mayor en relación a 2016. En dicho periodo de 2017 se registraron 91,318 conteneros, mientras que en 2016 fueron 67,842.</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De acuerdo con la Secretaría de Economía, durante el periodo enero a septiembre 2017 se registraron 104.6 millones de dólares en materia de inversión extranjera directa, lo que representa un incremento de 20.0% con relación al mismo periodo del año anterior.</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De acuerdo al servicio de información agroalimentaria y pesquera, con cifras preliminares, la producción agrícola durante el periodo de enero a diciembre de 2017 fue de 1, 673,777 toneladas, lo que significó una variación de -18.1% con relación a la producción de 2016. Se estima que la producción se incremente al finalizar el ciclo agrícola en marzo de 2018.</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Por otra parte, la producción pecuaria durante el periodo de enero a diciembre de 2017 fue de 398,799 toneladas, lo que representa un incremento de 0.1% con relación a las obtenidas en el mismo periodo de 2016.</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Los datos registrados en materia de empleo mantienen un buen dinamismo, principalmente en el rubro de trabajadores asegurados, vinculados con las bajas tasas de desempleo; en los mismos términos y debido a lo anterior, las tasas de informalidad laboral han presentado una tendencia a la baja.</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lastRenderedPageBreak/>
        <w:t>De acuerdo con los resultados trimestrales que se presentan en la Encuesta Nacional de Ocupación y Empleo, la Población Económicamente activa durante el tercer trimestre 2017 fue de 63.9% del total de la población, lo que significó una diferencia porcentual de -0.1 puntos respecto del mismo periodo del año anterior en el que se registró un 64.0%.</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En lo que respecta la distribución sectorial de la población ocupada, durante el tercer trimestre de 2017 se registraron 117,519 personas ocupadas en actividades primarias (11.5%), 274,588 personas en el sector secundario (26.9%) y 626,006 personas ocupadas en las actividades terciarias (61.4%); así como 1,975 personas sin especificar al sector  al que pertenecen (0.2%).</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El desempleo en el Estado se ha mantenido en niveles bajos. Durante el tercer trimestre de 2017 la tasa de desocupación fue de 2.5, por encima de la tasa de 2.1 registrada durante el mismo periodo del año anterior. Yucatán permanece como el tercer estado con menor desempleo del pais.</w:t>
      </w:r>
    </w:p>
    <w:p w:rsidR="00A17B33" w:rsidRP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Al mes de diciembre de 2017 el número total de asegurados en el Estado fue de 358,842, lo que representa un incremento del 4.0% en relación al mismo mes del años anterior en el que se tenían 344,912 trabajadores asegurados. Durante el periodo de enero a diciembre de 2017 se han generado 13,930 nuevos empleos formales.</w:t>
      </w:r>
    </w:p>
    <w:p w:rsidR="00A17B33" w:rsidRDefault="00A17B33" w:rsidP="00A17B33">
      <w:pPr>
        <w:autoSpaceDE w:val="0"/>
        <w:autoSpaceDN w:val="0"/>
        <w:adjustRightInd w:val="0"/>
        <w:spacing w:line="360" w:lineRule="auto"/>
        <w:ind w:firstLine="708"/>
        <w:jc w:val="both"/>
        <w:rPr>
          <w:rFonts w:ascii="Calibri" w:hAnsi="Calibri" w:cs="Calibri"/>
          <w:sz w:val="20"/>
          <w:szCs w:val="20"/>
        </w:rPr>
      </w:pPr>
      <w:r w:rsidRPr="00A17B33">
        <w:rPr>
          <w:rFonts w:ascii="Calibri" w:hAnsi="Calibri" w:cs="Calibri"/>
          <w:sz w:val="20"/>
          <w:szCs w:val="20"/>
        </w:rPr>
        <w:t>El índice de productividad laboral presento un aumento del 2.1% en el tercer trimestre del 2017 con respecto al mismo periodo del 2016 a nivel sectorial, se observa un incremento en las actividades secundarias del 4.3%, de 1.6% en las Terciarias y de 0.9% en las actividades primarias.</w:t>
      </w:r>
    </w:p>
    <w:p w:rsidR="00A17B33" w:rsidRDefault="00A17B33" w:rsidP="00A17B33">
      <w:pPr>
        <w:autoSpaceDE w:val="0"/>
        <w:autoSpaceDN w:val="0"/>
        <w:adjustRightInd w:val="0"/>
        <w:spacing w:line="360" w:lineRule="auto"/>
        <w:ind w:firstLine="708"/>
        <w:jc w:val="both"/>
        <w:rPr>
          <w:rFonts w:ascii="Calibri" w:hAnsi="Calibri" w:cs="Calibri"/>
          <w:sz w:val="20"/>
          <w:szCs w:val="20"/>
        </w:rPr>
      </w:pPr>
    </w:p>
    <w:p w:rsidR="00A17B33" w:rsidRPr="00392C40" w:rsidRDefault="00A17B33" w:rsidP="00A17B33">
      <w:pPr>
        <w:autoSpaceDE w:val="0"/>
        <w:autoSpaceDN w:val="0"/>
        <w:adjustRightInd w:val="0"/>
        <w:spacing w:line="360" w:lineRule="auto"/>
        <w:ind w:firstLine="708"/>
        <w:jc w:val="both"/>
        <w:rPr>
          <w:rFonts w:ascii="Calibri" w:hAnsi="Calibri" w:cs="Calibri"/>
          <w:sz w:val="20"/>
          <w:szCs w:val="20"/>
        </w:rPr>
      </w:pPr>
    </w:p>
    <w:p w:rsidR="00A17B33" w:rsidRPr="00392C40" w:rsidRDefault="00A17B33" w:rsidP="00A17B33">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3.-  Autorización e Historia</w:t>
      </w:r>
    </w:p>
    <w:p w:rsidR="00A17B33" w:rsidRPr="00392C40" w:rsidRDefault="00A17B33" w:rsidP="00A17B33">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 xml:space="preserve">Fecha de creación del ente. </w:t>
      </w:r>
    </w:p>
    <w:p w:rsidR="00A17B33" w:rsidRPr="00392C40" w:rsidRDefault="00A17B33" w:rsidP="00A17B33">
      <w:pPr>
        <w:tabs>
          <w:tab w:val="left" w:pos="720"/>
        </w:tabs>
        <w:autoSpaceDE w:val="0"/>
        <w:autoSpaceDN w:val="0"/>
        <w:adjustRightInd w:val="0"/>
        <w:spacing w:line="360" w:lineRule="auto"/>
        <w:ind w:left="360"/>
        <w:rPr>
          <w:rFonts w:ascii="Calibri" w:hAnsi="Calibri" w:cs="Calibri"/>
          <w:sz w:val="22"/>
          <w:szCs w:val="22"/>
        </w:rPr>
      </w:pPr>
    </w:p>
    <w:p w:rsidR="00A17B33" w:rsidRPr="00392C40" w:rsidRDefault="00A17B33" w:rsidP="00A17B33">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A17B33" w:rsidRPr="00392C40" w:rsidRDefault="00A17B33" w:rsidP="00A17B33">
      <w:pPr>
        <w:autoSpaceDE w:val="0"/>
        <w:autoSpaceDN w:val="0"/>
        <w:adjustRightInd w:val="0"/>
        <w:spacing w:line="360" w:lineRule="auto"/>
        <w:jc w:val="both"/>
        <w:rPr>
          <w:rFonts w:ascii="Calibri" w:hAnsi="Calibri" w:cs="Calibri"/>
          <w:sz w:val="20"/>
          <w:szCs w:val="20"/>
        </w:rPr>
      </w:pPr>
    </w:p>
    <w:p w:rsidR="00A17B33" w:rsidRPr="00392C40" w:rsidRDefault="00A17B33" w:rsidP="00A17B33">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lastRenderedPageBreak/>
        <w:t>Principales cambios en su estructura.</w:t>
      </w:r>
    </w:p>
    <w:p w:rsidR="00A17B33" w:rsidRPr="00392C40" w:rsidRDefault="00A17B33" w:rsidP="00A17B33">
      <w:pPr>
        <w:tabs>
          <w:tab w:val="left" w:pos="720"/>
        </w:tabs>
        <w:autoSpaceDE w:val="0"/>
        <w:autoSpaceDN w:val="0"/>
        <w:adjustRightInd w:val="0"/>
        <w:spacing w:line="360" w:lineRule="auto"/>
        <w:ind w:left="360"/>
        <w:rPr>
          <w:rFonts w:ascii="Calibri" w:hAnsi="Calibri" w:cs="Calibri"/>
          <w:sz w:val="20"/>
          <w:szCs w:val="20"/>
        </w:rPr>
      </w:pPr>
    </w:p>
    <w:p w:rsidR="00A17B33" w:rsidRPr="00392C40" w:rsidRDefault="00A17B33" w:rsidP="00A17B33">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A17B33" w:rsidRPr="00392C40" w:rsidRDefault="00A17B33" w:rsidP="00A17B33">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En el decreto número 28 de fecha 1 de enero del 2013 se reforman, derogan y adicionan diversas disposiciones del Reglamento del Código de la Administración Pública de Yucatán. </w:t>
      </w:r>
    </w:p>
    <w:p w:rsidR="00A17B33" w:rsidRPr="00392C40" w:rsidRDefault="00A17B33" w:rsidP="00A17B33">
      <w:pPr>
        <w:autoSpaceDE w:val="0"/>
        <w:autoSpaceDN w:val="0"/>
        <w:adjustRightInd w:val="0"/>
        <w:spacing w:line="360" w:lineRule="auto"/>
        <w:ind w:firstLine="360"/>
        <w:jc w:val="both"/>
        <w:rPr>
          <w:rFonts w:ascii="Calibri" w:hAnsi="Calibri" w:cs="Calibri"/>
          <w:sz w:val="20"/>
          <w:szCs w:val="20"/>
        </w:rPr>
      </w:pPr>
    </w:p>
    <w:p w:rsidR="00A17B33" w:rsidRPr="00392C40" w:rsidRDefault="00A17B33" w:rsidP="00A17B33">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4.- Organización y Objeto Social</w:t>
      </w:r>
    </w:p>
    <w:p w:rsidR="00A17B33" w:rsidRPr="00392C40" w:rsidRDefault="00A17B33" w:rsidP="00A17B33">
      <w:pPr>
        <w:autoSpaceDE w:val="0"/>
        <w:autoSpaceDN w:val="0"/>
        <w:adjustRightInd w:val="0"/>
        <w:spacing w:line="360" w:lineRule="auto"/>
        <w:rPr>
          <w:rFonts w:ascii="Eras Medium ITC" w:hAnsi="Eras Medium ITC" w:cs="Eras Medium ITC"/>
          <w:b/>
        </w:rPr>
      </w:pPr>
    </w:p>
    <w:p w:rsidR="00A17B33" w:rsidRPr="00392C40" w:rsidRDefault="00A17B33" w:rsidP="00A17B33">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Objeto social.</w:t>
      </w:r>
    </w:p>
    <w:p w:rsidR="00A17B33" w:rsidRPr="00392C40" w:rsidRDefault="00A17B33" w:rsidP="00A17B33">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A17B33" w:rsidRPr="00392C40" w:rsidRDefault="00A17B33" w:rsidP="00A17B33">
      <w:pPr>
        <w:autoSpaceDE w:val="0"/>
        <w:autoSpaceDN w:val="0"/>
        <w:adjustRightInd w:val="0"/>
        <w:spacing w:line="360" w:lineRule="auto"/>
        <w:jc w:val="both"/>
        <w:rPr>
          <w:rFonts w:ascii="Calibri" w:hAnsi="Calibri" w:cs="Calibri"/>
          <w:sz w:val="20"/>
          <w:szCs w:val="20"/>
        </w:rPr>
      </w:pPr>
    </w:p>
    <w:p w:rsidR="00A17B33" w:rsidRPr="00392C40" w:rsidRDefault="00A17B33" w:rsidP="00A17B33">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 actividad</w:t>
      </w:r>
    </w:p>
    <w:p w:rsidR="00A17B33" w:rsidRPr="00392C40" w:rsidRDefault="00A17B33" w:rsidP="00A17B33">
      <w:pPr>
        <w:tabs>
          <w:tab w:val="left" w:pos="1065"/>
        </w:tabs>
        <w:autoSpaceDE w:val="0"/>
        <w:autoSpaceDN w:val="0"/>
        <w:adjustRightInd w:val="0"/>
        <w:spacing w:line="360" w:lineRule="auto"/>
        <w:ind w:left="705"/>
        <w:rPr>
          <w:rFonts w:ascii="Calibri" w:hAnsi="Calibri" w:cs="Calibri"/>
          <w:sz w:val="20"/>
          <w:szCs w:val="20"/>
        </w:rPr>
      </w:pPr>
    </w:p>
    <w:p w:rsidR="00A17B33" w:rsidRPr="00392C40" w:rsidRDefault="00A17B33" w:rsidP="00A17B33">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A17B33" w:rsidRPr="00392C40" w:rsidRDefault="00A17B33" w:rsidP="00A17B33">
      <w:pPr>
        <w:autoSpaceDE w:val="0"/>
        <w:autoSpaceDN w:val="0"/>
        <w:adjustRightInd w:val="0"/>
        <w:spacing w:line="360" w:lineRule="auto"/>
        <w:rPr>
          <w:rFonts w:ascii="Calibri" w:hAnsi="Calibri" w:cs="Calibri"/>
          <w:sz w:val="20"/>
          <w:szCs w:val="20"/>
        </w:rPr>
      </w:pPr>
    </w:p>
    <w:p w:rsidR="00A17B33" w:rsidRPr="00392C40" w:rsidRDefault="00A17B33" w:rsidP="00A17B33">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Ejercicio Fiscal</w:t>
      </w:r>
    </w:p>
    <w:p w:rsidR="00A17B33" w:rsidRPr="00392C40" w:rsidRDefault="00A17B33" w:rsidP="00A17B33">
      <w:pPr>
        <w:tabs>
          <w:tab w:val="left" w:pos="1065"/>
        </w:tabs>
        <w:autoSpaceDE w:val="0"/>
        <w:autoSpaceDN w:val="0"/>
        <w:adjustRightInd w:val="0"/>
        <w:spacing w:line="360" w:lineRule="auto"/>
        <w:ind w:left="705"/>
        <w:rPr>
          <w:rFonts w:ascii="Calibri" w:hAnsi="Calibri" w:cs="Calibri"/>
          <w:sz w:val="20"/>
          <w:szCs w:val="20"/>
        </w:rPr>
      </w:pPr>
    </w:p>
    <w:p w:rsidR="00A17B33" w:rsidRPr="001624A3" w:rsidRDefault="00A17B33" w:rsidP="00A17B33">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presentan  al </w:t>
      </w:r>
      <w:bookmarkStart w:id="1" w:name="m17"/>
      <w:bookmarkEnd w:id="1"/>
      <w:r>
        <w:rPr>
          <w:rFonts w:ascii="Calibri" w:hAnsi="Calibri" w:cs="Calibri"/>
          <w:sz w:val="20"/>
          <w:szCs w:val="20"/>
        </w:rPr>
        <w:t>31 de Diciembre del Ejercicio Fiscal 2017</w:t>
      </w:r>
    </w:p>
    <w:p w:rsidR="00A17B33" w:rsidRPr="00392C40" w:rsidRDefault="00A17B33" w:rsidP="00A17B33">
      <w:pPr>
        <w:autoSpaceDE w:val="0"/>
        <w:autoSpaceDN w:val="0"/>
        <w:adjustRightInd w:val="0"/>
        <w:spacing w:line="360" w:lineRule="auto"/>
        <w:ind w:firstLine="705"/>
        <w:jc w:val="both"/>
        <w:rPr>
          <w:rFonts w:ascii="Calibri" w:hAnsi="Calibri" w:cs="Calibri"/>
          <w:sz w:val="20"/>
          <w:szCs w:val="20"/>
        </w:rPr>
      </w:pPr>
      <w:r w:rsidRPr="00AE68A7">
        <w:rPr>
          <w:rFonts w:ascii="Calibri" w:hAnsi="Calibri" w:cs="Calibri"/>
          <w:sz w:val="20"/>
          <w:szCs w:val="20"/>
        </w:rPr>
        <w:t>.</w:t>
      </w:r>
    </w:p>
    <w:p w:rsidR="00A17B33" w:rsidRPr="00392C40" w:rsidRDefault="00A17B33" w:rsidP="00A17B33">
      <w:pPr>
        <w:autoSpaceDE w:val="0"/>
        <w:autoSpaceDN w:val="0"/>
        <w:adjustRightInd w:val="0"/>
        <w:spacing w:line="360" w:lineRule="auto"/>
        <w:jc w:val="both"/>
        <w:rPr>
          <w:rFonts w:ascii="Calibri" w:hAnsi="Calibri" w:cs="Calibri"/>
          <w:sz w:val="20"/>
          <w:szCs w:val="20"/>
        </w:rPr>
      </w:pPr>
    </w:p>
    <w:p w:rsidR="00A17B33" w:rsidRPr="00392C40" w:rsidRDefault="00A17B33" w:rsidP="00A17B33">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Régimen Jurídico.</w:t>
      </w:r>
    </w:p>
    <w:p w:rsidR="00A17B33" w:rsidRPr="00392C40" w:rsidRDefault="00A17B33" w:rsidP="00A17B33">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A17B33" w:rsidRPr="00392C40" w:rsidRDefault="00A17B33" w:rsidP="00A17B33">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A17B33" w:rsidRPr="00392C40" w:rsidRDefault="00A17B33" w:rsidP="00A17B33">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A17B33" w:rsidRPr="00392C40" w:rsidRDefault="00A17B33" w:rsidP="00A17B33">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A17B33" w:rsidRPr="00392C40" w:rsidRDefault="00A17B33" w:rsidP="00A17B33">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A17B33" w:rsidRPr="00392C40" w:rsidRDefault="00A17B33" w:rsidP="00A17B33">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A17B33" w:rsidRPr="00392C40" w:rsidRDefault="00A17B33" w:rsidP="00A17B33">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A17B33" w:rsidRPr="00392C40" w:rsidRDefault="00A17B33" w:rsidP="00A17B33">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A17B33" w:rsidRPr="00392C40" w:rsidRDefault="00A17B33" w:rsidP="00A17B33">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A17B33" w:rsidRPr="00392C40" w:rsidRDefault="00A17B33" w:rsidP="00A17B33">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A17B33" w:rsidRDefault="00A17B33" w:rsidP="00A17B33">
      <w:pPr>
        <w:autoSpaceDE w:val="0"/>
        <w:autoSpaceDN w:val="0"/>
        <w:adjustRightInd w:val="0"/>
        <w:spacing w:line="360" w:lineRule="auto"/>
        <w:ind w:left="1425"/>
        <w:jc w:val="both"/>
        <w:rPr>
          <w:rFonts w:ascii="Calibri" w:hAnsi="Calibri" w:cs="Calibri"/>
          <w:sz w:val="20"/>
          <w:szCs w:val="20"/>
        </w:rPr>
      </w:pPr>
    </w:p>
    <w:p w:rsidR="00A17B33" w:rsidRDefault="00A17B33" w:rsidP="00A17B33">
      <w:pPr>
        <w:autoSpaceDE w:val="0"/>
        <w:autoSpaceDN w:val="0"/>
        <w:adjustRightInd w:val="0"/>
        <w:spacing w:line="360" w:lineRule="auto"/>
        <w:ind w:left="1425"/>
        <w:jc w:val="both"/>
        <w:rPr>
          <w:rFonts w:ascii="Calibri" w:hAnsi="Calibri" w:cs="Calibri"/>
          <w:sz w:val="20"/>
          <w:szCs w:val="20"/>
        </w:rPr>
      </w:pPr>
    </w:p>
    <w:p w:rsidR="00A17B33" w:rsidRPr="00392C40" w:rsidRDefault="00A17B33" w:rsidP="00A17B33">
      <w:pPr>
        <w:autoSpaceDE w:val="0"/>
        <w:autoSpaceDN w:val="0"/>
        <w:adjustRightInd w:val="0"/>
        <w:spacing w:line="360" w:lineRule="auto"/>
        <w:ind w:left="1425"/>
        <w:jc w:val="both"/>
        <w:rPr>
          <w:rFonts w:ascii="Calibri" w:hAnsi="Calibri" w:cs="Calibri"/>
          <w:sz w:val="20"/>
          <w:szCs w:val="20"/>
        </w:rPr>
      </w:pPr>
    </w:p>
    <w:p w:rsidR="00A17B33" w:rsidRPr="00392C40" w:rsidRDefault="00A17B33" w:rsidP="00A17B33">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lastRenderedPageBreak/>
        <w:t>Consideraciones fiscales del ente: revelar el tipo de contribuciones que esté obligado a pagar o retener.</w:t>
      </w:r>
    </w:p>
    <w:p w:rsidR="00A17B33" w:rsidRPr="00392C40" w:rsidRDefault="00A17B33" w:rsidP="00A17B33">
      <w:pPr>
        <w:tabs>
          <w:tab w:val="left" w:pos="1065"/>
        </w:tabs>
        <w:autoSpaceDE w:val="0"/>
        <w:autoSpaceDN w:val="0"/>
        <w:adjustRightInd w:val="0"/>
        <w:spacing w:line="360" w:lineRule="auto"/>
        <w:rPr>
          <w:rFonts w:ascii="Calibri" w:hAnsi="Calibri" w:cs="Calibri"/>
          <w:sz w:val="20"/>
          <w:szCs w:val="20"/>
        </w:rPr>
      </w:pPr>
    </w:p>
    <w:p w:rsidR="00A17B33" w:rsidRPr="00392C40" w:rsidRDefault="00A17B33" w:rsidP="00A17B33">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General; el cual inicia operaciones ante las oficinas de </w:t>
      </w:r>
      <w:smartTag w:uri="urn:schemas-microsoft-com:office:smarttags" w:element="PersonName">
        <w:smartTagPr>
          <w:attr w:name="ProductID" w:val="la Secretaria"/>
        </w:smartTagPr>
        <w:r w:rsidRPr="00392C40">
          <w:rPr>
            <w:rFonts w:ascii="Calibri" w:hAnsi="Calibri" w:cs="Calibri"/>
            <w:sz w:val="20"/>
            <w:szCs w:val="20"/>
          </w:rPr>
          <w:t>la Secretaria</w:t>
        </w:r>
      </w:smartTag>
      <w:r w:rsidRPr="00392C40">
        <w:rPr>
          <w:rFonts w:ascii="Calibri" w:hAnsi="Calibri" w:cs="Calibri"/>
          <w:sz w:val="20"/>
          <w:szCs w:val="20"/>
        </w:rPr>
        <w:t xml:space="preserve"> de Hacienda Federal el 1 de febrero de 1970. Las obligaciones fiscales de la administración Pública centralizada del Estado son las siguientes: </w:t>
      </w:r>
    </w:p>
    <w:p w:rsidR="00A17B33" w:rsidRPr="00392C40" w:rsidRDefault="00A17B33" w:rsidP="00A17B33">
      <w:pPr>
        <w:autoSpaceDE w:val="0"/>
        <w:autoSpaceDN w:val="0"/>
        <w:adjustRightInd w:val="0"/>
        <w:spacing w:line="360" w:lineRule="auto"/>
        <w:ind w:firstLine="705"/>
        <w:jc w:val="both"/>
        <w:rPr>
          <w:rFonts w:ascii="Calibri" w:hAnsi="Calibri" w:cs="Calibri"/>
          <w:sz w:val="20"/>
          <w:szCs w:val="20"/>
        </w:rPr>
      </w:pPr>
    </w:p>
    <w:p w:rsidR="00A17B33" w:rsidRPr="00392C40" w:rsidRDefault="00A17B33" w:rsidP="00A17B33">
      <w:pPr>
        <w:numPr>
          <w:ilvl w:val="1"/>
          <w:numId w:val="18"/>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A17B33" w:rsidRPr="00392C40" w:rsidRDefault="00A17B33" w:rsidP="00A17B33">
      <w:pPr>
        <w:numPr>
          <w:ilvl w:val="1"/>
          <w:numId w:val="19"/>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A17B33" w:rsidRPr="00392C40" w:rsidRDefault="00A17B33" w:rsidP="00A17B33">
      <w:pPr>
        <w:numPr>
          <w:ilvl w:val="1"/>
          <w:numId w:val="2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A17B33" w:rsidRPr="00392C40" w:rsidRDefault="00A17B33" w:rsidP="00A17B33">
      <w:pPr>
        <w:numPr>
          <w:ilvl w:val="1"/>
          <w:numId w:val="21"/>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anual donde se informe sobre las  retenciones  de los trabajadores que recibieron Sueldos y Salarios y Trabajadores asimilables a Salarios.</w:t>
      </w:r>
    </w:p>
    <w:p w:rsidR="00A17B33" w:rsidRPr="00392C40" w:rsidRDefault="00A17B33" w:rsidP="00A17B33">
      <w:pPr>
        <w:numPr>
          <w:ilvl w:val="1"/>
          <w:numId w:val="22"/>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A17B33" w:rsidRPr="00392C40" w:rsidRDefault="00A17B33" w:rsidP="00A17B33">
      <w:pPr>
        <w:numPr>
          <w:ilvl w:val="1"/>
          <w:numId w:val="23"/>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A17B33" w:rsidRPr="00392C40" w:rsidRDefault="00A17B33" w:rsidP="00A17B33">
      <w:pPr>
        <w:numPr>
          <w:ilvl w:val="1"/>
          <w:numId w:val="24"/>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A17B33" w:rsidRPr="00392C40" w:rsidRDefault="00A17B33" w:rsidP="00A17B33">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A17B33" w:rsidRPr="00392C40" w:rsidRDefault="00A17B33" w:rsidP="00A17B33">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A17B33" w:rsidRPr="00392C40" w:rsidRDefault="00A17B33" w:rsidP="00A17B33">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A17B33" w:rsidRDefault="00A17B33" w:rsidP="00A17B33">
      <w:pPr>
        <w:tabs>
          <w:tab w:val="left" w:pos="2606"/>
        </w:tabs>
        <w:autoSpaceDE w:val="0"/>
        <w:autoSpaceDN w:val="0"/>
        <w:adjustRightInd w:val="0"/>
        <w:spacing w:line="360" w:lineRule="auto"/>
        <w:ind w:left="1065"/>
        <w:rPr>
          <w:rFonts w:ascii="Calibri" w:hAnsi="Calibri" w:cs="Calibri"/>
          <w:sz w:val="20"/>
          <w:szCs w:val="20"/>
        </w:rPr>
      </w:pPr>
    </w:p>
    <w:p w:rsidR="00A17B33" w:rsidRDefault="00A17B33" w:rsidP="00A17B33">
      <w:pPr>
        <w:tabs>
          <w:tab w:val="left" w:pos="2606"/>
        </w:tabs>
        <w:autoSpaceDE w:val="0"/>
        <w:autoSpaceDN w:val="0"/>
        <w:adjustRightInd w:val="0"/>
        <w:spacing w:line="360" w:lineRule="auto"/>
        <w:ind w:left="1065"/>
        <w:rPr>
          <w:rFonts w:ascii="Calibri" w:hAnsi="Calibri" w:cs="Calibri"/>
          <w:sz w:val="20"/>
          <w:szCs w:val="20"/>
        </w:rPr>
      </w:pPr>
    </w:p>
    <w:p w:rsidR="00A17B33" w:rsidRDefault="00A17B33" w:rsidP="00A17B33">
      <w:pPr>
        <w:tabs>
          <w:tab w:val="left" w:pos="2606"/>
        </w:tabs>
        <w:autoSpaceDE w:val="0"/>
        <w:autoSpaceDN w:val="0"/>
        <w:adjustRightInd w:val="0"/>
        <w:spacing w:line="360" w:lineRule="auto"/>
        <w:ind w:left="1065"/>
        <w:rPr>
          <w:rFonts w:ascii="Calibri" w:hAnsi="Calibri" w:cs="Calibri"/>
          <w:sz w:val="20"/>
          <w:szCs w:val="20"/>
        </w:rPr>
      </w:pPr>
    </w:p>
    <w:p w:rsidR="00A17B33" w:rsidRPr="00392C40" w:rsidRDefault="00A17B33" w:rsidP="00A17B33">
      <w:pPr>
        <w:tabs>
          <w:tab w:val="left" w:pos="2606"/>
        </w:tabs>
        <w:autoSpaceDE w:val="0"/>
        <w:autoSpaceDN w:val="0"/>
        <w:adjustRightInd w:val="0"/>
        <w:spacing w:line="360" w:lineRule="auto"/>
        <w:ind w:left="1065"/>
        <w:rPr>
          <w:rFonts w:ascii="Calibri" w:hAnsi="Calibri" w:cs="Calibri"/>
          <w:sz w:val="20"/>
          <w:szCs w:val="20"/>
        </w:rPr>
      </w:pPr>
    </w:p>
    <w:p w:rsidR="00A17B33" w:rsidRPr="00392C40" w:rsidRDefault="00A17B33" w:rsidP="00A17B33">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lastRenderedPageBreak/>
        <w:t>Estructura Organizacional Básica</w:t>
      </w:r>
      <w:r w:rsidRPr="00392C40">
        <w:rPr>
          <w:rFonts w:ascii="Calibri" w:hAnsi="Calibri" w:cs="Calibri"/>
          <w:b/>
          <w:sz w:val="20"/>
          <w:szCs w:val="20"/>
        </w:rPr>
        <w:t>.</w:t>
      </w:r>
    </w:p>
    <w:p w:rsidR="00A17B33" w:rsidRPr="00392C40" w:rsidRDefault="00A17B33" w:rsidP="00A17B33">
      <w:pPr>
        <w:autoSpaceDE w:val="0"/>
        <w:autoSpaceDN w:val="0"/>
        <w:adjustRightInd w:val="0"/>
        <w:spacing w:line="360" w:lineRule="auto"/>
        <w:ind w:left="705"/>
        <w:rPr>
          <w:rFonts w:ascii="Calibri" w:hAnsi="Calibri" w:cs="Calibri"/>
          <w:sz w:val="20"/>
          <w:szCs w:val="20"/>
        </w:rPr>
      </w:pPr>
    </w:p>
    <w:p w:rsidR="00A17B33" w:rsidRPr="00392C40" w:rsidRDefault="00A17B33" w:rsidP="00A17B33">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A17B33" w:rsidRPr="00392C40" w:rsidRDefault="00A17B33" w:rsidP="00A17B33">
      <w:pPr>
        <w:tabs>
          <w:tab w:val="left" w:pos="1065"/>
        </w:tabs>
        <w:autoSpaceDE w:val="0"/>
        <w:autoSpaceDN w:val="0"/>
        <w:adjustRightInd w:val="0"/>
        <w:spacing w:line="360" w:lineRule="auto"/>
        <w:ind w:left="705"/>
        <w:jc w:val="both"/>
        <w:rPr>
          <w:rFonts w:ascii="Calibri" w:hAnsi="Calibri" w:cs="Calibri"/>
          <w:sz w:val="20"/>
          <w:szCs w:val="20"/>
        </w:rPr>
      </w:pPr>
    </w:p>
    <w:p w:rsidR="00A17B33" w:rsidRPr="00392C40" w:rsidRDefault="00A17B33" w:rsidP="00A17B33">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Fideicomisos, mandatos y análogos de los cuales es fideicomitente o fiduciario</w:t>
      </w:r>
      <w:r w:rsidRPr="00392C40">
        <w:rPr>
          <w:rFonts w:ascii="Calibri" w:hAnsi="Calibri" w:cs="Calibri"/>
          <w:b/>
          <w:sz w:val="20"/>
          <w:szCs w:val="20"/>
        </w:rPr>
        <w:t>.</w:t>
      </w:r>
    </w:p>
    <w:p w:rsidR="00A17B33" w:rsidRPr="00392C40" w:rsidRDefault="00A17B33" w:rsidP="00A17B33">
      <w:pPr>
        <w:autoSpaceDE w:val="0"/>
        <w:autoSpaceDN w:val="0"/>
        <w:adjustRightInd w:val="0"/>
        <w:spacing w:line="360" w:lineRule="auto"/>
        <w:rPr>
          <w:rFonts w:ascii="Calibri" w:hAnsi="Calibri" w:cs="Calibri"/>
          <w:b/>
          <w:sz w:val="20"/>
          <w:szCs w:val="20"/>
        </w:rPr>
      </w:pP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g)</w:t>
      </w:r>
      <w:r w:rsidRPr="00A17B33">
        <w:rPr>
          <w:rFonts w:ascii="Calibri" w:hAnsi="Calibri" w:cs="Calibri"/>
          <w:sz w:val="20"/>
          <w:szCs w:val="20"/>
        </w:rPr>
        <w:tab/>
        <w:t>Fideicomisos, mandatos y análogos de los cuales es fideicomitente o fiduciario.</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Los fideicomisos del Gobierno del Estado que se manejaron en el ejercicio 2017  son los siguientes:</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 xml:space="preserve">“FONDO DE APORTACIONES PARA LA SEGURIDAD PÚBLICA DEL ESTADO DE YUCATÁN”. </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"FONDO PARA LA ATENCIÓN DE EMERGENCIAS Y DESASTRES DEL ESTADO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"FONDO PARA APOYO DE OBRAS DE INFRAESTRUCTURA Y/O EQUIPAMIENTO DEL ESTADO DE YUCATAN"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FONDO DE FOMENTO AGROPECUARIO DEL ESTADO DE YUCATÁN" (FOFAY).</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“FONDO DE APOYO A LA PRODUCTIVIDAD AGROPECUARIA DEL ESTADO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“FONDO DE CRÉDITO AGROPECUARIO Y PESQUERO DEL ESTADO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“FONDO DE MICROCRÉDITOS DEL ESTADO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YUCATECO PARA LA DIGNIFICACIÓN Y DESARROLLO INTEGRAL DE LOS TRABAJADORES DE LA CONSTRUCCIÓN”.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lastRenderedPageBreak/>
        <w:t>•</w:t>
      </w:r>
      <w:r w:rsidRPr="00A17B33">
        <w:rPr>
          <w:rFonts w:ascii="Calibri" w:hAnsi="Calibri" w:cs="Calibri"/>
          <w:sz w:val="20"/>
          <w:szCs w:val="20"/>
        </w:rPr>
        <w:tab/>
        <w:t>"FONDO METROPOLITANO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“FONDO INTEGRAL PARA EL DESARROLLO ECONÓMICO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PARA LA PROMOCIÓN TURÍSTICA DEL ESTADO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PARA LA CONSTRUCCIÓN DEL HOSPITAL REGIONAL DE ALTA ESPECIALIDAD EN MERIDA,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PARA EL PROGRAMA DE CALIDAD, EQUIDAD Y DESARROLLO EN SALUD".</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PARA LA CONSTRUCCIÓN DE LA INFRAESTRUCTURA HOSPITALARIA DEL ESTADO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PÚBLICO DE ADMINISTRACIÓN E INVERSIÓN IDENTIFICADO CON EL NÚMERO F/ 0007”.</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MAESTRO IRREVOCABLE DE ADMINISTRACIÓN Y FUENTE DE PAGO IDENTIFICADO BAJO EL NÚMERO F/ 0019”.</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MAESTRO IRREVOCABLE DE ADMINISTRACIÓN IDENTIFICADO CON EL NÚMERO F/ 0002”.</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FONDO DE PARTICIPACIÓN CIUDADANA”</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DE ADMINISTRACION, INVERSIÒN Y MEDIO DE PAGO DENOMINADO FIAMBIYUC".</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“FONDO PARA LA CONSOLIDACIÓN Y FOMENTO DEL EMPLEO PERMANENTE EN EL ESTADO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PARA LAS ESCUELAS DE CALIDAD DEL ESTADO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 xml:space="preserve">"FONDO PARA EL FORTALECIMIENTO DE LA EDUCACIÓN SUPERIOR DE MANUTENCIÓN EN </w:t>
      </w:r>
      <w:proofErr w:type="gramStart"/>
      <w:r w:rsidRPr="00A17B33">
        <w:rPr>
          <w:rFonts w:ascii="Calibri" w:hAnsi="Calibri" w:cs="Calibri"/>
          <w:sz w:val="20"/>
          <w:szCs w:val="20"/>
        </w:rPr>
        <w:t>YUCATÁN "</w:t>
      </w:r>
      <w:proofErr w:type="gramEnd"/>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"FONDO DE APOYO AL PROGRAMA DE VIVIENDA MAGISTERIAL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PROGRAMA DE TECNOLOGIAS EDUCATIVAS Y DE LA INFORMACIÓN PARA EL MAGISTERIO DE EDUCACIÓN BÁSICA DEL EDO.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"FONDO DE BECAS ABOGADO FRANCISCO REPETTO MILÁN"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GARANTE DE LA ORQUESTA SINFÓNICA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DE UCÚ”</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PARA EMPRENDEDORES DES ESTADO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“FIDEICOMISO JUSTICIA PENAL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lastRenderedPageBreak/>
        <w:t>•</w:t>
      </w:r>
      <w:r w:rsidRPr="00A17B33">
        <w:rPr>
          <w:rFonts w:ascii="Calibri" w:hAnsi="Calibri" w:cs="Calibri"/>
          <w:sz w:val="20"/>
          <w:szCs w:val="20"/>
        </w:rPr>
        <w:tab/>
        <w:t>“FONDO DE PROMOCIÓN Y FOMENTO A LAS EMPRESAS EN EL ESTADO DE YUCATÁN”</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“PROTEGO F/0199”</w:t>
      </w:r>
    </w:p>
    <w:p w:rsidR="00A17B33" w:rsidRPr="00A17B33" w:rsidRDefault="00A17B33" w:rsidP="00A17B33">
      <w:pPr>
        <w:autoSpaceDE w:val="0"/>
        <w:autoSpaceDN w:val="0"/>
        <w:adjustRightInd w:val="0"/>
        <w:spacing w:line="360" w:lineRule="auto"/>
        <w:rPr>
          <w:rFonts w:ascii="Calibri" w:hAnsi="Calibri" w:cs="Calibri"/>
          <w:sz w:val="20"/>
          <w:szCs w:val="20"/>
        </w:rPr>
      </w:pPr>
      <w:r w:rsidRPr="00A17B33">
        <w:rPr>
          <w:rFonts w:ascii="Calibri" w:hAnsi="Calibri" w:cs="Calibri"/>
          <w:sz w:val="20"/>
          <w:szCs w:val="20"/>
        </w:rPr>
        <w:t>•</w:t>
      </w:r>
      <w:r w:rsidRPr="00A17B33">
        <w:rPr>
          <w:rFonts w:ascii="Calibri" w:hAnsi="Calibri" w:cs="Calibri"/>
          <w:sz w:val="20"/>
          <w:szCs w:val="20"/>
        </w:rPr>
        <w:tab/>
        <w:t>“PROTEGO F/0198”</w:t>
      </w:r>
    </w:p>
    <w:p w:rsidR="00A17B33" w:rsidRDefault="00F34865"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00A17B33" w:rsidRPr="00A17B33">
        <w:rPr>
          <w:rFonts w:ascii="Calibri" w:hAnsi="Calibri" w:cs="Calibri"/>
          <w:sz w:val="20"/>
          <w:szCs w:val="20"/>
        </w:rPr>
        <w:t>“PUESTA EN MARCHA Y CONSTRUCCIÓN DE LA PRIMERA ETAPA DEL CENTRO DE CARGA AEROPUERTARIO DE VALLADOLID”</w:t>
      </w:r>
    </w:p>
    <w:p w:rsidR="00F34865" w:rsidRPr="00392C40" w:rsidRDefault="00F34865" w:rsidP="00A17B33">
      <w:pPr>
        <w:autoSpaceDE w:val="0"/>
        <w:autoSpaceDN w:val="0"/>
        <w:adjustRightInd w:val="0"/>
        <w:spacing w:line="360" w:lineRule="auto"/>
        <w:rPr>
          <w:rFonts w:ascii="Calibri" w:hAnsi="Calibri" w:cs="Calibri"/>
          <w:sz w:val="20"/>
          <w:szCs w:val="20"/>
        </w:rPr>
      </w:pPr>
    </w:p>
    <w:p w:rsidR="00A17B33" w:rsidRPr="0092251F" w:rsidRDefault="00A17B33" w:rsidP="00A17B33">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A17B33" w:rsidRPr="00392C40" w:rsidRDefault="00A17B33" w:rsidP="00A17B33">
      <w:pPr>
        <w:autoSpaceDE w:val="0"/>
        <w:autoSpaceDN w:val="0"/>
        <w:adjustRightInd w:val="0"/>
        <w:spacing w:line="360" w:lineRule="auto"/>
        <w:jc w:val="both"/>
        <w:rPr>
          <w:rFonts w:ascii="Calibri" w:hAnsi="Calibri" w:cs="Calibri"/>
          <w:sz w:val="18"/>
          <w:szCs w:val="18"/>
        </w:rPr>
      </w:pPr>
    </w:p>
    <w:p w:rsidR="00A17B33" w:rsidRPr="0092251F" w:rsidRDefault="00A17B33" w:rsidP="00A17B33">
      <w:pPr>
        <w:numPr>
          <w:ilvl w:val="0"/>
          <w:numId w:val="26"/>
        </w:numPr>
        <w:autoSpaceDE w:val="0"/>
        <w:autoSpaceDN w:val="0"/>
        <w:adjustRightInd w:val="0"/>
        <w:spacing w:line="360" w:lineRule="auto"/>
        <w:jc w:val="both"/>
        <w:rPr>
          <w:rFonts w:ascii="Calibri" w:hAnsi="Calibri" w:cs="Calibri"/>
          <w:sz w:val="20"/>
          <w:szCs w:val="20"/>
        </w:rPr>
      </w:pPr>
      <w:r w:rsidRPr="00E60278">
        <w:rPr>
          <w:rFonts w:ascii="Calibri" w:hAnsi="Calibri" w:cs="Calibri"/>
          <w:sz w:val="20"/>
          <w:szCs w:val="20"/>
        </w:rPr>
        <w:t xml:space="preserve">En cumplimiento del artículo Tercero Transitorio fracción III, de la Ley General de Contabilidad Gubernamental, el Gobierno del Estado de Yucatán ha publicado al 31 de diciembre de 2013, en el Diario Oficial del Estado, medio oficial de difusión en el Estado,  </w:t>
      </w:r>
      <w:r w:rsidRPr="00BA7F5D">
        <w:rPr>
          <w:rFonts w:ascii="Calibri" w:hAnsi="Calibri" w:cs="Calibri"/>
          <w:sz w:val="20"/>
          <w:szCs w:val="20"/>
        </w:rPr>
        <w:t>los documentos emitidos por el CONAC, en su totalidad en base a</w:t>
      </w:r>
      <w:r>
        <w:rPr>
          <w:rFonts w:ascii="Calibri" w:hAnsi="Calibri" w:cs="Calibri"/>
          <w:sz w:val="20"/>
          <w:szCs w:val="20"/>
        </w:rPr>
        <w:t xml:space="preserve"> </w:t>
      </w:r>
      <w:r w:rsidRPr="00BA7F5D">
        <w:rPr>
          <w:rFonts w:ascii="Calibri" w:hAnsi="Calibri" w:cs="Calibri"/>
          <w:sz w:val="20"/>
          <w:szCs w:val="20"/>
        </w:rPr>
        <w:t>los cuales se realizan los registros para la elaboración de Estados Financieros.</w:t>
      </w:r>
      <w:r w:rsidRPr="00E60278">
        <w:rPr>
          <w:rFonts w:ascii="Calibri" w:hAnsi="Calibri" w:cs="Calibri"/>
          <w:sz w:val="20"/>
          <w:szCs w:val="20"/>
        </w:rPr>
        <w:t xml:space="preserve">  </w:t>
      </w:r>
    </w:p>
    <w:p w:rsidR="00A17B33" w:rsidRPr="0092251F" w:rsidRDefault="00A17B33" w:rsidP="00A17B33">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A17B33" w:rsidRPr="0092251F" w:rsidRDefault="00A17B33"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Postulados básicos de la Contabilidad gubernamental aprobados por la CONAC  y Publicados en el Diario Oficial del Estado para su difusión.</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Sustancia Económica</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Entes Públicos</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Existencia Permanente</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Revelación Suficiente</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Importancia Relativa</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Consolidación de la Información Financiera</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Devengo Contable</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Valuación</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Dualidad Económica</w:t>
      </w:r>
    </w:p>
    <w:p w:rsidR="00A17B33" w:rsidRPr="0092251F" w:rsidRDefault="00A17B33" w:rsidP="00A17B33">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Consistencia</w:t>
      </w:r>
    </w:p>
    <w:p w:rsidR="00A17B33" w:rsidRPr="0092251F" w:rsidRDefault="00A17B33"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A17B33" w:rsidRPr="0092251F" w:rsidRDefault="00A17B33" w:rsidP="00A17B33">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A17B33" w:rsidRPr="0092251F" w:rsidRDefault="00A17B33" w:rsidP="00A17B33">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Internacionales de Contabilidad para el sector público (NICSP) emitidas por la junta de Normas Internacionales de Contabilidad del Sector Público.</w:t>
      </w:r>
    </w:p>
    <w:p w:rsidR="00A17B33" w:rsidRPr="0092251F" w:rsidRDefault="00A17B33" w:rsidP="00A17B33">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A17B33" w:rsidRPr="00392C40" w:rsidRDefault="00A17B33" w:rsidP="00A17B33">
      <w:pPr>
        <w:autoSpaceDE w:val="0"/>
        <w:autoSpaceDN w:val="0"/>
        <w:adjustRightInd w:val="0"/>
        <w:spacing w:line="360" w:lineRule="auto"/>
        <w:ind w:left="720"/>
        <w:jc w:val="both"/>
        <w:rPr>
          <w:rFonts w:ascii="Calibri" w:hAnsi="Calibri" w:cs="Calibri"/>
          <w:sz w:val="18"/>
          <w:szCs w:val="18"/>
        </w:rPr>
      </w:pPr>
    </w:p>
    <w:p w:rsidR="00A17B33" w:rsidRPr="00392C40" w:rsidRDefault="00A17B33" w:rsidP="00A17B33">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A17B33" w:rsidRPr="00392C40" w:rsidRDefault="00A17B33" w:rsidP="00A17B33">
      <w:pPr>
        <w:autoSpaceDE w:val="0"/>
        <w:autoSpaceDN w:val="0"/>
        <w:adjustRightInd w:val="0"/>
        <w:spacing w:line="360" w:lineRule="auto"/>
        <w:rPr>
          <w:rFonts w:ascii="Eras Medium ITC" w:hAnsi="Eras Medium ITC" w:cs="Eras Medium ITC"/>
          <w:b/>
        </w:rPr>
      </w:pPr>
    </w:p>
    <w:p w:rsidR="00A17B33" w:rsidRPr="0092251F" w:rsidRDefault="00A17B33" w:rsidP="00A17B33">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A17B33" w:rsidRPr="0092251F" w:rsidRDefault="00A17B33" w:rsidP="00A17B33">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A17B33" w:rsidRPr="0092251F" w:rsidRDefault="00A17B33" w:rsidP="00A17B33">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A17B33" w:rsidRPr="0092251F" w:rsidRDefault="00A17B33" w:rsidP="00A17B33">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A17B33" w:rsidRPr="0092251F" w:rsidRDefault="00A17B33" w:rsidP="00A17B33">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A17B33" w:rsidRPr="0092251F" w:rsidRDefault="00A17B33" w:rsidP="00A17B33">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A17B33" w:rsidRDefault="00A17B33" w:rsidP="00A17B33">
      <w:pPr>
        <w:autoSpaceDE w:val="0"/>
        <w:autoSpaceDN w:val="0"/>
        <w:adjustRightInd w:val="0"/>
        <w:spacing w:line="360" w:lineRule="auto"/>
        <w:rPr>
          <w:rFonts w:ascii="Eras Medium ITC" w:hAnsi="Eras Medium ITC" w:cs="Eras Medium ITC"/>
          <w:b/>
        </w:rPr>
      </w:pPr>
    </w:p>
    <w:p w:rsidR="006A0BB0" w:rsidRPr="00392C40" w:rsidRDefault="006A0BB0" w:rsidP="00A17B33">
      <w:pPr>
        <w:autoSpaceDE w:val="0"/>
        <w:autoSpaceDN w:val="0"/>
        <w:adjustRightInd w:val="0"/>
        <w:spacing w:line="360" w:lineRule="auto"/>
        <w:rPr>
          <w:rFonts w:ascii="Eras Medium ITC" w:hAnsi="Eras Medium ITC" w:cs="Eras Medium ITC"/>
          <w:b/>
        </w:rPr>
      </w:pPr>
    </w:p>
    <w:p w:rsidR="00A17B33" w:rsidRPr="00392C40" w:rsidRDefault="00A17B33" w:rsidP="00A17B33">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lastRenderedPageBreak/>
        <w:t>7.- Posición en Moneda Extranjera y Protección por Riesgo Cambiario.</w:t>
      </w:r>
    </w:p>
    <w:p w:rsidR="00A17B33" w:rsidRPr="0092251F" w:rsidRDefault="00A17B33" w:rsidP="00A17B33">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a)  La administración Pública centralizada del Estado al 31 de diciembre de 2013, tiene las siguientes cuentas bancarias en Dólares.</w:t>
      </w:r>
    </w:p>
    <w:p w:rsidR="00A17B33" w:rsidRPr="0092251F" w:rsidRDefault="00A17B33" w:rsidP="00A17B33">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00602285906 con un saldo contable de $ 10</w:t>
      </w:r>
      <w:r w:rsidR="006A0BB0">
        <w:rPr>
          <w:rFonts w:ascii="Calibri" w:hAnsi="Calibri" w:cs="Calibri"/>
          <w:sz w:val="20"/>
          <w:szCs w:val="20"/>
        </w:rPr>
        <w:t>.48</w:t>
      </w:r>
      <w:r w:rsidRPr="0092251F">
        <w:rPr>
          <w:rFonts w:ascii="Calibri" w:hAnsi="Calibri" w:cs="Calibri"/>
          <w:sz w:val="20"/>
          <w:szCs w:val="20"/>
        </w:rPr>
        <w:t xml:space="preserve"> Dólares.</w:t>
      </w:r>
    </w:p>
    <w:p w:rsidR="00A17B33" w:rsidRPr="0092251F" w:rsidRDefault="00A17B33" w:rsidP="00A17B33">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17365435 con un saldo contable de $ 1,214.72 Dólares.</w:t>
      </w:r>
    </w:p>
    <w:p w:rsidR="00A17B33" w:rsidRPr="0092251F" w:rsidRDefault="006A0BB0" w:rsidP="00A17B33">
      <w:pPr>
        <w:autoSpaceDE w:val="0"/>
        <w:autoSpaceDN w:val="0"/>
        <w:adjustRightInd w:val="0"/>
        <w:spacing w:line="360" w:lineRule="auto"/>
        <w:rPr>
          <w:rFonts w:ascii="Eras Medium ITC" w:hAnsi="Eras Medium ITC" w:cs="Eras Medium ITC"/>
          <w:b/>
          <w:sz w:val="20"/>
          <w:szCs w:val="20"/>
        </w:rPr>
      </w:pPr>
      <w:r>
        <w:rPr>
          <w:rFonts w:ascii="Calibri" w:hAnsi="Calibri" w:cs="Calibri"/>
          <w:sz w:val="20"/>
          <w:szCs w:val="20"/>
        </w:rPr>
        <w:t>b)  Al 31 de diciembre de 2017</w:t>
      </w:r>
      <w:r w:rsidR="00A17B33" w:rsidRPr="0092251F">
        <w:rPr>
          <w:rFonts w:ascii="Calibri" w:hAnsi="Calibri" w:cs="Calibri"/>
          <w:sz w:val="20"/>
          <w:szCs w:val="20"/>
        </w:rPr>
        <w:t>, el Poder Ejecutivo del Gobierno del Estado  no tiene pasivos en moneda extranjera.</w:t>
      </w:r>
    </w:p>
    <w:p w:rsidR="00A17B33" w:rsidRPr="00392C40" w:rsidRDefault="00A17B33" w:rsidP="00A17B33">
      <w:pPr>
        <w:autoSpaceDE w:val="0"/>
        <w:autoSpaceDN w:val="0"/>
        <w:adjustRightInd w:val="0"/>
        <w:spacing w:line="360" w:lineRule="auto"/>
        <w:rPr>
          <w:rFonts w:ascii="Eras Medium ITC" w:hAnsi="Eras Medium ITC" w:cs="Eras Medium ITC"/>
          <w:b/>
        </w:rPr>
      </w:pPr>
    </w:p>
    <w:p w:rsidR="00A17B33" w:rsidRPr="00392C40" w:rsidRDefault="00A17B33" w:rsidP="00A17B33">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8.- Reporte Analítico del Activo.</w:t>
      </w:r>
    </w:p>
    <w:p w:rsidR="00A17B33" w:rsidRPr="00EC098D" w:rsidRDefault="00A17B33" w:rsidP="00A17B33">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A17B33" w:rsidRDefault="00A17B33" w:rsidP="00A17B33">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A17B33" w:rsidRPr="0092251F" w:rsidRDefault="00A17B33" w:rsidP="00A17B33">
      <w:pPr>
        <w:autoSpaceDE w:val="0"/>
        <w:autoSpaceDN w:val="0"/>
        <w:adjustRightInd w:val="0"/>
        <w:spacing w:line="360" w:lineRule="auto"/>
        <w:rPr>
          <w:rFonts w:ascii="Calibri" w:hAnsi="Calibri" w:cs="Calibri"/>
          <w:sz w:val="20"/>
          <w:szCs w:val="20"/>
        </w:rPr>
      </w:pPr>
    </w:p>
    <w:p w:rsidR="00A17B33" w:rsidRDefault="00A17B33" w:rsidP="006A0BB0">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9.- Calificaciones Otorgadas.</w:t>
      </w:r>
    </w:p>
    <w:p w:rsidR="006A0BB0" w:rsidRDefault="006A0BB0" w:rsidP="006A0BB0">
      <w:pPr>
        <w:autoSpaceDE w:val="0"/>
        <w:autoSpaceDN w:val="0"/>
        <w:adjustRightInd w:val="0"/>
        <w:spacing w:line="360" w:lineRule="auto"/>
        <w:rPr>
          <w:rFonts w:ascii="Calibri" w:hAnsi="Calibri"/>
          <w:b/>
          <w:bCs/>
          <w:sz w:val="20"/>
          <w:szCs w:val="20"/>
        </w:rPr>
      </w:pPr>
    </w:p>
    <w:p w:rsidR="006A0BB0" w:rsidRPr="006A0BB0" w:rsidRDefault="006A0BB0" w:rsidP="006A0BB0">
      <w:pPr>
        <w:autoSpaceDE w:val="0"/>
        <w:autoSpaceDN w:val="0"/>
        <w:adjustRightInd w:val="0"/>
        <w:spacing w:line="360" w:lineRule="auto"/>
        <w:rPr>
          <w:rFonts w:ascii="Calibri" w:hAnsi="Calibri"/>
          <w:b/>
          <w:bCs/>
          <w:sz w:val="20"/>
          <w:szCs w:val="20"/>
        </w:rPr>
      </w:pPr>
      <w:r w:rsidRPr="006A0BB0">
        <w:rPr>
          <w:rFonts w:ascii="Calibri" w:hAnsi="Calibri"/>
          <w:b/>
          <w:bCs/>
          <w:sz w:val="20"/>
          <w:szCs w:val="20"/>
        </w:rPr>
        <w:t>a)  Los Finanzas Públicas del  Poder Ejecutivo, fueron calificadas por:</w:t>
      </w:r>
    </w:p>
    <w:p w:rsidR="006A0BB0" w:rsidRPr="006A0BB0" w:rsidRDefault="006A0BB0" w:rsidP="006A0BB0">
      <w:pPr>
        <w:autoSpaceDE w:val="0"/>
        <w:autoSpaceDN w:val="0"/>
        <w:adjustRightInd w:val="0"/>
        <w:spacing w:line="360" w:lineRule="auto"/>
        <w:rPr>
          <w:rFonts w:ascii="Calibri" w:hAnsi="Calibri"/>
          <w:b/>
          <w:bCs/>
          <w:sz w:val="20"/>
          <w:szCs w:val="20"/>
        </w:rPr>
      </w:pPr>
    </w:p>
    <w:p w:rsidR="006A0BB0" w:rsidRPr="006A0BB0" w:rsidRDefault="006A0BB0" w:rsidP="006A0BB0">
      <w:pPr>
        <w:autoSpaceDE w:val="0"/>
        <w:autoSpaceDN w:val="0"/>
        <w:adjustRightInd w:val="0"/>
        <w:spacing w:line="360" w:lineRule="auto"/>
        <w:rPr>
          <w:rFonts w:ascii="Calibri" w:hAnsi="Calibri"/>
          <w:b/>
          <w:bCs/>
          <w:sz w:val="20"/>
          <w:szCs w:val="20"/>
        </w:rPr>
      </w:pPr>
      <w:r w:rsidRPr="006A0BB0">
        <w:rPr>
          <w:rFonts w:ascii="Calibri" w:hAnsi="Calibri"/>
          <w:b/>
          <w:bCs/>
          <w:sz w:val="20"/>
          <w:szCs w:val="20"/>
        </w:rPr>
        <w:t>•</w:t>
      </w:r>
      <w:r w:rsidRPr="006A0BB0">
        <w:rPr>
          <w:rFonts w:ascii="Calibri" w:hAnsi="Calibri"/>
          <w:b/>
          <w:bCs/>
          <w:sz w:val="20"/>
          <w:szCs w:val="20"/>
        </w:rPr>
        <w:tab/>
        <w:t xml:space="preserve">HR Ratings de México, S.A. de C.V.  </w:t>
      </w:r>
      <w:proofErr w:type="gramStart"/>
      <w:r w:rsidRPr="006A0BB0">
        <w:rPr>
          <w:rFonts w:ascii="Calibri" w:hAnsi="Calibri"/>
          <w:b/>
          <w:bCs/>
          <w:sz w:val="20"/>
          <w:szCs w:val="20"/>
        </w:rPr>
        <w:t>mantiene</w:t>
      </w:r>
      <w:proofErr w:type="gramEnd"/>
      <w:r w:rsidRPr="006A0BB0">
        <w:rPr>
          <w:rFonts w:ascii="Calibri" w:hAnsi="Calibri"/>
          <w:b/>
          <w:bCs/>
          <w:sz w:val="20"/>
          <w:szCs w:val="20"/>
        </w:rPr>
        <w:t xml:space="preserve"> la calificación de HR AA- con perspectiva estable, y de acuerdo al comunicado de prensa de la Calificadora el alza de la calificación se debió al buen comportamiento de las principales métricas de Deuda del Estado.</w:t>
      </w:r>
    </w:p>
    <w:p w:rsidR="006A0BB0" w:rsidRPr="006A0BB0" w:rsidRDefault="006A0BB0" w:rsidP="006A0BB0">
      <w:pPr>
        <w:autoSpaceDE w:val="0"/>
        <w:autoSpaceDN w:val="0"/>
        <w:adjustRightInd w:val="0"/>
        <w:spacing w:line="360" w:lineRule="auto"/>
        <w:rPr>
          <w:rFonts w:ascii="Calibri" w:hAnsi="Calibri"/>
          <w:b/>
          <w:bCs/>
          <w:sz w:val="20"/>
          <w:szCs w:val="20"/>
        </w:rPr>
      </w:pPr>
    </w:p>
    <w:p w:rsidR="006A0BB0" w:rsidRPr="006936E6" w:rsidRDefault="006A0BB0" w:rsidP="006A0BB0">
      <w:pPr>
        <w:autoSpaceDE w:val="0"/>
        <w:autoSpaceDN w:val="0"/>
        <w:adjustRightInd w:val="0"/>
        <w:spacing w:line="360" w:lineRule="auto"/>
        <w:rPr>
          <w:rFonts w:ascii="Calibri" w:hAnsi="Calibri"/>
          <w:b/>
          <w:bCs/>
          <w:sz w:val="20"/>
          <w:szCs w:val="20"/>
        </w:rPr>
      </w:pPr>
      <w:r w:rsidRPr="006A0BB0">
        <w:rPr>
          <w:rFonts w:ascii="Calibri" w:hAnsi="Calibri"/>
          <w:b/>
          <w:bCs/>
          <w:sz w:val="20"/>
          <w:szCs w:val="20"/>
        </w:rPr>
        <w:lastRenderedPageBreak/>
        <w:t>•</w:t>
      </w:r>
      <w:r w:rsidRPr="006A0BB0">
        <w:rPr>
          <w:rFonts w:ascii="Calibri" w:hAnsi="Calibri"/>
          <w:b/>
          <w:bCs/>
          <w:sz w:val="20"/>
          <w:szCs w:val="20"/>
        </w:rPr>
        <w:tab/>
        <w:t>Fitch Ratings México, S.A. de C.V. mantiene la calificación de ‘A (mex)’ a la calidad crediticia del Estado de Yucatán, la perspectiva crediticia es ‘estable’.  La calificación se sustenta en la continuidad de sus fortalezas principales, las cuales son: su endeudamiento a largo plazo bajo con términos y condiciones favorables; su posición de liquidez y niveles de pasivos no bancarios adecuados; así como sus prácticas y políticas administrativas buenas.</w:t>
      </w:r>
    </w:p>
    <w:p w:rsidR="00B8021D" w:rsidRDefault="00B8021D" w:rsidP="00A17B33">
      <w:pPr>
        <w:autoSpaceDE w:val="0"/>
        <w:autoSpaceDN w:val="0"/>
        <w:adjustRightInd w:val="0"/>
        <w:spacing w:line="360" w:lineRule="auto"/>
        <w:rPr>
          <w:b/>
        </w:rPr>
      </w:pPr>
    </w:p>
    <w:p w:rsidR="00B8021D" w:rsidRDefault="00B8021D" w:rsidP="00A17B33">
      <w:pPr>
        <w:autoSpaceDE w:val="0"/>
        <w:autoSpaceDN w:val="0"/>
        <w:adjustRightInd w:val="0"/>
        <w:spacing w:line="360" w:lineRule="auto"/>
        <w:rPr>
          <w:b/>
        </w:rPr>
      </w:pPr>
    </w:p>
    <w:p w:rsidR="00A17B33" w:rsidRPr="00392C40" w:rsidRDefault="00A17B33" w:rsidP="00A17B33">
      <w:pPr>
        <w:autoSpaceDE w:val="0"/>
        <w:autoSpaceDN w:val="0"/>
        <w:adjustRightInd w:val="0"/>
        <w:spacing w:line="360" w:lineRule="auto"/>
        <w:rPr>
          <w:b/>
        </w:rPr>
      </w:pPr>
      <w:r w:rsidRPr="00392C40">
        <w:rPr>
          <w:b/>
        </w:rPr>
        <w:t>NOTAS DE DESGLOCE</w:t>
      </w:r>
    </w:p>
    <w:p w:rsidR="00A17B33" w:rsidRPr="00392C40" w:rsidRDefault="00A17B33" w:rsidP="00A17B33">
      <w:pPr>
        <w:autoSpaceDE w:val="0"/>
        <w:autoSpaceDN w:val="0"/>
        <w:adjustRightInd w:val="0"/>
        <w:spacing w:line="360" w:lineRule="auto"/>
        <w:rPr>
          <w:b/>
        </w:rPr>
      </w:pPr>
      <w:r w:rsidRPr="00392C40">
        <w:rPr>
          <w:b/>
        </w:rPr>
        <w:t>1) NOTAS AL ESTADO DE SITUACIÓN FINANCIERA.</w:t>
      </w:r>
    </w:p>
    <w:p w:rsidR="00A17B33" w:rsidRPr="00392C40" w:rsidRDefault="00A17B33" w:rsidP="00A17B33">
      <w:pPr>
        <w:autoSpaceDE w:val="0"/>
        <w:autoSpaceDN w:val="0"/>
        <w:adjustRightInd w:val="0"/>
        <w:spacing w:line="360" w:lineRule="auto"/>
        <w:ind w:left="720"/>
        <w:jc w:val="both"/>
        <w:rPr>
          <w:rFonts w:ascii="Calibri" w:hAnsi="Calibri" w:cs="Calibri"/>
          <w:sz w:val="18"/>
          <w:szCs w:val="18"/>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1.- La cuenta de bancos y la de inversiones temporal</w:t>
      </w:r>
      <w:r w:rsidR="00B8021D">
        <w:rPr>
          <w:rFonts w:ascii="Calibri" w:hAnsi="Calibri" w:cs="Calibri"/>
          <w:sz w:val="20"/>
          <w:szCs w:val="20"/>
        </w:rPr>
        <w:t>es que integra el 87.56%</w:t>
      </w:r>
      <w:r w:rsidRPr="0092251F">
        <w:rPr>
          <w:rFonts w:ascii="Calibri" w:hAnsi="Calibri" w:cs="Calibri"/>
          <w:sz w:val="20"/>
          <w:szCs w:val="20"/>
        </w:rPr>
        <w:t xml:space="preserve">  de la cuenta de efectivo y equivalentes se encuentra integrada por tipo de cuenta bancaria de la siguiente manera:</w:t>
      </w:r>
    </w:p>
    <w:p w:rsidR="00A17B33" w:rsidRPr="0092251F" w:rsidRDefault="00A17B33"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1488"/>
        <w:gridCol w:w="2190"/>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jc w:val="center"/>
              <w:rPr>
                <w:rFonts w:ascii="Calibri" w:hAnsi="Calibri" w:cs="Calibri"/>
                <w:b/>
                <w:sz w:val="20"/>
                <w:szCs w:val="20"/>
              </w:rPr>
            </w:pPr>
            <w:bookmarkStart w:id="2" w:name="m1"/>
            <w:bookmarkEnd w:id="2"/>
            <w:r>
              <w:rPr>
                <w:rFonts w:ascii="Calibri" w:hAnsi="Calibri" w:cs="Calibri"/>
                <w:b/>
                <w:sz w:val="20"/>
                <w:szCs w:val="20"/>
              </w:rPr>
              <w:t>Tipo de Banco</w:t>
            </w:r>
          </w:p>
        </w:tc>
        <w:tc>
          <w:tcPr>
            <w:tcW w:w="0" w:type="auto"/>
            <w:shd w:val="clear" w:color="auto" w:fill="auto"/>
          </w:tcPr>
          <w:p w:rsidR="00A17B33" w:rsidRPr="001624A3" w:rsidRDefault="00A17B33" w:rsidP="00A17B33">
            <w:pPr>
              <w:autoSpaceDE w:val="0"/>
              <w:autoSpaceDN w:val="0"/>
              <w:adjustRightInd w:val="0"/>
              <w:spacing w:line="360" w:lineRule="auto"/>
              <w:jc w:val="center"/>
              <w:rPr>
                <w:rFonts w:ascii="Calibri" w:hAnsi="Calibri" w:cs="Calibri"/>
                <w:b/>
                <w:sz w:val="20"/>
                <w:szCs w:val="20"/>
              </w:rPr>
            </w:pPr>
            <w:r>
              <w:rPr>
                <w:rFonts w:ascii="Calibri" w:hAnsi="Calibri" w:cs="Calibri"/>
                <w:b/>
                <w:sz w:val="20"/>
                <w:szCs w:val="20"/>
              </w:rPr>
              <w:t>Bancos</w:t>
            </w:r>
          </w:p>
        </w:tc>
        <w:tc>
          <w:tcPr>
            <w:tcW w:w="0" w:type="auto"/>
            <w:shd w:val="clear" w:color="auto" w:fill="auto"/>
          </w:tcPr>
          <w:p w:rsidR="00A17B33" w:rsidRPr="001624A3" w:rsidRDefault="00A17B33" w:rsidP="00A17B33">
            <w:pPr>
              <w:autoSpaceDE w:val="0"/>
              <w:autoSpaceDN w:val="0"/>
              <w:adjustRightInd w:val="0"/>
              <w:spacing w:line="360" w:lineRule="auto"/>
              <w:jc w:val="center"/>
              <w:rPr>
                <w:rFonts w:ascii="Calibri" w:hAnsi="Calibri" w:cs="Calibri"/>
                <w:b/>
                <w:sz w:val="20"/>
                <w:szCs w:val="20"/>
              </w:rPr>
            </w:pPr>
            <w:r>
              <w:rPr>
                <w:rFonts w:ascii="Calibri" w:hAnsi="Calibri" w:cs="Calibri"/>
                <w:b/>
                <w:sz w:val="20"/>
                <w:szCs w:val="20"/>
              </w:rPr>
              <w:t>Inversiones Temporales</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558,989,778.27</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275,352,518.62</w:t>
            </w:r>
          </w:p>
        </w:tc>
      </w:tr>
    </w:tbl>
    <w:p w:rsidR="00A17B33" w:rsidRDefault="00A17B33" w:rsidP="00A17B33">
      <w:pPr>
        <w:autoSpaceDE w:val="0"/>
        <w:autoSpaceDN w:val="0"/>
        <w:adjustRightInd w:val="0"/>
        <w:spacing w:line="360" w:lineRule="auto"/>
        <w:jc w:val="both"/>
        <w:rPr>
          <w:rFonts w:ascii="Calibri" w:hAnsi="Calibri" w:cs="Calibri"/>
          <w:sz w:val="20"/>
          <w:szCs w:val="20"/>
        </w:rPr>
      </w:pPr>
    </w:p>
    <w:p w:rsidR="00A17B33" w:rsidRDefault="00A17B33" w:rsidP="00A17B33">
      <w:pPr>
        <w:autoSpaceDE w:val="0"/>
        <w:autoSpaceDN w:val="0"/>
        <w:adjustRightInd w:val="0"/>
        <w:spacing w:line="360" w:lineRule="auto"/>
        <w:jc w:val="both"/>
        <w:rPr>
          <w:rFonts w:ascii="Calibri" w:hAnsi="Calibri" w:cs="Calibri"/>
          <w:sz w:val="20"/>
          <w:szCs w:val="20"/>
        </w:rPr>
      </w:pPr>
    </w:p>
    <w:p w:rsidR="00B8021D" w:rsidRPr="0092251F" w:rsidRDefault="00B8021D"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t>Así mismo, la cuenta de depósitos de fondos de terceros en garantía y/o adminis</w:t>
      </w:r>
      <w:r w:rsidR="00B8021D">
        <w:rPr>
          <w:rFonts w:ascii="Calibri" w:hAnsi="Calibri" w:cs="Calibri"/>
          <w:sz w:val="20"/>
          <w:szCs w:val="20"/>
        </w:rPr>
        <w:t>tración la cual representa el 6.6</w:t>
      </w:r>
      <w:r w:rsidRPr="00ED0B3B">
        <w:rPr>
          <w:rFonts w:ascii="Calibri" w:hAnsi="Calibri" w:cs="Calibri"/>
          <w:sz w:val="20"/>
          <w:szCs w:val="20"/>
        </w:rPr>
        <w:t>%, corresponde al saldo de ejercicio del Fondo de Aportación para la Educación Básica.</w:t>
      </w:r>
    </w:p>
    <w:p w:rsidR="00A17B33" w:rsidRPr="00392C40" w:rsidRDefault="00A17B33" w:rsidP="00A17B33">
      <w:pPr>
        <w:autoSpaceDE w:val="0"/>
        <w:autoSpaceDN w:val="0"/>
        <w:adjustRightInd w:val="0"/>
        <w:spacing w:line="360" w:lineRule="auto"/>
        <w:jc w:val="both"/>
        <w:rPr>
          <w:rFonts w:ascii="Calibri" w:hAnsi="Calibri" w:cs="Calibri"/>
          <w:sz w:val="18"/>
          <w:szCs w:val="18"/>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p w:rsidR="00A17B33" w:rsidRPr="0092251F" w:rsidRDefault="00A17B33" w:rsidP="00A17B33">
      <w:pPr>
        <w:autoSpaceDE w:val="0"/>
        <w:autoSpaceDN w:val="0"/>
        <w:adjustRightInd w:val="0"/>
        <w:spacing w:line="360" w:lineRule="auto"/>
        <w:jc w:val="both"/>
        <w:rPr>
          <w:rFonts w:ascii="Calibri" w:hAnsi="Calibri" w:cs="Calibri"/>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2"/>
        <w:gridCol w:w="1488"/>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bookmarkStart w:id="3" w:name="m2"/>
            <w:bookmarkEnd w:id="3"/>
            <w:r>
              <w:rPr>
                <w:rFonts w:ascii="Calibri" w:hAnsi="Calibri" w:cs="Calibri"/>
                <w:b/>
                <w:sz w:val="20"/>
                <w:szCs w:val="20"/>
              </w:rPr>
              <w:t>DERECHOS A RECIBIR EFECTIVO O EQUIVALENTES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CUENTAS POR COBRAR A CORTO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CHEQUES REBOTADOS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1,820,912.72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CUENTAS POR COBRAR A MUNICIPIOS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12,999,780.66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DEUDORES DIVERSOS POR COBRAR A CORTO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CREDITOS PUENTE</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271,967,858.10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SUBSIDIO AL EMPLEO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141,020.87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DEUDORES DIVERSOS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96,977,974.39</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OTROS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8,446,059.46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INGRESOS POR RECUPERAR A CORTO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CARTERAS DE LA AAFY</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3,486,326.39</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PRÉSTAMOS OTORGADOS A CORTO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49,039,160.00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444,879,092.59</w:t>
            </w:r>
          </w:p>
        </w:tc>
      </w:tr>
    </w:tbl>
    <w:p w:rsidR="00A17B33" w:rsidRDefault="00A17B33" w:rsidP="00A17B33">
      <w:pPr>
        <w:autoSpaceDE w:val="0"/>
        <w:autoSpaceDN w:val="0"/>
        <w:adjustRightInd w:val="0"/>
        <w:spacing w:line="360" w:lineRule="auto"/>
        <w:jc w:val="both"/>
        <w:rPr>
          <w:rFonts w:ascii="Calibri" w:hAnsi="Calibri" w:cs="Calibri"/>
          <w:sz w:val="20"/>
          <w:szCs w:val="20"/>
        </w:rPr>
      </w:pPr>
    </w:p>
    <w:p w:rsidR="00A17B33" w:rsidRDefault="00A17B33" w:rsidP="00A17B33">
      <w:pPr>
        <w:autoSpaceDE w:val="0"/>
        <w:autoSpaceDN w:val="0"/>
        <w:adjustRightInd w:val="0"/>
        <w:spacing w:line="360" w:lineRule="auto"/>
        <w:jc w:val="both"/>
        <w:rPr>
          <w:rFonts w:ascii="Calibri" w:hAnsi="Calibri" w:cs="Calibri"/>
          <w:sz w:val="20"/>
          <w:szCs w:val="20"/>
        </w:rPr>
      </w:pPr>
    </w:p>
    <w:p w:rsidR="00B8021D" w:rsidRPr="0092251F" w:rsidRDefault="00B8021D"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3.- El saldo del rubro Bienes muebles e inmuebles que figura en el Estado de situación financiera, se integra como sigue:</w:t>
      </w:r>
    </w:p>
    <w:p w:rsidR="00A17B33" w:rsidRPr="0092251F" w:rsidRDefault="00A17B33" w:rsidP="00A17B33">
      <w:pPr>
        <w:autoSpaceDE w:val="0"/>
        <w:autoSpaceDN w:val="0"/>
        <w:adjustRightInd w:val="0"/>
        <w:spacing w:line="360" w:lineRule="auto"/>
        <w:jc w:val="both"/>
        <w:rPr>
          <w:rFonts w:ascii="Calibri" w:hAnsi="Calibri" w:cs="Calibri"/>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1"/>
        <w:gridCol w:w="1641"/>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bookmarkStart w:id="4" w:name="m3"/>
            <w:bookmarkEnd w:id="4"/>
            <w:r>
              <w:rPr>
                <w:rFonts w:ascii="Calibri" w:hAnsi="Calibri" w:cs="Calibri"/>
                <w:b/>
                <w:sz w:val="20"/>
                <w:szCs w:val="20"/>
              </w:rPr>
              <w:t>BIENES INMUEBLES, MUEBLES E INTANGIBLES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BIENES INMUEBLES, INFRAESTRUCTURA Y CONSTRUCCIONES EN PROCESO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TERRENOS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526,501,180.77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VIVIENDAS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6,486,036.70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EDIFICIOS NO HABITACIONALES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2,423,733,175.18</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INFRAESTRUCTURA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80,362,607.17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CONSTRUCCIONES EN PROCESO EN BIENES DE DOMINIO PÚBLICO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447,041,716.12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CONSTRUCCIONES EN PROCESO EN BIENES PROPIOS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713,350,861.50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BIENES MUEBLES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MOBILIARIO Y EQUIPO DE ADMINISTRACIÓN</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1,416,532,291.13</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MOBILIARIO Y EQUIPO EDUCACIONAL Y RECREATIVO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227,662,222.56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EQUIPO E INSTRUMENTAL MÉDICO Y DE LABORATORIO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48,146,869.09</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VEHÍCULOS Y EQUIPO DE TRANSPORTE</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683,820,517.21</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EQUIPO DE DEFENSA Y SEGURIDAD</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28,256,729.69</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MAQUINARIA, OTROS EQUIPOS Y HERRAMIENTAS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380,256,349.82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COLECCIONES, OBRAS DE ARTE Y OBJETOS VALIOSOS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22,119,595.15</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ACTIVOS BIOLÓGICOS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591,600.00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ACTIVOS INTANGIBLES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SOFTWARE</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21,505,487.22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lastRenderedPageBreak/>
              <w:t>LICENCIAS</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126,789,368.66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7,153,156,607.97</w:t>
            </w:r>
          </w:p>
        </w:tc>
      </w:tr>
    </w:tbl>
    <w:p w:rsidR="00A17B33" w:rsidRDefault="00A17B33"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4.- El saldo del rubro de Inversiones Financieras, se integra como sigue:</w:t>
      </w:r>
    </w:p>
    <w:p w:rsidR="00A17B33" w:rsidRPr="0092251F" w:rsidRDefault="00A17B33" w:rsidP="00A17B33">
      <w:pPr>
        <w:autoSpaceDE w:val="0"/>
        <w:autoSpaceDN w:val="0"/>
        <w:adjustRightInd w:val="0"/>
        <w:spacing w:line="360" w:lineRule="auto"/>
        <w:jc w:val="both"/>
        <w:rPr>
          <w:rFonts w:ascii="Calibri" w:hAnsi="Calibri" w:cs="Calibri"/>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7"/>
        <w:gridCol w:w="1641"/>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bookmarkStart w:id="5" w:name="m4"/>
            <w:bookmarkEnd w:id="5"/>
            <w:r>
              <w:rPr>
                <w:rFonts w:ascii="Calibri" w:hAnsi="Calibri" w:cs="Calibri"/>
                <w:b/>
                <w:sz w:val="20"/>
                <w:szCs w:val="20"/>
              </w:rPr>
              <w:t>INVERSIONES FINANCIERAS A LARGO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INVERSIONES A LARGO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INVERSIONES A LARGO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9,310,142.00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INVERSIONES EN ACCIONES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SISTEMA TELE YUCATAN SA.DE CV.</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18,169,600.00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CTRO.DESARROLLO NEGOCIOS INTERNALES.YUC.</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4,239,156.72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SOCIEDAD COOPERATIVA DE PROD. LECHERA S.C.L.</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453,748.92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AEROPUERTO DE CHICHEN ITZA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185,290,117.74</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PROCESADORA DE BEBIDAS DE YUCATAN, SA DE CV.</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3,000,000.00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TALLERES GRÁFICOS DEL SUDESTE, S.A.  DE C.V.</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7,007,315.19</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INVERSIONES EN FIDEICOMISOS Y FONDOS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FIDEICOMISO CONST-AUTOP.KANTUNIL-CANCUN</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87,531,686.00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FONDO ESTATAL PARA EL FOMENTO DEL EMPLEO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14,802,000.00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FONDO DE APOYO PRODUCTIVIDAD AGROP. DEL ESTADO DE YUCATAN</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11,695,336.26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lastRenderedPageBreak/>
              <w:t>FIDEICOMISOS, MANDATOS Y CONTRATOS ANÁLOGOS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FIDEICOMISOS, MANDATOS Y CONTRATIOS ÁNALOGOS DEL PODER EJECUTIVO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DESPACHO DEL GOBERNADOR</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18,730,103.24</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GENERAL DE GOBIERNO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9,630,873.40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DE OBRAS PUBLICAS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1,505,976.74</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DE SEGURIDAD PUBLICA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32,033,540.17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DE EDUCACIÓN</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33,742,258.60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DE DESARROLLO RURAL</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74,385,349.29</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DE FOMENTO ECONOMICO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42,897,650.44</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DE FOMENTO TURISTICO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53,845,172.74</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SECRETARÍA DE DESARROLLO URBANO Y MEDIO AMBIENTE</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11,241,988.38</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DE SALUD</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2,158,070.90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DE ADMINISTRACIÓN Y FINANZAS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284,746,672.57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SECRETARIA DE INVESTIGACIÓN, INNOVACIÓN Y EDUCACIÓN SUPERIOR</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164,148,029.36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FIDEICOMISOS, MANDATOS Y CONTRATOS ANALOGOS PÚBLICOS NO EMPRESARIALES Y NO FINANCIEROS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INSTITUTO DE PROCEDIMIENTOS ELECTORALES Y PARTICIPACIÓN CIUDADANA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4,623,765.16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UNIVERSIDAD AUTÓNOMA DE YUCATÁN</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1,427,078.87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PARTICIPACIONES Y APORTACIONES DE CAPITAL</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62,050,088.00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1,138,665,720.69</w:t>
            </w:r>
          </w:p>
        </w:tc>
      </w:tr>
    </w:tbl>
    <w:p w:rsidR="00A17B33" w:rsidRDefault="00A17B33"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5.- El saldo del rubro Otros Activos no circulantes, se integra como sigue:</w:t>
      </w:r>
    </w:p>
    <w:p w:rsidR="00A17B33" w:rsidRPr="0092251F" w:rsidRDefault="00A17B33" w:rsidP="00A17B33">
      <w:pPr>
        <w:autoSpaceDE w:val="0"/>
        <w:autoSpaceDN w:val="0"/>
        <w:adjustRightInd w:val="0"/>
        <w:spacing w:line="360" w:lineRule="auto"/>
        <w:rPr>
          <w:rFonts w:ascii="Calibri" w:hAnsi="Calibri" w:cs="Calibri"/>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488"/>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bookmarkStart w:id="6" w:name="m5"/>
            <w:bookmarkEnd w:id="6"/>
            <w:r>
              <w:rPr>
                <w:rFonts w:ascii="Calibri" w:hAnsi="Calibri" w:cs="Calibri"/>
                <w:b/>
                <w:sz w:val="20"/>
                <w:szCs w:val="20"/>
              </w:rPr>
              <w:t>OTROS ACTIVOS NO CIRCULANTES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INVERSION EN OBRA PUBLICA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171,829,966.72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DEPOSITOS EN GARANTIA</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89,274.35</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171,919,241.07</w:t>
            </w:r>
          </w:p>
        </w:tc>
      </w:tr>
    </w:tbl>
    <w:p w:rsidR="00A17B33" w:rsidRDefault="00A17B33" w:rsidP="00A17B33">
      <w:pPr>
        <w:autoSpaceDE w:val="0"/>
        <w:autoSpaceDN w:val="0"/>
        <w:adjustRightInd w:val="0"/>
        <w:spacing w:line="360" w:lineRule="auto"/>
        <w:rPr>
          <w:rFonts w:ascii="Calibri" w:hAnsi="Calibri" w:cs="Calibri"/>
          <w:sz w:val="20"/>
          <w:szCs w:val="20"/>
        </w:rPr>
      </w:pPr>
    </w:p>
    <w:p w:rsidR="00A17B33" w:rsidRPr="0092251F" w:rsidRDefault="00A17B33" w:rsidP="00A17B33">
      <w:pPr>
        <w:autoSpaceDE w:val="0"/>
        <w:autoSpaceDN w:val="0"/>
        <w:adjustRightInd w:val="0"/>
        <w:spacing w:line="360" w:lineRule="auto"/>
        <w:rPr>
          <w:rFonts w:ascii="Calibri" w:hAnsi="Calibri" w:cs="Calibri"/>
          <w:sz w:val="20"/>
          <w:szCs w:val="20"/>
        </w:rPr>
      </w:pPr>
    </w:p>
    <w:p w:rsidR="00A17B33" w:rsidRPr="0092251F" w:rsidRDefault="00A17B33" w:rsidP="00A17B33">
      <w:pPr>
        <w:autoSpaceDE w:val="0"/>
        <w:autoSpaceDN w:val="0"/>
        <w:adjustRightInd w:val="0"/>
        <w:spacing w:line="360" w:lineRule="auto"/>
        <w:rPr>
          <w:rFonts w:ascii="Calibri" w:hAnsi="Calibri" w:cs="Calibri"/>
          <w:sz w:val="20"/>
          <w:szCs w:val="20"/>
        </w:rPr>
      </w:pPr>
    </w:p>
    <w:p w:rsidR="00A17B33" w:rsidRPr="0092251F" w:rsidRDefault="00A17B33" w:rsidP="00A17B33">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A17B33" w:rsidRDefault="00A17B33" w:rsidP="00A17B33">
      <w:pPr>
        <w:tabs>
          <w:tab w:val="left" w:pos="0"/>
          <w:tab w:val="left" w:pos="540"/>
        </w:tabs>
        <w:autoSpaceDE w:val="0"/>
        <w:autoSpaceDN w:val="0"/>
        <w:adjustRightInd w:val="0"/>
        <w:spacing w:line="360" w:lineRule="auto"/>
        <w:jc w:val="both"/>
        <w:rPr>
          <w:rFonts w:ascii="Calibri" w:hAnsi="Calibri" w:cs="Calibri"/>
          <w:sz w:val="20"/>
          <w:szCs w:val="20"/>
        </w:rPr>
      </w:pPr>
    </w:p>
    <w:p w:rsidR="001B320E" w:rsidRPr="0092251F" w:rsidRDefault="001B320E" w:rsidP="00A17B33">
      <w:pPr>
        <w:tabs>
          <w:tab w:val="left" w:pos="0"/>
          <w:tab w:val="left" w:pos="540"/>
        </w:tabs>
        <w:autoSpaceDE w:val="0"/>
        <w:autoSpaceDN w:val="0"/>
        <w:adjustRightInd w:val="0"/>
        <w:spacing w:line="360" w:lineRule="auto"/>
        <w:jc w:val="both"/>
        <w:rPr>
          <w:rFonts w:ascii="Calibri" w:hAnsi="Calibri" w:cs="Calibri"/>
          <w:sz w:val="20"/>
          <w:szCs w:val="20"/>
        </w:rPr>
      </w:pPr>
    </w:p>
    <w:p w:rsidR="00A17B33" w:rsidRPr="0092251F" w:rsidRDefault="00A17B33" w:rsidP="00A17B33">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p w:rsidR="00A17B33" w:rsidRPr="0092251F" w:rsidRDefault="00A17B33" w:rsidP="00A17B33">
      <w:pPr>
        <w:tabs>
          <w:tab w:val="left" w:pos="540"/>
        </w:tabs>
        <w:autoSpaceDE w:val="0"/>
        <w:autoSpaceDN w:val="0"/>
        <w:adjustRightInd w:val="0"/>
        <w:spacing w:line="360" w:lineRule="auto"/>
        <w:jc w:val="both"/>
        <w:rPr>
          <w:rFonts w:ascii="Calibri" w:hAnsi="Calibri" w:cs="Calibri"/>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1387"/>
      </w:tblGrid>
      <w:tr w:rsidR="00A17B33" w:rsidTr="00A17B33">
        <w:trPr>
          <w:jc w:val="center"/>
        </w:trPr>
        <w:tc>
          <w:tcPr>
            <w:tcW w:w="0" w:type="auto"/>
            <w:shd w:val="clear" w:color="auto" w:fill="auto"/>
          </w:tcPr>
          <w:p w:rsidR="00A17B33" w:rsidRPr="001624A3" w:rsidRDefault="00A17B33" w:rsidP="00A17B33">
            <w:pPr>
              <w:tabs>
                <w:tab w:val="left" w:pos="540"/>
              </w:tabs>
              <w:autoSpaceDE w:val="0"/>
              <w:autoSpaceDN w:val="0"/>
              <w:adjustRightInd w:val="0"/>
              <w:spacing w:line="360" w:lineRule="auto"/>
              <w:rPr>
                <w:rFonts w:ascii="Calibri" w:hAnsi="Calibri" w:cs="Calibri"/>
                <w:b/>
                <w:sz w:val="20"/>
                <w:szCs w:val="20"/>
              </w:rPr>
            </w:pPr>
            <w:bookmarkStart w:id="7" w:name="m6"/>
            <w:bookmarkEnd w:id="7"/>
            <w:r>
              <w:rPr>
                <w:rFonts w:ascii="Calibri" w:hAnsi="Calibri" w:cs="Calibri"/>
                <w:b/>
                <w:sz w:val="20"/>
                <w:szCs w:val="20"/>
              </w:rPr>
              <w:t>PROVEEDORES POR PAGAR A CORTO PLAZO</w:t>
            </w:r>
          </w:p>
        </w:tc>
        <w:tc>
          <w:tcPr>
            <w:tcW w:w="0" w:type="auto"/>
            <w:shd w:val="clear" w:color="auto" w:fill="auto"/>
          </w:tcPr>
          <w:p w:rsidR="00A17B33" w:rsidRPr="001624A3" w:rsidRDefault="00A17B33" w:rsidP="00A17B33">
            <w:pPr>
              <w:tabs>
                <w:tab w:val="left" w:pos="540"/>
              </w:tabs>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tabs>
                <w:tab w:val="left" w:pos="540"/>
              </w:tabs>
              <w:autoSpaceDE w:val="0"/>
              <w:autoSpaceDN w:val="0"/>
              <w:adjustRightInd w:val="0"/>
              <w:spacing w:line="360" w:lineRule="auto"/>
              <w:rPr>
                <w:rFonts w:ascii="Calibri" w:hAnsi="Calibri" w:cs="Calibri"/>
                <w:sz w:val="20"/>
                <w:szCs w:val="20"/>
              </w:rPr>
            </w:pPr>
            <w:r>
              <w:rPr>
                <w:rFonts w:ascii="Calibri" w:hAnsi="Calibri" w:cs="Calibri"/>
                <w:sz w:val="20"/>
                <w:szCs w:val="20"/>
              </w:rPr>
              <w:t>EJERCICIO ACTUAL</w:t>
            </w:r>
          </w:p>
        </w:tc>
        <w:tc>
          <w:tcPr>
            <w:tcW w:w="0" w:type="auto"/>
            <w:shd w:val="clear" w:color="auto" w:fill="auto"/>
          </w:tcPr>
          <w:p w:rsidR="00A17B33" w:rsidRPr="001624A3" w:rsidRDefault="00A17B33" w:rsidP="00A17B33">
            <w:pPr>
              <w:tabs>
                <w:tab w:val="left" w:pos="540"/>
              </w:tabs>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17,071,967.32</w:t>
            </w:r>
          </w:p>
        </w:tc>
      </w:tr>
      <w:tr w:rsidR="00A17B33" w:rsidTr="00A17B33">
        <w:trPr>
          <w:jc w:val="center"/>
        </w:trPr>
        <w:tc>
          <w:tcPr>
            <w:tcW w:w="0" w:type="auto"/>
            <w:shd w:val="clear" w:color="auto" w:fill="auto"/>
          </w:tcPr>
          <w:p w:rsidR="00A17B33" w:rsidRPr="001624A3" w:rsidRDefault="00A17B33" w:rsidP="00A17B33">
            <w:pPr>
              <w:tabs>
                <w:tab w:val="left" w:pos="540"/>
              </w:tabs>
              <w:autoSpaceDE w:val="0"/>
              <w:autoSpaceDN w:val="0"/>
              <w:adjustRightInd w:val="0"/>
              <w:spacing w:line="360" w:lineRule="auto"/>
              <w:rPr>
                <w:rFonts w:ascii="Calibri" w:hAnsi="Calibri" w:cs="Calibri"/>
                <w:sz w:val="20"/>
                <w:szCs w:val="20"/>
              </w:rPr>
            </w:pPr>
            <w:r>
              <w:rPr>
                <w:rFonts w:ascii="Calibri" w:hAnsi="Calibri" w:cs="Calibri"/>
                <w:sz w:val="20"/>
                <w:szCs w:val="20"/>
              </w:rPr>
              <w:lastRenderedPageBreak/>
              <w:t>EJERCICIO 2012</w:t>
            </w:r>
          </w:p>
        </w:tc>
        <w:tc>
          <w:tcPr>
            <w:tcW w:w="0" w:type="auto"/>
            <w:shd w:val="clear" w:color="auto" w:fill="auto"/>
          </w:tcPr>
          <w:p w:rsidR="00A17B33" w:rsidRPr="001624A3" w:rsidRDefault="00A17B33" w:rsidP="00A17B33">
            <w:pPr>
              <w:tabs>
                <w:tab w:val="left" w:pos="540"/>
              </w:tabs>
              <w:autoSpaceDE w:val="0"/>
              <w:autoSpaceDN w:val="0"/>
              <w:adjustRightInd w:val="0"/>
              <w:spacing w:line="360" w:lineRule="auto"/>
              <w:jc w:val="right"/>
              <w:rPr>
                <w:rFonts w:ascii="Calibri" w:hAnsi="Calibri" w:cs="Calibri"/>
                <w:sz w:val="20"/>
                <w:szCs w:val="20"/>
              </w:rPr>
            </w:pPr>
            <w:r>
              <w:rPr>
                <w:rFonts w:ascii="Calibri" w:hAnsi="Calibri" w:cs="Calibri"/>
                <w:sz w:val="20"/>
                <w:szCs w:val="20"/>
              </w:rPr>
              <w:t>600.68</w:t>
            </w:r>
          </w:p>
        </w:tc>
      </w:tr>
      <w:tr w:rsidR="00A17B33" w:rsidTr="00A17B33">
        <w:trPr>
          <w:jc w:val="center"/>
        </w:trPr>
        <w:tc>
          <w:tcPr>
            <w:tcW w:w="0" w:type="auto"/>
            <w:shd w:val="clear" w:color="auto" w:fill="auto"/>
          </w:tcPr>
          <w:p w:rsidR="00A17B33" w:rsidRPr="001624A3" w:rsidRDefault="00A17B33" w:rsidP="00A17B33">
            <w:pPr>
              <w:tabs>
                <w:tab w:val="left" w:pos="540"/>
              </w:tabs>
              <w:autoSpaceDE w:val="0"/>
              <w:autoSpaceDN w:val="0"/>
              <w:adjustRightInd w:val="0"/>
              <w:spacing w:line="360" w:lineRule="auto"/>
              <w:rPr>
                <w:rFonts w:ascii="Calibri" w:hAnsi="Calibri" w:cs="Calibri"/>
                <w:sz w:val="20"/>
                <w:szCs w:val="20"/>
              </w:rPr>
            </w:pPr>
            <w:r>
              <w:rPr>
                <w:rFonts w:ascii="Calibri" w:hAnsi="Calibri" w:cs="Calibri"/>
                <w:sz w:val="20"/>
                <w:szCs w:val="20"/>
              </w:rPr>
              <w:t>EJERCICIO 2014</w:t>
            </w:r>
          </w:p>
        </w:tc>
        <w:tc>
          <w:tcPr>
            <w:tcW w:w="0" w:type="auto"/>
            <w:shd w:val="clear" w:color="auto" w:fill="auto"/>
          </w:tcPr>
          <w:p w:rsidR="00A17B33" w:rsidRPr="001624A3" w:rsidRDefault="00A17B33" w:rsidP="00A17B33">
            <w:pPr>
              <w:tabs>
                <w:tab w:val="left" w:pos="540"/>
              </w:tabs>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133,560.04</w:t>
            </w:r>
          </w:p>
        </w:tc>
      </w:tr>
      <w:tr w:rsidR="00A17B33" w:rsidTr="00A17B33">
        <w:trPr>
          <w:jc w:val="center"/>
        </w:trPr>
        <w:tc>
          <w:tcPr>
            <w:tcW w:w="0" w:type="auto"/>
            <w:shd w:val="clear" w:color="auto" w:fill="auto"/>
          </w:tcPr>
          <w:p w:rsidR="00A17B33" w:rsidRPr="001624A3" w:rsidRDefault="00A17B33" w:rsidP="00A17B33">
            <w:pPr>
              <w:tabs>
                <w:tab w:val="left" w:pos="540"/>
              </w:tabs>
              <w:autoSpaceDE w:val="0"/>
              <w:autoSpaceDN w:val="0"/>
              <w:adjustRightInd w:val="0"/>
              <w:spacing w:line="360" w:lineRule="auto"/>
              <w:rPr>
                <w:rFonts w:ascii="Calibri" w:hAnsi="Calibri" w:cs="Calibri"/>
                <w:sz w:val="20"/>
                <w:szCs w:val="20"/>
              </w:rPr>
            </w:pPr>
            <w:r>
              <w:rPr>
                <w:rFonts w:ascii="Calibri" w:hAnsi="Calibri" w:cs="Calibri"/>
                <w:sz w:val="20"/>
                <w:szCs w:val="20"/>
              </w:rPr>
              <w:t>EJERCICIO 2015</w:t>
            </w:r>
          </w:p>
        </w:tc>
        <w:tc>
          <w:tcPr>
            <w:tcW w:w="0" w:type="auto"/>
            <w:shd w:val="clear" w:color="auto" w:fill="auto"/>
          </w:tcPr>
          <w:p w:rsidR="00A17B33" w:rsidRPr="001624A3" w:rsidRDefault="00A17B33" w:rsidP="00A17B33">
            <w:pPr>
              <w:tabs>
                <w:tab w:val="left" w:pos="540"/>
              </w:tabs>
              <w:autoSpaceDE w:val="0"/>
              <w:autoSpaceDN w:val="0"/>
              <w:adjustRightInd w:val="0"/>
              <w:spacing w:line="360" w:lineRule="auto"/>
              <w:jc w:val="right"/>
              <w:rPr>
                <w:rFonts w:ascii="Calibri" w:hAnsi="Calibri" w:cs="Calibri"/>
                <w:sz w:val="20"/>
                <w:szCs w:val="20"/>
              </w:rPr>
            </w:pPr>
            <w:r>
              <w:rPr>
                <w:rFonts w:ascii="Calibri" w:hAnsi="Calibri" w:cs="Calibri"/>
                <w:sz w:val="20"/>
                <w:szCs w:val="20"/>
              </w:rPr>
              <w:t>72,790.32</w:t>
            </w:r>
          </w:p>
        </w:tc>
      </w:tr>
      <w:tr w:rsidR="00A17B33" w:rsidTr="00A17B33">
        <w:trPr>
          <w:jc w:val="center"/>
        </w:trPr>
        <w:tc>
          <w:tcPr>
            <w:tcW w:w="0" w:type="auto"/>
            <w:shd w:val="clear" w:color="auto" w:fill="auto"/>
          </w:tcPr>
          <w:p w:rsidR="00A17B33" w:rsidRPr="001624A3" w:rsidRDefault="00A17B33" w:rsidP="00A17B33">
            <w:pPr>
              <w:tabs>
                <w:tab w:val="left" w:pos="540"/>
              </w:tabs>
              <w:autoSpaceDE w:val="0"/>
              <w:autoSpaceDN w:val="0"/>
              <w:adjustRightInd w:val="0"/>
              <w:spacing w:line="360" w:lineRule="auto"/>
              <w:rPr>
                <w:rFonts w:ascii="Calibri" w:hAnsi="Calibri" w:cs="Calibri"/>
                <w:sz w:val="20"/>
                <w:szCs w:val="20"/>
              </w:rPr>
            </w:pPr>
            <w:r>
              <w:rPr>
                <w:rFonts w:ascii="Calibri" w:hAnsi="Calibri" w:cs="Calibri"/>
                <w:sz w:val="20"/>
                <w:szCs w:val="20"/>
              </w:rPr>
              <w:t>EJERCICIO 2016</w:t>
            </w:r>
          </w:p>
        </w:tc>
        <w:tc>
          <w:tcPr>
            <w:tcW w:w="0" w:type="auto"/>
            <w:tcBorders>
              <w:bottom w:val="single" w:sz="4" w:space="0" w:color="auto"/>
            </w:tcBorders>
            <w:shd w:val="clear" w:color="auto" w:fill="auto"/>
          </w:tcPr>
          <w:p w:rsidR="00A17B33" w:rsidRPr="001624A3" w:rsidRDefault="00A17B33" w:rsidP="00A17B33">
            <w:pPr>
              <w:tabs>
                <w:tab w:val="left" w:pos="540"/>
              </w:tabs>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139,058.58</w:t>
            </w:r>
          </w:p>
        </w:tc>
      </w:tr>
      <w:tr w:rsidR="00A17B33" w:rsidTr="00A17B33">
        <w:trPr>
          <w:jc w:val="center"/>
        </w:trPr>
        <w:tc>
          <w:tcPr>
            <w:tcW w:w="0" w:type="auto"/>
            <w:shd w:val="clear" w:color="auto" w:fill="auto"/>
          </w:tcPr>
          <w:p w:rsidR="00A17B33" w:rsidRPr="001624A3" w:rsidRDefault="00A17B33" w:rsidP="00A17B33">
            <w:pPr>
              <w:tabs>
                <w:tab w:val="left" w:pos="540"/>
              </w:tabs>
              <w:autoSpaceDE w:val="0"/>
              <w:autoSpaceDN w:val="0"/>
              <w:adjustRightInd w:val="0"/>
              <w:spacing w:line="360" w:lineRule="auto"/>
              <w:rPr>
                <w:rFonts w:ascii="Calibri" w:hAnsi="Calibri" w:cs="Calibri"/>
                <w:b/>
                <w:sz w:val="20"/>
                <w:szCs w:val="20"/>
              </w:rPr>
            </w:pPr>
            <w:r>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tabs>
                <w:tab w:val="left" w:pos="540"/>
              </w:tabs>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17,417,976.94</w:t>
            </w:r>
          </w:p>
        </w:tc>
      </w:tr>
    </w:tbl>
    <w:p w:rsidR="00A17B33" w:rsidRDefault="00A17B33" w:rsidP="00A17B33">
      <w:pPr>
        <w:tabs>
          <w:tab w:val="left" w:pos="540"/>
        </w:tabs>
        <w:autoSpaceDE w:val="0"/>
        <w:autoSpaceDN w:val="0"/>
        <w:adjustRightInd w:val="0"/>
        <w:spacing w:line="360" w:lineRule="auto"/>
        <w:jc w:val="both"/>
        <w:rPr>
          <w:rFonts w:ascii="Calibri" w:hAnsi="Calibri" w:cs="Calibri"/>
          <w:sz w:val="20"/>
          <w:szCs w:val="20"/>
        </w:rPr>
      </w:pPr>
    </w:p>
    <w:p w:rsidR="00A17B33" w:rsidRPr="0092251F" w:rsidRDefault="00A17B33" w:rsidP="00A17B33">
      <w:pPr>
        <w:tabs>
          <w:tab w:val="left" w:pos="540"/>
        </w:tabs>
        <w:autoSpaceDE w:val="0"/>
        <w:autoSpaceDN w:val="0"/>
        <w:adjustRightInd w:val="0"/>
        <w:spacing w:line="360" w:lineRule="auto"/>
        <w:jc w:val="both"/>
        <w:rPr>
          <w:rFonts w:ascii="Calibri" w:hAnsi="Calibri" w:cs="Calibri"/>
          <w:sz w:val="20"/>
          <w:szCs w:val="20"/>
        </w:rPr>
      </w:pPr>
    </w:p>
    <w:p w:rsidR="00A17B33" w:rsidRPr="0092251F" w:rsidRDefault="00A17B33" w:rsidP="00A17B33">
      <w:pPr>
        <w:tabs>
          <w:tab w:val="left" w:pos="540"/>
        </w:tabs>
        <w:autoSpaceDE w:val="0"/>
        <w:autoSpaceDN w:val="0"/>
        <w:adjustRightInd w:val="0"/>
        <w:spacing w:line="360" w:lineRule="auto"/>
        <w:jc w:val="both"/>
        <w:rPr>
          <w:rFonts w:ascii="Calibri" w:hAnsi="Calibri" w:cs="Calibri"/>
          <w:sz w:val="20"/>
          <w:szCs w:val="20"/>
        </w:rPr>
      </w:pPr>
    </w:p>
    <w:p w:rsidR="00A17B33" w:rsidRPr="0092251F" w:rsidRDefault="00A17B33" w:rsidP="00A17B33">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7.- La cuenta de retenciones y Contribuciones está integrada de la siguiente manera:</w:t>
      </w:r>
    </w:p>
    <w:p w:rsidR="00A17B33" w:rsidRPr="00392C40" w:rsidRDefault="00A17B33" w:rsidP="00A17B33">
      <w:pPr>
        <w:autoSpaceDE w:val="0"/>
        <w:autoSpaceDN w:val="0"/>
        <w:adjustRightInd w:val="0"/>
        <w:spacing w:line="360" w:lineRule="auto"/>
        <w:jc w:val="both"/>
        <w:rPr>
          <w:rFonts w:ascii="Calibri" w:hAnsi="Calibri" w:cs="Calibri"/>
          <w:sz w:val="18"/>
          <w:szCs w:val="18"/>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3"/>
        <w:gridCol w:w="1361"/>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18"/>
                <w:szCs w:val="18"/>
              </w:rPr>
            </w:pPr>
            <w:bookmarkStart w:id="8" w:name="m7"/>
            <w:bookmarkEnd w:id="8"/>
            <w:r>
              <w:rPr>
                <w:rFonts w:ascii="Calibri" w:hAnsi="Calibri" w:cs="Calibri"/>
                <w:b/>
                <w:sz w:val="18"/>
                <w:szCs w:val="18"/>
              </w:rPr>
              <w:t>RETENCIONES Y CONTRIBUCIONES POR PAGAR A CORTO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18"/>
                <w:szCs w:val="18"/>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RETENCIONES DE IMPUESTOS SOBRE LA RENTA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110,159,787.86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RETENCIONES DIVERSAS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11,602,635.71</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RETENCIONES A FAVOR DEL ISSTEY</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23,669,776.10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CMIC</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139,976.07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ORGANO TÉCNICO DE FISCALIZACIÓN A LA LEGISLATURA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512,772.35</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INSPECCIÓN Y VIGILANCIA POR CONVENIO DE COLABORACIÓN ADMINISTRATIVA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-75,415.06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IMPUESTO ESTATAL SOBRE NÓMINA</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66,867,212.74</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18"/>
                <w:szCs w:val="18"/>
              </w:rPr>
            </w:pPr>
            <w:r>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18"/>
                <w:szCs w:val="18"/>
              </w:rPr>
            </w:pPr>
            <w:r>
              <w:rPr>
                <w:rFonts w:ascii="Calibri" w:hAnsi="Calibri" w:cs="Calibri"/>
                <w:b/>
                <w:sz w:val="18"/>
                <w:szCs w:val="18"/>
              </w:rPr>
              <w:t>212,876,745.77</w:t>
            </w:r>
          </w:p>
        </w:tc>
      </w:tr>
    </w:tbl>
    <w:p w:rsidR="00A17B33" w:rsidRDefault="00A17B33" w:rsidP="00A17B33">
      <w:pPr>
        <w:autoSpaceDE w:val="0"/>
        <w:autoSpaceDN w:val="0"/>
        <w:adjustRightInd w:val="0"/>
        <w:spacing w:line="360" w:lineRule="auto"/>
        <w:jc w:val="both"/>
        <w:rPr>
          <w:rFonts w:ascii="Calibri" w:hAnsi="Calibri" w:cs="Calibri"/>
          <w:sz w:val="18"/>
          <w:szCs w:val="18"/>
        </w:rPr>
      </w:pPr>
    </w:p>
    <w:p w:rsidR="00A17B33" w:rsidRPr="00392C40" w:rsidRDefault="00A17B33" w:rsidP="00A17B33">
      <w:pPr>
        <w:autoSpaceDE w:val="0"/>
        <w:autoSpaceDN w:val="0"/>
        <w:adjustRightInd w:val="0"/>
        <w:spacing w:line="360" w:lineRule="auto"/>
        <w:jc w:val="both"/>
        <w:rPr>
          <w:rFonts w:ascii="Calibri" w:hAnsi="Calibri" w:cs="Calibri"/>
          <w:sz w:val="18"/>
          <w:szCs w:val="18"/>
        </w:rPr>
      </w:pPr>
    </w:p>
    <w:p w:rsidR="00A17B33" w:rsidRPr="00392C40" w:rsidRDefault="00A17B33" w:rsidP="00A17B33">
      <w:pPr>
        <w:autoSpaceDE w:val="0"/>
        <w:autoSpaceDN w:val="0"/>
        <w:adjustRightInd w:val="0"/>
        <w:spacing w:line="360" w:lineRule="auto"/>
        <w:jc w:val="both"/>
        <w:rPr>
          <w:rFonts w:ascii="Calibri" w:hAnsi="Calibri" w:cs="Calibri"/>
          <w:sz w:val="18"/>
          <w:szCs w:val="18"/>
        </w:rPr>
      </w:pPr>
    </w:p>
    <w:p w:rsidR="00A17B33" w:rsidRDefault="00A17B33" w:rsidP="00A17B33">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lastRenderedPageBreak/>
        <w:t xml:space="preserve">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w:t>
      </w:r>
    </w:p>
    <w:p w:rsidR="00A17B33" w:rsidRPr="00A70254" w:rsidRDefault="00A17B33" w:rsidP="00A17B33">
      <w:pPr>
        <w:autoSpaceDE w:val="0"/>
        <w:autoSpaceDN w:val="0"/>
        <w:adjustRightInd w:val="0"/>
        <w:spacing w:line="360" w:lineRule="auto"/>
        <w:jc w:val="both"/>
        <w:rPr>
          <w:rFonts w:ascii="Calibri" w:hAnsi="Calibri" w:cs="Calibri"/>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6"/>
        <w:gridCol w:w="1387"/>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bookmarkStart w:id="9" w:name="m8"/>
            <w:bookmarkEnd w:id="9"/>
            <w:r>
              <w:rPr>
                <w:rFonts w:ascii="Calibri" w:hAnsi="Calibri" w:cs="Calibri"/>
                <w:b/>
                <w:sz w:val="20"/>
                <w:szCs w:val="20"/>
              </w:rPr>
              <w:t>FONDOS Y BIENES DE TERCEROS EN GARANTÍA Y/O ADMINISTRACIÓN A CORTO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FONDOS EN GARANTÍA A CORTO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PODER JUDICIAL DEL ESTADO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195,264.68</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MINISTERIO PUBLICO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53,306,740.52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DEP. JUDICIALES REGIMEN ANTERIOR</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10,103,743.12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CONSEJO TUTELAR MENORES INFRACTORES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122,320.71</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AGENCIA DE ADMINISTRACIÓN FISCAL DE YUCATÁN</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304,865.10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64,032,934.13</w:t>
            </w:r>
          </w:p>
        </w:tc>
      </w:tr>
    </w:tbl>
    <w:p w:rsidR="00A17B33" w:rsidRDefault="00A17B33" w:rsidP="00A17B33">
      <w:pPr>
        <w:autoSpaceDE w:val="0"/>
        <w:autoSpaceDN w:val="0"/>
        <w:adjustRightInd w:val="0"/>
        <w:spacing w:line="360" w:lineRule="auto"/>
        <w:jc w:val="both"/>
        <w:rPr>
          <w:rFonts w:ascii="Calibri" w:hAnsi="Calibri" w:cs="Calibri"/>
          <w:sz w:val="20"/>
          <w:szCs w:val="20"/>
        </w:rPr>
      </w:pPr>
    </w:p>
    <w:p w:rsidR="00A17B33" w:rsidRPr="00A70254" w:rsidRDefault="00A17B33" w:rsidP="00A17B33">
      <w:pPr>
        <w:autoSpaceDE w:val="0"/>
        <w:autoSpaceDN w:val="0"/>
        <w:adjustRightInd w:val="0"/>
        <w:spacing w:line="360" w:lineRule="auto"/>
        <w:jc w:val="both"/>
        <w:rPr>
          <w:rFonts w:ascii="Calibri" w:hAnsi="Calibri" w:cs="Calibri"/>
          <w:sz w:val="20"/>
          <w:szCs w:val="20"/>
        </w:rPr>
      </w:pPr>
    </w:p>
    <w:p w:rsidR="00A17B33" w:rsidRPr="00A70254" w:rsidRDefault="00A17B33" w:rsidP="00A17B33">
      <w:pPr>
        <w:autoSpaceDE w:val="0"/>
        <w:autoSpaceDN w:val="0"/>
        <w:adjustRightInd w:val="0"/>
        <w:spacing w:line="360" w:lineRule="auto"/>
        <w:ind w:left="720"/>
        <w:jc w:val="both"/>
        <w:rPr>
          <w:rFonts w:ascii="Calibri" w:hAnsi="Calibri" w:cs="Calibri"/>
          <w:sz w:val="20"/>
          <w:szCs w:val="20"/>
        </w:rPr>
      </w:pPr>
    </w:p>
    <w:p w:rsidR="00A17B33" w:rsidRPr="00A70254" w:rsidRDefault="00A17B33" w:rsidP="00A17B33">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p w:rsidR="00A17B33" w:rsidRPr="00A70254" w:rsidRDefault="00A17B33" w:rsidP="00A17B33">
      <w:pPr>
        <w:autoSpaceDE w:val="0"/>
        <w:autoSpaceDN w:val="0"/>
        <w:adjustRightInd w:val="0"/>
        <w:spacing w:line="360" w:lineRule="auto"/>
        <w:jc w:val="both"/>
        <w:rPr>
          <w:rFonts w:ascii="Calibri" w:hAnsi="Calibri" w:cs="Calibri"/>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641"/>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bookmarkStart w:id="10" w:name="m9"/>
            <w:bookmarkEnd w:id="10"/>
            <w:r>
              <w:rPr>
                <w:rFonts w:ascii="Calibri" w:hAnsi="Calibri" w:cs="Calibri"/>
                <w:b/>
                <w:sz w:val="20"/>
                <w:szCs w:val="20"/>
              </w:rPr>
              <w:t>PORCIÓN A CORTO PLAZO DE LA DEUDA PÚBLICA INTERNA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BID BANOBRAS 2011</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10,203,284.00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REFINANCIAMIENTO 2013</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46,793,353.40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lastRenderedPageBreak/>
              <w:t>BANORTE ESCUDO YUCATÁN</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45,876,626.41</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BANOBRAS CIC</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3,959,361.44</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DEUDA PÚBLICA A LARGO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PRÉSTAMOS DE LA DEUDA PÚBLICA INTERNA POR PAGAR A LARGO PLAZO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BID BANOBRAS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613,380,644.50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BANOBRAS PROFISE</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306,931,762.00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BANOBRAS REFINANCIAMIENTO DE LA DEUDA 2013</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1,396,001,051.67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BANORTE ESCUDO YUCATÁN</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1,125,571,409.17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20"/>
                <w:szCs w:val="20"/>
              </w:rPr>
            </w:pPr>
            <w:r>
              <w:rPr>
                <w:rFonts w:ascii="Calibri" w:hAnsi="Calibri" w:cs="Calibri"/>
                <w:sz w:val="20"/>
                <w:szCs w:val="20"/>
              </w:rPr>
              <w:t>BANOBRAS CIC</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20"/>
                <w:szCs w:val="20"/>
              </w:rPr>
            </w:pPr>
            <w:r>
              <w:rPr>
                <w:rFonts w:ascii="Calibri" w:hAnsi="Calibri" w:cs="Calibri"/>
                <w:sz w:val="20"/>
                <w:szCs w:val="20"/>
              </w:rPr>
              <w:t>483,240,638.56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20"/>
                <w:szCs w:val="20"/>
              </w:rPr>
            </w:pPr>
            <w:r>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4,031,958,131.15</w:t>
            </w:r>
          </w:p>
        </w:tc>
      </w:tr>
    </w:tbl>
    <w:p w:rsidR="00A17B33" w:rsidRDefault="00A17B33" w:rsidP="00A17B33">
      <w:pPr>
        <w:autoSpaceDE w:val="0"/>
        <w:autoSpaceDN w:val="0"/>
        <w:adjustRightInd w:val="0"/>
        <w:spacing w:line="360" w:lineRule="auto"/>
        <w:jc w:val="both"/>
        <w:rPr>
          <w:rFonts w:ascii="Calibri" w:hAnsi="Calibri" w:cs="Calibri"/>
          <w:sz w:val="20"/>
          <w:szCs w:val="20"/>
        </w:rPr>
      </w:pPr>
    </w:p>
    <w:p w:rsidR="00A17B33" w:rsidRPr="00392C40" w:rsidRDefault="00A17B33" w:rsidP="00A17B33">
      <w:pPr>
        <w:numPr>
          <w:ilvl w:val="2"/>
          <w:numId w:val="26"/>
        </w:numPr>
        <w:tabs>
          <w:tab w:val="clear" w:pos="2340"/>
        </w:tabs>
        <w:autoSpaceDE w:val="0"/>
        <w:autoSpaceDN w:val="0"/>
        <w:adjustRightInd w:val="0"/>
        <w:spacing w:line="360" w:lineRule="auto"/>
        <w:ind w:left="180"/>
        <w:rPr>
          <w:rFonts w:ascii="Eras Medium ITC" w:hAnsi="Eras Medium ITC" w:cs="Eras Medium ITC"/>
        </w:rPr>
      </w:pPr>
      <w:r w:rsidRPr="00392C40">
        <w:rPr>
          <w:b/>
        </w:rPr>
        <w:t>NOTAS AL ESTADO DE VARIACIONES EN LA HACIENDA PÚBLICA.</w:t>
      </w:r>
    </w:p>
    <w:p w:rsidR="00A17B33" w:rsidRPr="00392C40" w:rsidRDefault="00A17B33" w:rsidP="00A17B33">
      <w:pPr>
        <w:autoSpaceDE w:val="0"/>
        <w:autoSpaceDN w:val="0"/>
        <w:adjustRightInd w:val="0"/>
        <w:spacing w:line="360" w:lineRule="auto"/>
        <w:ind w:firstLine="708"/>
        <w:jc w:val="both"/>
        <w:rPr>
          <w:rFonts w:ascii="Calibri" w:hAnsi="Calibri" w:cs="Calibri"/>
          <w:sz w:val="18"/>
          <w:szCs w:val="18"/>
        </w:rPr>
      </w:pPr>
    </w:p>
    <w:p w:rsidR="00A17B33" w:rsidRPr="00A70254" w:rsidRDefault="00A17B33" w:rsidP="00A17B33">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A17B33" w:rsidRPr="00392C40" w:rsidRDefault="00A17B33" w:rsidP="00A17B33">
      <w:pPr>
        <w:autoSpaceDE w:val="0"/>
        <w:autoSpaceDN w:val="0"/>
        <w:adjustRightInd w:val="0"/>
        <w:spacing w:line="360" w:lineRule="auto"/>
        <w:ind w:left="360"/>
        <w:rPr>
          <w:rFonts w:ascii="Calibri" w:hAnsi="Calibri" w:cs="Calibri"/>
          <w:sz w:val="18"/>
          <w:szCs w:val="18"/>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547"/>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18"/>
                <w:szCs w:val="18"/>
              </w:rPr>
            </w:pPr>
            <w:bookmarkStart w:id="11" w:name="m11"/>
            <w:bookmarkEnd w:id="11"/>
            <w:r>
              <w:rPr>
                <w:rFonts w:ascii="Calibri" w:hAnsi="Calibri" w:cs="Calibri"/>
                <w:b/>
                <w:sz w:val="18"/>
                <w:szCs w:val="18"/>
              </w:rPr>
              <w:t>RESULTADOS DE EJERCICIOS ANTERIORES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18"/>
                <w:szCs w:val="18"/>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RESULTADO DEL EJERCICIO 2000 Y ANTERIORES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-59,335,000.04</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RESULTADO DEL EJERCICIO ADMON 2001-2007</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623,913,226.14</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RESULTADO DEL EJERCICIO ADMON. 2007-2012</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-1,568,325,372.73</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sz w:val="18"/>
                <w:szCs w:val="18"/>
              </w:rPr>
            </w:pPr>
            <w:r>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3,195,027,595.71</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sz w:val="18"/>
                <w:szCs w:val="18"/>
              </w:rPr>
            </w:pPr>
            <w:r>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sz w:val="18"/>
                <w:szCs w:val="18"/>
              </w:rPr>
            </w:pPr>
            <w:r>
              <w:rPr>
                <w:rFonts w:ascii="Calibri" w:hAnsi="Calibri" w:cs="Calibri"/>
                <w:b/>
                <w:sz w:val="18"/>
                <w:szCs w:val="18"/>
              </w:rPr>
              <w:t>2,191,280,449.08</w:t>
            </w:r>
          </w:p>
        </w:tc>
      </w:tr>
    </w:tbl>
    <w:p w:rsidR="00A17B33" w:rsidRPr="00392C40" w:rsidRDefault="00A17B33" w:rsidP="00A17B33">
      <w:pPr>
        <w:autoSpaceDE w:val="0"/>
        <w:autoSpaceDN w:val="0"/>
        <w:adjustRightInd w:val="0"/>
        <w:spacing w:line="360" w:lineRule="auto"/>
        <w:ind w:left="360"/>
        <w:rPr>
          <w:rFonts w:ascii="Calibri" w:hAnsi="Calibri" w:cs="Calibri"/>
          <w:sz w:val="18"/>
          <w:szCs w:val="18"/>
        </w:rPr>
      </w:pPr>
    </w:p>
    <w:p w:rsidR="00A17B33" w:rsidRPr="00392C40" w:rsidRDefault="00A17B33" w:rsidP="00A17B33">
      <w:pPr>
        <w:autoSpaceDE w:val="0"/>
        <w:autoSpaceDN w:val="0"/>
        <w:adjustRightInd w:val="0"/>
        <w:spacing w:line="360" w:lineRule="auto"/>
        <w:rPr>
          <w:b/>
        </w:rPr>
      </w:pPr>
      <w:r w:rsidRPr="00392C40">
        <w:rPr>
          <w:b/>
        </w:rPr>
        <w:t>3) NOTAS AL ESTADO DE ACTIVIDADES</w:t>
      </w:r>
    </w:p>
    <w:p w:rsidR="00A17B33" w:rsidRPr="00392C40" w:rsidRDefault="00A17B33" w:rsidP="00A17B33">
      <w:pPr>
        <w:autoSpaceDE w:val="0"/>
        <w:autoSpaceDN w:val="0"/>
        <w:adjustRightInd w:val="0"/>
        <w:spacing w:line="360" w:lineRule="auto"/>
        <w:ind w:left="720"/>
        <w:jc w:val="both"/>
        <w:rPr>
          <w:rFonts w:ascii="Calibri" w:hAnsi="Calibri" w:cs="Calibri"/>
          <w:b/>
          <w:bCs/>
          <w:sz w:val="18"/>
          <w:szCs w:val="18"/>
        </w:rPr>
      </w:pPr>
    </w:p>
    <w:p w:rsidR="00A17B33" w:rsidRPr="00A70254" w:rsidRDefault="00A17B33" w:rsidP="00A17B33">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A17B33" w:rsidRPr="00A70254" w:rsidRDefault="00A17B33" w:rsidP="00A17B33">
      <w:pPr>
        <w:autoSpaceDE w:val="0"/>
        <w:autoSpaceDN w:val="0"/>
        <w:adjustRightInd w:val="0"/>
        <w:spacing w:line="360" w:lineRule="auto"/>
        <w:ind w:left="360"/>
        <w:jc w:val="both"/>
        <w:rPr>
          <w:rFonts w:ascii="Calibri" w:hAnsi="Calibri" w:cs="Calibri"/>
          <w:bCs/>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2"/>
        <w:gridCol w:w="1742"/>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20"/>
                <w:szCs w:val="20"/>
              </w:rPr>
            </w:pPr>
            <w:bookmarkStart w:id="12" w:name="m12"/>
            <w:bookmarkEnd w:id="12"/>
            <w:r>
              <w:rPr>
                <w:rFonts w:ascii="Calibri" w:hAnsi="Calibri" w:cs="Calibri"/>
                <w:b/>
                <w:bCs/>
                <w:sz w:val="20"/>
                <w:szCs w:val="20"/>
              </w:rPr>
              <w:t>INGRESOS Y OTROS BENEFICIOS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20"/>
                <w:szCs w:val="20"/>
              </w:rPr>
            </w:pPr>
            <w:r>
              <w:rPr>
                <w:rFonts w:ascii="Calibri" w:hAnsi="Calibri" w:cs="Calibri"/>
                <w:b/>
                <w:bCs/>
                <w:sz w:val="20"/>
                <w:szCs w:val="20"/>
              </w:rPr>
              <w:t>INGRESOS DE GESTIÓN</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IMPUESTOS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1,847,773,499.65</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DERECHOS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1,299,332,443.47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PRODUCTOS DE TIPO CORRIENTE</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342,372,960.12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APROVECHAMIENTOS DE TIPO CORRIENTE</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662,336,138.86</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20"/>
                <w:szCs w:val="20"/>
              </w:rPr>
            </w:pPr>
            <w:r>
              <w:rPr>
                <w:rFonts w:ascii="Calibri" w:hAnsi="Calibri" w:cs="Calibri"/>
                <w:b/>
                <w:bCs/>
                <w:sz w:val="20"/>
                <w:szCs w:val="20"/>
              </w:rPr>
              <w:t>PARTICIPACIONES, APORTACIONES, TRANSFERENCIAS, ASIGNACIONES, SUBSIDIOS Y OTRAS AYUDAS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PARTICIPACIONES Y APORTACIONES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31,232,854,325.40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TRANSFERENCIAS, ASIGNACIONES, SUBSIDIOS Y OTRAS AYUDAS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1,895,524,946.00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20"/>
                <w:szCs w:val="20"/>
              </w:rPr>
            </w:pPr>
            <w:r>
              <w:rPr>
                <w:rFonts w:ascii="Calibri" w:hAnsi="Calibri" w:cs="Calibri"/>
                <w:b/>
                <w:bCs/>
                <w:sz w:val="20"/>
                <w:szCs w:val="20"/>
              </w:rPr>
              <w:t>OTROS INGRESOS Y BENEFICIOS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INGRESOS FINANCIEROS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93,052,242.95</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OTROS INGRESOS Y BENEFICIOS VARIOS</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0.05</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20"/>
                <w:szCs w:val="20"/>
              </w:rPr>
            </w:pPr>
            <w:r>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r>
              <w:rPr>
                <w:rFonts w:ascii="Calibri" w:hAnsi="Calibri" w:cs="Calibri"/>
                <w:b/>
                <w:bCs/>
                <w:sz w:val="20"/>
                <w:szCs w:val="20"/>
              </w:rPr>
              <w:t>37,373,246,556.50</w:t>
            </w:r>
          </w:p>
        </w:tc>
      </w:tr>
    </w:tbl>
    <w:p w:rsidR="00A17B33" w:rsidRDefault="00A17B33" w:rsidP="00A17B33">
      <w:pPr>
        <w:autoSpaceDE w:val="0"/>
        <w:autoSpaceDN w:val="0"/>
        <w:adjustRightInd w:val="0"/>
        <w:spacing w:line="360" w:lineRule="auto"/>
        <w:ind w:left="360"/>
        <w:jc w:val="both"/>
        <w:rPr>
          <w:rFonts w:ascii="Calibri" w:hAnsi="Calibri" w:cs="Calibri"/>
          <w:bCs/>
          <w:sz w:val="20"/>
          <w:szCs w:val="20"/>
        </w:rPr>
      </w:pPr>
    </w:p>
    <w:p w:rsidR="00A17B33" w:rsidRPr="00A70254" w:rsidRDefault="00A17B33" w:rsidP="00A17B33">
      <w:pPr>
        <w:autoSpaceDE w:val="0"/>
        <w:autoSpaceDN w:val="0"/>
        <w:adjustRightInd w:val="0"/>
        <w:spacing w:line="360" w:lineRule="auto"/>
        <w:ind w:left="360"/>
        <w:jc w:val="both"/>
        <w:rPr>
          <w:rFonts w:ascii="Calibri" w:hAnsi="Calibri" w:cs="Calibri"/>
          <w:bCs/>
          <w:sz w:val="20"/>
          <w:szCs w:val="20"/>
        </w:rPr>
      </w:pPr>
    </w:p>
    <w:p w:rsidR="00A17B33" w:rsidRPr="00A70254" w:rsidRDefault="00A17B33" w:rsidP="00A17B33">
      <w:pPr>
        <w:autoSpaceDE w:val="0"/>
        <w:autoSpaceDN w:val="0"/>
        <w:adjustRightInd w:val="0"/>
        <w:spacing w:line="360" w:lineRule="auto"/>
        <w:ind w:left="360"/>
        <w:jc w:val="both"/>
        <w:rPr>
          <w:rFonts w:ascii="Calibri" w:hAnsi="Calibri" w:cs="Calibri"/>
          <w:bCs/>
          <w:sz w:val="20"/>
          <w:szCs w:val="20"/>
        </w:rPr>
      </w:pPr>
    </w:p>
    <w:p w:rsidR="00A17B33" w:rsidRPr="00A70254" w:rsidRDefault="00A17B33" w:rsidP="00A17B33">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lastRenderedPageBreak/>
        <w:t>2.- En las cuentas de gastos y otras pérdidas, la partida de “Transferencias, asignaciones, subsidio</w:t>
      </w:r>
      <w:r w:rsidR="001B320E">
        <w:rPr>
          <w:rFonts w:ascii="Calibri" w:hAnsi="Calibri" w:cs="Calibri"/>
          <w:bCs/>
          <w:sz w:val="20"/>
          <w:szCs w:val="20"/>
        </w:rPr>
        <w:t>s y ayudas”, representa el 42</w:t>
      </w:r>
      <w:r w:rsidR="00C4584A">
        <w:rPr>
          <w:rFonts w:ascii="Calibri" w:hAnsi="Calibri" w:cs="Calibri"/>
          <w:bCs/>
          <w:sz w:val="20"/>
          <w:szCs w:val="20"/>
        </w:rPr>
        <w:t>.6</w:t>
      </w:r>
      <w:r w:rsidR="001B320E">
        <w:rPr>
          <w:rFonts w:ascii="Calibri" w:hAnsi="Calibri" w:cs="Calibri"/>
          <w:bCs/>
          <w:sz w:val="20"/>
          <w:szCs w:val="20"/>
        </w:rPr>
        <w:t>%</w:t>
      </w:r>
      <w:r w:rsidRPr="00A70254">
        <w:rPr>
          <w:rFonts w:ascii="Calibri" w:hAnsi="Calibri" w:cs="Calibri"/>
          <w:bCs/>
          <w:sz w:val="20"/>
          <w:szCs w:val="20"/>
        </w:rPr>
        <w:t xml:space="preserve"> del total de otros gastos, dicho importe corresponde a los recursos transferidos a las demás entidades del sector público.</w:t>
      </w:r>
    </w:p>
    <w:p w:rsidR="00A17B33" w:rsidRPr="008D7D96" w:rsidRDefault="00A17B33" w:rsidP="00A17B33">
      <w:pPr>
        <w:autoSpaceDE w:val="0"/>
        <w:autoSpaceDN w:val="0"/>
        <w:adjustRightInd w:val="0"/>
        <w:spacing w:line="360" w:lineRule="auto"/>
        <w:ind w:left="360"/>
        <w:jc w:val="both"/>
        <w:rPr>
          <w:rFonts w:ascii="Calibri" w:hAnsi="Calibri" w:cs="Calibri"/>
          <w:b/>
          <w:bCs/>
          <w:sz w:val="18"/>
          <w:szCs w:val="18"/>
        </w:rPr>
      </w:pPr>
    </w:p>
    <w:p w:rsidR="00A17B33" w:rsidRPr="004A6DB7" w:rsidRDefault="00A17B33" w:rsidP="00A17B33">
      <w:pPr>
        <w:autoSpaceDE w:val="0"/>
        <w:autoSpaceDN w:val="0"/>
        <w:adjustRightInd w:val="0"/>
        <w:spacing w:line="360" w:lineRule="auto"/>
        <w:rPr>
          <w:b/>
        </w:rPr>
      </w:pPr>
      <w:r w:rsidRPr="008D7D96">
        <w:rPr>
          <w:b/>
        </w:rPr>
        <w:t xml:space="preserve">4) </w:t>
      </w:r>
      <w:r w:rsidRPr="004A6DB7">
        <w:rPr>
          <w:b/>
        </w:rPr>
        <w:t>NOTAS AL ESTADO DE FLUJO DE EFECTIVO</w:t>
      </w:r>
    </w:p>
    <w:p w:rsidR="00A17B33" w:rsidRPr="004A6DB7" w:rsidRDefault="00A17B33" w:rsidP="00A17B33">
      <w:pPr>
        <w:autoSpaceDE w:val="0"/>
        <w:autoSpaceDN w:val="0"/>
        <w:adjustRightInd w:val="0"/>
        <w:spacing w:line="360" w:lineRule="auto"/>
        <w:ind w:firstLine="708"/>
        <w:jc w:val="both"/>
        <w:rPr>
          <w:rFonts w:ascii="Calibri" w:hAnsi="Calibri" w:cs="Calibri"/>
          <w:b/>
          <w:bCs/>
          <w:sz w:val="18"/>
          <w:szCs w:val="18"/>
        </w:rPr>
      </w:pPr>
    </w:p>
    <w:p w:rsidR="00A17B33" w:rsidRPr="004A6DB7" w:rsidRDefault="00A17B33" w:rsidP="00A17B33">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p w:rsidR="00A17B33" w:rsidRPr="004A6DB7" w:rsidRDefault="00A17B33" w:rsidP="00A17B33">
      <w:pPr>
        <w:autoSpaceDE w:val="0"/>
        <w:autoSpaceDN w:val="0"/>
        <w:adjustRightInd w:val="0"/>
        <w:spacing w:line="360" w:lineRule="auto"/>
        <w:ind w:left="708"/>
        <w:jc w:val="both"/>
        <w:rPr>
          <w:rFonts w:ascii="Calibri" w:hAnsi="Calibri" w:cs="Calibri"/>
          <w:bCs/>
          <w:sz w:val="20"/>
          <w:szCs w:val="20"/>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6"/>
        <w:gridCol w:w="1488"/>
        <w:gridCol w:w="1488"/>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20"/>
                <w:szCs w:val="20"/>
              </w:rPr>
            </w:pPr>
            <w:bookmarkStart w:id="13" w:name="m13"/>
            <w:bookmarkEnd w:id="13"/>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r>
              <w:rPr>
                <w:rFonts w:ascii="Calibri" w:hAnsi="Calibri" w:cs="Calibri"/>
                <w:b/>
                <w:bCs/>
                <w:sz w:val="20"/>
                <w:szCs w:val="20"/>
              </w:rPr>
              <w:t>Saldo Inicial</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r>
              <w:rPr>
                <w:rFonts w:ascii="Calibri" w:hAnsi="Calibri" w:cs="Calibri"/>
                <w:b/>
                <w:bCs/>
                <w:sz w:val="20"/>
                <w:szCs w:val="20"/>
              </w:rPr>
              <w:t>Saldo Final</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20"/>
                <w:szCs w:val="20"/>
              </w:rPr>
            </w:pPr>
            <w:r>
              <w:rPr>
                <w:rFonts w:ascii="Calibri" w:hAnsi="Calibri" w:cs="Calibri"/>
                <w:b/>
                <w:bCs/>
                <w:sz w:val="20"/>
                <w:szCs w:val="20"/>
              </w:rPr>
              <w:t>EFECTIVO Y EQUIVALENTES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EFECTIVO</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248,332,934.64</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55,334,402.69</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BANCOS/TESORERÍA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274,467,928.07</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558,989,778.27</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INVERSIONES TEMPORALES (HASTA 3 MESES)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488.11</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275,352,518.62</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20"/>
                <w:szCs w:val="20"/>
              </w:rPr>
            </w:pPr>
            <w:r>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62,623,533.98</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20"/>
                <w:szCs w:val="20"/>
              </w:rPr>
            </w:pPr>
            <w:r>
              <w:rPr>
                <w:rFonts w:ascii="Calibri" w:hAnsi="Calibri" w:cs="Calibri"/>
                <w:bCs/>
                <w:sz w:val="20"/>
                <w:szCs w:val="20"/>
              </w:rPr>
              <w:t>63,172,266.03</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20"/>
                <w:szCs w:val="20"/>
              </w:rPr>
            </w:pPr>
            <w:r>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r>
              <w:rPr>
                <w:rFonts w:ascii="Calibri" w:hAnsi="Calibri" w:cs="Calibri"/>
                <w:b/>
                <w:bCs/>
                <w:sz w:val="20"/>
                <w:szCs w:val="20"/>
              </w:rPr>
              <w:t>585,424,884.80</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20"/>
                <w:szCs w:val="20"/>
              </w:rPr>
            </w:pPr>
            <w:r>
              <w:rPr>
                <w:rFonts w:ascii="Calibri" w:hAnsi="Calibri" w:cs="Calibri"/>
                <w:b/>
                <w:bCs/>
                <w:sz w:val="20"/>
                <w:szCs w:val="20"/>
              </w:rPr>
              <w:t>952,848,965.61</w:t>
            </w:r>
          </w:p>
        </w:tc>
      </w:tr>
    </w:tbl>
    <w:p w:rsidR="00A17B33" w:rsidRDefault="00A17B33" w:rsidP="00A17B33">
      <w:pPr>
        <w:autoSpaceDE w:val="0"/>
        <w:autoSpaceDN w:val="0"/>
        <w:adjustRightInd w:val="0"/>
        <w:spacing w:line="360" w:lineRule="auto"/>
        <w:ind w:left="708"/>
        <w:jc w:val="both"/>
        <w:rPr>
          <w:rFonts w:ascii="Calibri" w:hAnsi="Calibri" w:cs="Calibri"/>
          <w:bCs/>
          <w:sz w:val="20"/>
          <w:szCs w:val="20"/>
        </w:rPr>
      </w:pPr>
    </w:p>
    <w:p w:rsidR="00A17B33" w:rsidRPr="004A6DB7" w:rsidRDefault="00A17B33" w:rsidP="00A17B33">
      <w:pPr>
        <w:autoSpaceDE w:val="0"/>
        <w:autoSpaceDN w:val="0"/>
        <w:adjustRightInd w:val="0"/>
        <w:spacing w:line="360" w:lineRule="auto"/>
        <w:ind w:left="708"/>
        <w:jc w:val="both"/>
        <w:rPr>
          <w:rFonts w:ascii="Calibri" w:hAnsi="Calibri" w:cs="Calibri"/>
          <w:bCs/>
          <w:sz w:val="20"/>
          <w:szCs w:val="20"/>
        </w:rPr>
      </w:pPr>
    </w:p>
    <w:p w:rsidR="00A17B33" w:rsidRPr="004A6DB7" w:rsidRDefault="00A17B33" w:rsidP="001B320E">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2.- Con respecto a la adquisición de activos fijo realizada en el mes</w:t>
      </w:r>
      <w:r w:rsidR="001B320E">
        <w:rPr>
          <w:rFonts w:ascii="Calibri" w:hAnsi="Calibri" w:cs="Calibri"/>
          <w:bCs/>
          <w:sz w:val="20"/>
          <w:szCs w:val="20"/>
        </w:rPr>
        <w:t xml:space="preserve"> de diciembre del Ejercicio 201</w:t>
      </w:r>
      <w:r w:rsidR="00E91FB0">
        <w:rPr>
          <w:rFonts w:ascii="Calibri" w:hAnsi="Calibri" w:cs="Calibri"/>
          <w:bCs/>
          <w:sz w:val="20"/>
          <w:szCs w:val="20"/>
        </w:rPr>
        <w:t>7</w:t>
      </w:r>
      <w:r w:rsidRPr="004A6DB7">
        <w:rPr>
          <w:rFonts w:ascii="Calibri" w:hAnsi="Calibri" w:cs="Calibri"/>
          <w:bCs/>
          <w:sz w:val="20"/>
          <w:szCs w:val="20"/>
        </w:rPr>
        <w:t>, dichos activos se adquirieron con las siguientes fuentes de financiamiento.</w:t>
      </w:r>
    </w:p>
    <w:tbl>
      <w:tblPr>
        <w:tblW w:w="9000" w:type="dxa"/>
        <w:jc w:val="center"/>
        <w:tblInd w:w="55" w:type="dxa"/>
        <w:tblCellMar>
          <w:left w:w="70" w:type="dxa"/>
          <w:right w:w="70" w:type="dxa"/>
        </w:tblCellMar>
        <w:tblLook w:val="04A0" w:firstRow="1" w:lastRow="0" w:firstColumn="1" w:lastColumn="0" w:noHBand="0" w:noVBand="1"/>
      </w:tblPr>
      <w:tblGrid>
        <w:gridCol w:w="6360"/>
        <w:gridCol w:w="1440"/>
        <w:gridCol w:w="1200"/>
      </w:tblGrid>
      <w:tr w:rsidR="00585774" w:rsidRPr="00585774" w:rsidTr="00585774">
        <w:trPr>
          <w:trHeight w:val="300"/>
          <w:jc w:val="center"/>
        </w:trPr>
        <w:tc>
          <w:tcPr>
            <w:tcW w:w="6360" w:type="dxa"/>
            <w:tcBorders>
              <w:top w:val="nil"/>
              <w:left w:val="nil"/>
              <w:bottom w:val="nil"/>
              <w:right w:val="nil"/>
            </w:tcBorders>
            <w:shd w:val="clear" w:color="auto" w:fill="auto"/>
            <w:noWrap/>
            <w:vAlign w:val="bottom"/>
            <w:hideMark/>
          </w:tcPr>
          <w:p w:rsidR="00585774" w:rsidRPr="00585774" w:rsidRDefault="00585774" w:rsidP="00585774">
            <w:pPr>
              <w:jc w:val="center"/>
              <w:rPr>
                <w:rFonts w:ascii="Calibri" w:hAnsi="Calibri"/>
                <w:b/>
                <w:bCs/>
                <w:color w:val="000000"/>
                <w:sz w:val="20"/>
                <w:szCs w:val="20"/>
                <w:lang w:eastAsia="es-MX"/>
              </w:rPr>
            </w:pPr>
            <w:r w:rsidRPr="00585774">
              <w:rPr>
                <w:rFonts w:ascii="Calibri" w:hAnsi="Calibri"/>
                <w:b/>
                <w:bCs/>
                <w:color w:val="000000"/>
                <w:sz w:val="20"/>
                <w:szCs w:val="20"/>
                <w:lang w:eastAsia="es-MX"/>
              </w:rPr>
              <w:t>FUENTES DE FINANCIAMIENTO</w:t>
            </w:r>
          </w:p>
        </w:tc>
        <w:tc>
          <w:tcPr>
            <w:tcW w:w="1440" w:type="dxa"/>
            <w:tcBorders>
              <w:top w:val="nil"/>
              <w:left w:val="nil"/>
              <w:bottom w:val="nil"/>
              <w:right w:val="nil"/>
            </w:tcBorders>
            <w:shd w:val="clear" w:color="auto" w:fill="auto"/>
            <w:noWrap/>
            <w:vAlign w:val="bottom"/>
            <w:hideMark/>
          </w:tcPr>
          <w:p w:rsidR="00585774" w:rsidRPr="00585774" w:rsidRDefault="00585774" w:rsidP="00585774">
            <w:pPr>
              <w:jc w:val="center"/>
              <w:rPr>
                <w:rFonts w:ascii="Calibri" w:hAnsi="Calibri"/>
                <w:b/>
                <w:bCs/>
                <w:color w:val="000000"/>
                <w:sz w:val="20"/>
                <w:szCs w:val="20"/>
                <w:lang w:eastAsia="es-MX"/>
              </w:rPr>
            </w:pPr>
            <w:r w:rsidRPr="00585774">
              <w:rPr>
                <w:rFonts w:ascii="Calibri" w:hAnsi="Calibri"/>
                <w:b/>
                <w:bCs/>
                <w:color w:val="000000"/>
                <w:sz w:val="20"/>
                <w:szCs w:val="20"/>
                <w:lang w:eastAsia="es-MX"/>
              </w:rPr>
              <w:t>IMPORTE</w:t>
            </w:r>
          </w:p>
        </w:tc>
        <w:tc>
          <w:tcPr>
            <w:tcW w:w="1200" w:type="dxa"/>
            <w:tcBorders>
              <w:top w:val="nil"/>
              <w:left w:val="nil"/>
              <w:bottom w:val="nil"/>
              <w:right w:val="nil"/>
            </w:tcBorders>
            <w:shd w:val="clear" w:color="auto" w:fill="auto"/>
            <w:noWrap/>
            <w:vAlign w:val="bottom"/>
            <w:hideMark/>
          </w:tcPr>
          <w:p w:rsidR="00585774" w:rsidRPr="00585774" w:rsidRDefault="00585774" w:rsidP="00585774">
            <w:pPr>
              <w:rPr>
                <w:rFonts w:ascii="Calibri" w:hAnsi="Calibri"/>
                <w:color w:val="000000"/>
                <w:sz w:val="20"/>
                <w:szCs w:val="20"/>
                <w:lang w:eastAsia="es-MX"/>
              </w:rPr>
            </w:pP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RECURSOS PROPIOS</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95,721,867.61</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60%</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FAM INFRAESTRUCTURA EDUCATIVA BÁSICA</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16,759,311.47</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11%</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lastRenderedPageBreak/>
              <w:t>PROGRAMA DE FORTALECIMIENTO FINANCIERO</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21,128,017.39</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13%</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PROYECTOS DE CULTURA (PEF) AÑOS ANTERIORES</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145,643.91</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6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PROGRAMA DE ESTÍMULOS A LA INNOVACIÓN  INVESTIGACIÓN Y DESARROLLO TECNOLÓGICO AA</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91,052.88</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INSTITUCIONES ESTATALES DE CULTURA AÑOS ANTERIORES</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177,639.99</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6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SEGUNDO ACUERDO ESPECÍFICO DE EJECUCIÓN PARA LA APLICACIÓN DEL PROGRAMA DE APOYO</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421,282.23</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6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FONDO INSTITUCIONAL DE FOMENTO REGIONAL PARA EL DESARROLLO CIENTÍFICO TECNOLÓGIC</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446,802.86</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6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PROGRAMA FORTALECIMIENTO DE LA CALIDAD EDUCATIVA PACTEN A.A.</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5,960,301.01</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4%</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PROYECTOS DE CULTURA (PEF)</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30,624.99</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FORTASEG</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14,854,637.10</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9%</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INSTITUCIONES ESTATALES DE CULTURA</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12,537.00</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ESPACIOS PODER JOVEN</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214,716.08</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MODERNIZACION INTEGRAL DEL REGISTRO CIVIL</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587,952.96</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PROGRAMA DE REFORMA EDUCATIVA</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1,120,000.00</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1%</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APOYO FINANCIERO EXTRAORDINARIO NO REGULARIZABLE</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598,101.28</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300"/>
          <w:jc w:val="center"/>
        </w:trPr>
        <w:tc>
          <w:tcPr>
            <w:tcW w:w="6360" w:type="dxa"/>
            <w:tcBorders>
              <w:top w:val="nil"/>
              <w:left w:val="nil"/>
              <w:bottom w:val="nil"/>
              <w:right w:val="nil"/>
            </w:tcBorders>
            <w:shd w:val="clear" w:color="auto" w:fill="auto"/>
            <w:hideMark/>
          </w:tcPr>
          <w:p w:rsidR="00585774" w:rsidRPr="00585774" w:rsidRDefault="00585774" w:rsidP="00585774">
            <w:pPr>
              <w:rPr>
                <w:rFonts w:ascii="Calibri" w:hAnsi="Calibri"/>
                <w:color w:val="000000"/>
                <w:sz w:val="20"/>
                <w:szCs w:val="20"/>
                <w:lang w:eastAsia="es-MX"/>
              </w:rPr>
            </w:pPr>
            <w:r w:rsidRPr="00585774">
              <w:rPr>
                <w:rFonts w:ascii="Calibri" w:hAnsi="Calibri"/>
                <w:color w:val="000000"/>
                <w:sz w:val="20"/>
                <w:szCs w:val="20"/>
                <w:lang w:eastAsia="es-MX"/>
              </w:rPr>
              <w:t>PROGRAMA PARA LA INCLUSIÓN Y LA EQUIDAD EDUCATIVA</w:t>
            </w:r>
          </w:p>
        </w:tc>
        <w:tc>
          <w:tcPr>
            <w:tcW w:w="1440" w:type="dxa"/>
            <w:tcBorders>
              <w:top w:val="nil"/>
              <w:left w:val="nil"/>
              <w:bottom w:val="single" w:sz="4" w:space="0" w:color="auto"/>
              <w:right w:val="nil"/>
            </w:tcBorders>
            <w:shd w:val="clear" w:color="auto" w:fill="auto"/>
            <w:noWrap/>
            <w:hideMark/>
          </w:tcPr>
          <w:p w:rsidR="00585774" w:rsidRPr="005C534E" w:rsidRDefault="00585774" w:rsidP="00585774">
            <w:pPr>
              <w:jc w:val="right"/>
              <w:rPr>
                <w:rFonts w:asciiTheme="minorHAnsi" w:hAnsiTheme="minorHAnsi" w:cs="Arial"/>
                <w:color w:val="000000"/>
                <w:sz w:val="20"/>
                <w:szCs w:val="20"/>
                <w:lang w:eastAsia="es-MX"/>
              </w:rPr>
            </w:pPr>
            <w:r w:rsidRPr="005C534E">
              <w:rPr>
                <w:rFonts w:asciiTheme="minorHAnsi" w:hAnsiTheme="minorHAnsi" w:cs="Arial"/>
                <w:color w:val="000000"/>
                <w:sz w:val="20"/>
                <w:szCs w:val="20"/>
                <w:lang w:eastAsia="es-MX"/>
              </w:rPr>
              <w:t>194,414.72</w:t>
            </w:r>
          </w:p>
        </w:tc>
        <w:tc>
          <w:tcPr>
            <w:tcW w:w="1200" w:type="dxa"/>
            <w:tcBorders>
              <w:top w:val="nil"/>
              <w:left w:val="nil"/>
              <w:bottom w:val="single" w:sz="4" w:space="0" w:color="auto"/>
              <w:right w:val="nil"/>
            </w:tcBorders>
            <w:shd w:val="clear" w:color="auto" w:fill="auto"/>
            <w:noWrap/>
            <w:vAlign w:val="bottom"/>
            <w:hideMark/>
          </w:tcPr>
          <w:p w:rsidR="00585774" w:rsidRPr="005C534E" w:rsidRDefault="00585774" w:rsidP="00585774">
            <w:pPr>
              <w:jc w:val="right"/>
              <w:rPr>
                <w:rFonts w:asciiTheme="minorHAnsi" w:hAnsiTheme="minorHAnsi"/>
                <w:color w:val="000000"/>
                <w:sz w:val="20"/>
                <w:szCs w:val="20"/>
                <w:lang w:eastAsia="es-MX"/>
              </w:rPr>
            </w:pPr>
            <w:r w:rsidRPr="005C534E">
              <w:rPr>
                <w:rFonts w:asciiTheme="minorHAnsi" w:hAnsiTheme="minorHAnsi"/>
                <w:color w:val="000000"/>
                <w:sz w:val="20"/>
                <w:szCs w:val="20"/>
                <w:lang w:eastAsia="es-MX"/>
              </w:rPr>
              <w:t>0%</w:t>
            </w:r>
          </w:p>
        </w:tc>
      </w:tr>
      <w:tr w:rsidR="00585774" w:rsidRPr="005C534E" w:rsidTr="00585774">
        <w:trPr>
          <w:trHeight w:val="300"/>
          <w:jc w:val="center"/>
        </w:trPr>
        <w:tc>
          <w:tcPr>
            <w:tcW w:w="6360" w:type="dxa"/>
            <w:tcBorders>
              <w:top w:val="nil"/>
              <w:left w:val="nil"/>
              <w:bottom w:val="nil"/>
              <w:right w:val="nil"/>
            </w:tcBorders>
            <w:shd w:val="clear" w:color="auto" w:fill="auto"/>
            <w:noWrap/>
            <w:hideMark/>
          </w:tcPr>
          <w:p w:rsidR="00585774" w:rsidRPr="00585774" w:rsidRDefault="00585774" w:rsidP="00585774">
            <w:pPr>
              <w:rPr>
                <w:rFonts w:ascii="Calibri" w:hAnsi="Calibri"/>
                <w:b/>
                <w:bCs/>
                <w:color w:val="000000"/>
                <w:sz w:val="20"/>
                <w:szCs w:val="20"/>
                <w:lang w:eastAsia="es-MX"/>
              </w:rPr>
            </w:pPr>
            <w:r w:rsidRPr="00585774">
              <w:rPr>
                <w:rFonts w:ascii="Calibri" w:hAnsi="Calibri"/>
                <w:b/>
                <w:bCs/>
                <w:color w:val="000000"/>
                <w:sz w:val="20"/>
                <w:szCs w:val="20"/>
                <w:lang w:eastAsia="es-MX"/>
              </w:rPr>
              <w:t>Total</w:t>
            </w:r>
          </w:p>
        </w:tc>
        <w:tc>
          <w:tcPr>
            <w:tcW w:w="1440" w:type="dxa"/>
            <w:tcBorders>
              <w:top w:val="nil"/>
              <w:left w:val="nil"/>
              <w:bottom w:val="nil"/>
              <w:right w:val="nil"/>
            </w:tcBorders>
            <w:shd w:val="clear" w:color="auto" w:fill="auto"/>
            <w:noWrap/>
            <w:hideMark/>
          </w:tcPr>
          <w:p w:rsidR="00585774" w:rsidRPr="005C534E" w:rsidRDefault="00585774" w:rsidP="00585774">
            <w:pPr>
              <w:jc w:val="right"/>
              <w:rPr>
                <w:rFonts w:asciiTheme="minorHAnsi" w:hAnsiTheme="minorHAnsi" w:cs="Arial"/>
                <w:b/>
                <w:bCs/>
                <w:color w:val="000000"/>
                <w:sz w:val="20"/>
                <w:szCs w:val="20"/>
                <w:lang w:eastAsia="es-MX"/>
              </w:rPr>
            </w:pPr>
            <w:r w:rsidRPr="005C534E">
              <w:rPr>
                <w:rFonts w:asciiTheme="minorHAnsi" w:hAnsiTheme="minorHAnsi" w:cs="Arial"/>
                <w:b/>
                <w:bCs/>
                <w:color w:val="000000"/>
                <w:sz w:val="20"/>
                <w:szCs w:val="20"/>
                <w:lang w:eastAsia="es-MX"/>
              </w:rPr>
              <w:t>158,464,903.48</w:t>
            </w:r>
          </w:p>
        </w:tc>
        <w:tc>
          <w:tcPr>
            <w:tcW w:w="1200" w:type="dxa"/>
            <w:tcBorders>
              <w:top w:val="nil"/>
              <w:left w:val="nil"/>
              <w:bottom w:val="nil"/>
              <w:right w:val="nil"/>
            </w:tcBorders>
            <w:shd w:val="clear" w:color="auto" w:fill="auto"/>
            <w:noWrap/>
            <w:vAlign w:val="bottom"/>
            <w:hideMark/>
          </w:tcPr>
          <w:p w:rsidR="00585774" w:rsidRPr="005C534E" w:rsidRDefault="00585774" w:rsidP="00585774">
            <w:pPr>
              <w:jc w:val="right"/>
              <w:rPr>
                <w:rFonts w:asciiTheme="minorHAnsi" w:hAnsiTheme="minorHAnsi"/>
                <w:b/>
                <w:bCs/>
                <w:color w:val="000000"/>
                <w:sz w:val="20"/>
                <w:szCs w:val="20"/>
                <w:lang w:eastAsia="es-MX"/>
              </w:rPr>
            </w:pPr>
            <w:r w:rsidRPr="005C534E">
              <w:rPr>
                <w:rFonts w:asciiTheme="minorHAnsi" w:hAnsiTheme="minorHAnsi"/>
                <w:b/>
                <w:bCs/>
                <w:color w:val="000000"/>
                <w:sz w:val="20"/>
                <w:szCs w:val="20"/>
                <w:lang w:eastAsia="es-MX"/>
              </w:rPr>
              <w:t>100%</w:t>
            </w:r>
          </w:p>
        </w:tc>
      </w:tr>
    </w:tbl>
    <w:p w:rsidR="00A17B33" w:rsidRPr="004A6DB7" w:rsidRDefault="00A17B33" w:rsidP="00A17B33">
      <w:pPr>
        <w:autoSpaceDE w:val="0"/>
        <w:autoSpaceDN w:val="0"/>
        <w:adjustRightInd w:val="0"/>
        <w:spacing w:line="360" w:lineRule="auto"/>
        <w:ind w:left="708"/>
        <w:jc w:val="both"/>
        <w:rPr>
          <w:rFonts w:ascii="Calibri" w:hAnsi="Calibri" w:cs="Calibri"/>
          <w:b/>
          <w:bCs/>
          <w:sz w:val="18"/>
          <w:szCs w:val="18"/>
        </w:rPr>
      </w:pPr>
    </w:p>
    <w:p w:rsidR="00A17B33" w:rsidRDefault="00A17B33" w:rsidP="00A17B33">
      <w:pPr>
        <w:autoSpaceDE w:val="0"/>
        <w:autoSpaceDN w:val="0"/>
        <w:adjustRightInd w:val="0"/>
        <w:spacing w:line="360" w:lineRule="auto"/>
        <w:ind w:left="708"/>
        <w:jc w:val="both"/>
        <w:rPr>
          <w:rFonts w:ascii="Calibri" w:hAnsi="Calibri" w:cs="Calibri"/>
          <w:b/>
          <w:bCs/>
          <w:sz w:val="18"/>
          <w:szCs w:val="18"/>
        </w:rPr>
      </w:pPr>
      <w:bookmarkStart w:id="14" w:name="m14"/>
      <w:bookmarkEnd w:id="14"/>
    </w:p>
    <w:p w:rsidR="00A17B33" w:rsidRPr="004A6DB7" w:rsidRDefault="00A17B33" w:rsidP="00A17B33">
      <w:pPr>
        <w:autoSpaceDE w:val="0"/>
        <w:autoSpaceDN w:val="0"/>
        <w:adjustRightInd w:val="0"/>
        <w:spacing w:line="360" w:lineRule="auto"/>
        <w:ind w:left="708"/>
        <w:jc w:val="both"/>
        <w:rPr>
          <w:rFonts w:ascii="Calibri" w:hAnsi="Calibri" w:cs="Calibri"/>
          <w:b/>
          <w:bCs/>
          <w:sz w:val="18"/>
          <w:szCs w:val="18"/>
        </w:rPr>
      </w:pPr>
    </w:p>
    <w:p w:rsidR="00A17B33" w:rsidRDefault="00A17B33" w:rsidP="00A17B33">
      <w:pPr>
        <w:autoSpaceDE w:val="0"/>
        <w:autoSpaceDN w:val="0"/>
        <w:adjustRightInd w:val="0"/>
        <w:spacing w:line="360" w:lineRule="auto"/>
        <w:rPr>
          <w:b/>
        </w:rPr>
      </w:pPr>
    </w:p>
    <w:p w:rsidR="00A17B33" w:rsidRDefault="00A17B33" w:rsidP="00A17B33">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lastRenderedPageBreak/>
        <w:t>3.- Se presenta la conciliación contable presupuestaria según lo dispuesto en el acuerdo por medio del cual se emite el formato de conciliación entre los ingresos presupuestarios y contables, asi como entre los egresos presupuestarios y los gastos contables.</w:t>
      </w:r>
    </w:p>
    <w:p w:rsidR="00A17B33" w:rsidRDefault="00A17B33" w:rsidP="00A17B33">
      <w:pPr>
        <w:autoSpaceDE w:val="0"/>
        <w:autoSpaceDN w:val="0"/>
        <w:adjustRightInd w:val="0"/>
        <w:spacing w:line="360" w:lineRule="auto"/>
        <w:ind w:left="708"/>
        <w:jc w:val="both"/>
        <w:rPr>
          <w:rFonts w:ascii="Calibri" w:hAnsi="Calibri" w:cs="Calibri"/>
          <w:bCs/>
          <w:sz w:val="20"/>
          <w:szCs w:val="20"/>
        </w:rPr>
      </w:pPr>
    </w:p>
    <w:p w:rsidR="00A17B33" w:rsidRPr="004F0F09" w:rsidRDefault="00A17B33" w:rsidP="00A17B33">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A. Conciliación de ingresos presupuestarios y contables del 1 de enero al 31 de dici</w:t>
      </w:r>
      <w:r w:rsidR="00585774">
        <w:rPr>
          <w:rFonts w:ascii="Calibri" w:hAnsi="Calibri" w:cs="Calibri"/>
          <w:bCs/>
          <w:sz w:val="20"/>
          <w:szCs w:val="20"/>
        </w:rPr>
        <w:t>embre de 2017</w:t>
      </w:r>
      <w:r w:rsidRPr="004F0F09">
        <w:rPr>
          <w:rFonts w:ascii="Calibri" w:hAnsi="Calibri" w:cs="Calibri"/>
          <w:bCs/>
          <w:sz w:val="20"/>
          <w:szCs w:val="20"/>
        </w:rPr>
        <w:t>.</w:t>
      </w:r>
    </w:p>
    <w:tbl>
      <w:tblPr>
        <w:tblW w:w="8100" w:type="dxa"/>
        <w:jc w:val="center"/>
        <w:tblInd w:w="55" w:type="dxa"/>
        <w:tblCellMar>
          <w:left w:w="70" w:type="dxa"/>
          <w:right w:w="70" w:type="dxa"/>
        </w:tblCellMar>
        <w:tblLook w:val="04A0" w:firstRow="1" w:lastRow="0" w:firstColumn="1" w:lastColumn="0" w:noHBand="0" w:noVBand="1"/>
      </w:tblPr>
      <w:tblGrid>
        <w:gridCol w:w="1199"/>
        <w:gridCol w:w="3579"/>
        <w:gridCol w:w="1542"/>
        <w:gridCol w:w="1780"/>
      </w:tblGrid>
      <w:tr w:rsidR="006B117A" w:rsidRPr="006B117A" w:rsidTr="006B117A">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6B117A" w:rsidRPr="006B117A" w:rsidRDefault="006B117A" w:rsidP="006B117A">
            <w:pPr>
              <w:jc w:val="both"/>
              <w:rPr>
                <w:rFonts w:ascii="Arial" w:hAnsi="Arial" w:cs="Arial"/>
                <w:b/>
                <w:bCs/>
                <w:color w:val="000000"/>
                <w:sz w:val="18"/>
                <w:szCs w:val="18"/>
                <w:lang w:eastAsia="es-MX"/>
              </w:rPr>
            </w:pPr>
            <w:bookmarkStart w:id="15" w:name="m24"/>
            <w:bookmarkEnd w:id="15"/>
            <w:r w:rsidRPr="006B117A">
              <w:rPr>
                <w:rFonts w:ascii="Arial" w:hAnsi="Arial" w:cs="Arial"/>
                <w:b/>
                <w:bCs/>
                <w:color w:val="000000"/>
                <w:sz w:val="18"/>
                <w:szCs w:val="18"/>
                <w:lang w:eastAsia="es-MX"/>
              </w:rPr>
              <w:t>1. Ingresos Presupuestarios</w:t>
            </w:r>
          </w:p>
        </w:tc>
        <w:tc>
          <w:tcPr>
            <w:tcW w:w="1540" w:type="dxa"/>
            <w:tcBorders>
              <w:top w:val="nil"/>
              <w:left w:val="nil"/>
              <w:bottom w:val="nil"/>
              <w:right w:val="single" w:sz="8" w:space="0" w:color="auto"/>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1780" w:type="dxa"/>
            <w:tcBorders>
              <w:top w:val="nil"/>
              <w:left w:val="nil"/>
              <w:bottom w:val="single" w:sz="8" w:space="0" w:color="auto"/>
              <w:right w:val="single" w:sz="8" w:space="0" w:color="auto"/>
            </w:tcBorders>
            <w:shd w:val="clear" w:color="000000" w:fill="C0C0C0"/>
            <w:vAlign w:val="center"/>
            <w:hideMark/>
          </w:tcPr>
          <w:p w:rsidR="006B117A" w:rsidRPr="006B117A" w:rsidRDefault="006B117A" w:rsidP="006B117A">
            <w:pPr>
              <w:jc w:val="center"/>
              <w:rPr>
                <w:rFonts w:ascii="Arial" w:hAnsi="Arial" w:cs="Arial"/>
                <w:b/>
                <w:bCs/>
                <w:color w:val="000000"/>
                <w:sz w:val="18"/>
                <w:szCs w:val="18"/>
                <w:lang w:eastAsia="es-MX"/>
              </w:rPr>
            </w:pPr>
            <w:r w:rsidRPr="006B117A">
              <w:rPr>
                <w:rFonts w:ascii="Arial" w:hAnsi="Arial" w:cs="Arial"/>
                <w:b/>
                <w:bCs/>
                <w:color w:val="000000"/>
                <w:sz w:val="18"/>
                <w:szCs w:val="18"/>
                <w:lang w:eastAsia="es-MX"/>
              </w:rPr>
              <w:t>39,560,446,556.45</w:t>
            </w:r>
          </w:p>
        </w:tc>
      </w:tr>
      <w:tr w:rsidR="006B117A" w:rsidRPr="006B117A" w:rsidTr="006B117A">
        <w:trPr>
          <w:trHeight w:val="315"/>
          <w:jc w:val="center"/>
        </w:trPr>
        <w:tc>
          <w:tcPr>
            <w:tcW w:w="4780" w:type="dxa"/>
            <w:gridSpan w:val="2"/>
            <w:tcBorders>
              <w:top w:val="single" w:sz="8" w:space="0" w:color="auto"/>
              <w:left w:val="nil"/>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1540" w:type="dxa"/>
            <w:tcBorders>
              <w:top w:val="single" w:sz="8" w:space="0" w:color="auto"/>
              <w:left w:val="nil"/>
              <w:bottom w:val="single" w:sz="8" w:space="0" w:color="auto"/>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1780" w:type="dxa"/>
            <w:tcBorders>
              <w:top w:val="nil"/>
              <w:left w:val="nil"/>
              <w:bottom w:val="single" w:sz="8" w:space="0" w:color="auto"/>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r w:rsidRPr="006B117A">
              <w:rPr>
                <w:rFonts w:ascii="Arial" w:hAnsi="Arial" w:cs="Arial"/>
                <w:color w:val="000000"/>
                <w:sz w:val="18"/>
                <w:szCs w:val="18"/>
                <w:lang w:eastAsia="es-MX"/>
              </w:rPr>
              <w:t> </w:t>
            </w:r>
          </w:p>
        </w:tc>
      </w:tr>
      <w:tr w:rsidR="006B117A" w:rsidRPr="006B117A" w:rsidTr="006B117A">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B117A" w:rsidRPr="006B117A" w:rsidRDefault="006B117A" w:rsidP="006B117A">
            <w:pPr>
              <w:jc w:val="both"/>
              <w:rPr>
                <w:rFonts w:ascii="Arial" w:hAnsi="Arial" w:cs="Arial"/>
                <w:b/>
                <w:bCs/>
                <w:color w:val="000000"/>
                <w:sz w:val="18"/>
                <w:szCs w:val="18"/>
                <w:lang w:eastAsia="es-MX"/>
              </w:rPr>
            </w:pPr>
            <w:r w:rsidRPr="006B117A">
              <w:rPr>
                <w:rFonts w:ascii="Arial" w:hAnsi="Arial" w:cs="Arial"/>
                <w:b/>
                <w:bCs/>
                <w:color w:val="000000"/>
                <w:sz w:val="18"/>
                <w:szCs w:val="18"/>
                <w:lang w:eastAsia="es-MX"/>
              </w:rPr>
              <w:t>2. Más ingresos contables no presupuestarios</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178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0.05</w:t>
            </w:r>
          </w:p>
        </w:tc>
      </w:tr>
      <w:tr w:rsidR="006B117A" w:rsidRPr="006B117A" w:rsidTr="006B117A">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Incremento por variación de inventarios</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0.00</w:t>
            </w:r>
          </w:p>
        </w:tc>
        <w:tc>
          <w:tcPr>
            <w:tcW w:w="1780" w:type="dxa"/>
            <w:tcBorders>
              <w:top w:val="nil"/>
              <w:left w:val="nil"/>
              <w:bottom w:val="nil"/>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p>
        </w:tc>
      </w:tr>
      <w:tr w:rsidR="006B117A" w:rsidRPr="006B117A" w:rsidTr="006B117A">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Disminución del exceso de estimaciones por pérdida o deterioro u obsolescencia</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0.00</w:t>
            </w:r>
          </w:p>
        </w:tc>
        <w:tc>
          <w:tcPr>
            <w:tcW w:w="1780" w:type="dxa"/>
            <w:tcBorders>
              <w:top w:val="nil"/>
              <w:left w:val="nil"/>
              <w:bottom w:val="nil"/>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p>
        </w:tc>
      </w:tr>
      <w:tr w:rsidR="006B117A" w:rsidRPr="006B117A" w:rsidTr="006B117A">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Disminución del exceso de provisiones</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0.00</w:t>
            </w:r>
          </w:p>
        </w:tc>
        <w:tc>
          <w:tcPr>
            <w:tcW w:w="1780" w:type="dxa"/>
            <w:tcBorders>
              <w:top w:val="nil"/>
              <w:left w:val="nil"/>
              <w:bottom w:val="nil"/>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p>
        </w:tc>
      </w:tr>
      <w:tr w:rsidR="006B117A" w:rsidRPr="006B117A" w:rsidTr="006B117A">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Otros ingresos y beneficios varios</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0.00</w:t>
            </w:r>
          </w:p>
        </w:tc>
        <w:tc>
          <w:tcPr>
            <w:tcW w:w="1780" w:type="dxa"/>
            <w:tcBorders>
              <w:top w:val="nil"/>
              <w:left w:val="nil"/>
              <w:bottom w:val="nil"/>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p>
        </w:tc>
      </w:tr>
      <w:tr w:rsidR="006B117A" w:rsidRPr="006B117A" w:rsidTr="006B117A">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Otros ingresos contables no presupuestarios</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0.05</w:t>
            </w:r>
          </w:p>
        </w:tc>
        <w:tc>
          <w:tcPr>
            <w:tcW w:w="1780" w:type="dxa"/>
            <w:tcBorders>
              <w:top w:val="nil"/>
              <w:left w:val="nil"/>
              <w:bottom w:val="nil"/>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p>
        </w:tc>
      </w:tr>
      <w:tr w:rsidR="006B117A" w:rsidRPr="006B117A" w:rsidTr="006B117A">
        <w:trPr>
          <w:trHeight w:val="315"/>
          <w:jc w:val="center"/>
        </w:trPr>
        <w:tc>
          <w:tcPr>
            <w:tcW w:w="4780" w:type="dxa"/>
            <w:gridSpan w:val="2"/>
            <w:tcBorders>
              <w:top w:val="single" w:sz="8" w:space="0" w:color="auto"/>
              <w:left w:val="nil"/>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1540" w:type="dxa"/>
            <w:tcBorders>
              <w:top w:val="nil"/>
              <w:left w:val="nil"/>
              <w:bottom w:val="single" w:sz="8" w:space="0" w:color="auto"/>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1780" w:type="dxa"/>
            <w:tcBorders>
              <w:top w:val="nil"/>
              <w:left w:val="nil"/>
              <w:bottom w:val="single" w:sz="8" w:space="0" w:color="auto"/>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r w:rsidRPr="006B117A">
              <w:rPr>
                <w:rFonts w:ascii="Arial" w:hAnsi="Arial" w:cs="Arial"/>
                <w:color w:val="000000"/>
                <w:sz w:val="18"/>
                <w:szCs w:val="18"/>
                <w:lang w:eastAsia="es-MX"/>
              </w:rPr>
              <w:t> </w:t>
            </w:r>
          </w:p>
        </w:tc>
      </w:tr>
      <w:tr w:rsidR="006B117A" w:rsidRPr="006B117A" w:rsidTr="006B117A">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B117A" w:rsidRPr="006B117A" w:rsidRDefault="006B117A" w:rsidP="006B117A">
            <w:pPr>
              <w:jc w:val="both"/>
              <w:rPr>
                <w:rFonts w:ascii="Arial" w:hAnsi="Arial" w:cs="Arial"/>
                <w:b/>
                <w:bCs/>
                <w:color w:val="000000"/>
                <w:sz w:val="18"/>
                <w:szCs w:val="18"/>
                <w:lang w:eastAsia="es-MX"/>
              </w:rPr>
            </w:pPr>
            <w:r w:rsidRPr="006B117A">
              <w:rPr>
                <w:rFonts w:ascii="Arial" w:hAnsi="Arial" w:cs="Arial"/>
                <w:b/>
                <w:bCs/>
                <w:color w:val="000000"/>
                <w:sz w:val="18"/>
                <w:szCs w:val="18"/>
                <w:lang w:eastAsia="es-MX"/>
              </w:rPr>
              <w:t>3. Menos ingresos presupuestarios no contables</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178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2,187,200,000.00</w:t>
            </w:r>
          </w:p>
        </w:tc>
      </w:tr>
      <w:tr w:rsidR="006B117A" w:rsidRPr="006B117A" w:rsidTr="006B117A">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Productos de capital</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0.00</w:t>
            </w:r>
          </w:p>
        </w:tc>
        <w:tc>
          <w:tcPr>
            <w:tcW w:w="1780" w:type="dxa"/>
            <w:tcBorders>
              <w:top w:val="nil"/>
              <w:left w:val="nil"/>
              <w:bottom w:val="nil"/>
              <w:right w:val="nil"/>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p>
        </w:tc>
      </w:tr>
      <w:tr w:rsidR="006B117A" w:rsidRPr="006B117A" w:rsidTr="006B117A">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Aprovechamientos capital</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0.00</w:t>
            </w:r>
          </w:p>
        </w:tc>
        <w:tc>
          <w:tcPr>
            <w:tcW w:w="1780" w:type="dxa"/>
            <w:tcBorders>
              <w:top w:val="nil"/>
              <w:left w:val="nil"/>
              <w:bottom w:val="nil"/>
              <w:right w:val="nil"/>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p>
        </w:tc>
      </w:tr>
      <w:tr w:rsidR="006B117A" w:rsidRPr="006B117A" w:rsidTr="006B117A">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Ingresos derivados de financiamientos</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2,187,200,000.00</w:t>
            </w:r>
          </w:p>
        </w:tc>
        <w:tc>
          <w:tcPr>
            <w:tcW w:w="1780" w:type="dxa"/>
            <w:tcBorders>
              <w:top w:val="nil"/>
              <w:left w:val="nil"/>
              <w:bottom w:val="nil"/>
              <w:right w:val="nil"/>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p>
        </w:tc>
      </w:tr>
      <w:tr w:rsidR="006B117A" w:rsidRPr="006B117A" w:rsidTr="006B117A">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Otros Ingresos presupuestarios no contables</w:t>
            </w:r>
          </w:p>
        </w:tc>
        <w:tc>
          <w:tcPr>
            <w:tcW w:w="1540" w:type="dxa"/>
            <w:tcBorders>
              <w:top w:val="nil"/>
              <w:left w:val="nil"/>
              <w:bottom w:val="single" w:sz="8" w:space="0" w:color="auto"/>
              <w:right w:val="single" w:sz="8" w:space="0" w:color="auto"/>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r w:rsidRPr="006B117A">
              <w:rPr>
                <w:rFonts w:ascii="Arial" w:hAnsi="Arial" w:cs="Arial"/>
                <w:color w:val="000000"/>
                <w:sz w:val="18"/>
                <w:szCs w:val="18"/>
                <w:lang w:eastAsia="es-MX"/>
              </w:rPr>
              <w:t>0.00</w:t>
            </w:r>
          </w:p>
        </w:tc>
        <w:tc>
          <w:tcPr>
            <w:tcW w:w="1780" w:type="dxa"/>
            <w:tcBorders>
              <w:top w:val="nil"/>
              <w:left w:val="nil"/>
              <w:bottom w:val="nil"/>
              <w:right w:val="nil"/>
            </w:tcBorders>
            <w:shd w:val="clear" w:color="auto" w:fill="auto"/>
            <w:vAlign w:val="center"/>
            <w:hideMark/>
          </w:tcPr>
          <w:p w:rsidR="006B117A" w:rsidRPr="006B117A" w:rsidRDefault="006B117A" w:rsidP="006B117A">
            <w:pPr>
              <w:jc w:val="right"/>
              <w:rPr>
                <w:rFonts w:ascii="Arial" w:hAnsi="Arial" w:cs="Arial"/>
                <w:color w:val="000000"/>
                <w:sz w:val="18"/>
                <w:szCs w:val="18"/>
                <w:lang w:eastAsia="es-MX"/>
              </w:rPr>
            </w:pPr>
          </w:p>
        </w:tc>
      </w:tr>
      <w:tr w:rsidR="006B117A" w:rsidRPr="006B117A" w:rsidTr="006B117A">
        <w:trPr>
          <w:trHeight w:val="315"/>
          <w:jc w:val="center"/>
        </w:trPr>
        <w:tc>
          <w:tcPr>
            <w:tcW w:w="4780" w:type="dxa"/>
            <w:gridSpan w:val="2"/>
            <w:tcBorders>
              <w:top w:val="single" w:sz="8" w:space="0" w:color="auto"/>
              <w:left w:val="nil"/>
              <w:bottom w:val="single" w:sz="8" w:space="0" w:color="auto"/>
              <w:right w:val="nil"/>
            </w:tcBorders>
            <w:shd w:val="clear" w:color="auto" w:fill="auto"/>
            <w:vAlign w:val="center"/>
            <w:hideMark/>
          </w:tcPr>
          <w:p w:rsidR="006B117A" w:rsidRPr="006B117A" w:rsidRDefault="006B117A" w:rsidP="006B117A">
            <w:pPr>
              <w:jc w:val="both"/>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1540" w:type="dxa"/>
            <w:tcBorders>
              <w:top w:val="nil"/>
              <w:left w:val="nil"/>
              <w:bottom w:val="nil"/>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p>
        </w:tc>
        <w:tc>
          <w:tcPr>
            <w:tcW w:w="1780" w:type="dxa"/>
            <w:tcBorders>
              <w:top w:val="nil"/>
              <w:left w:val="nil"/>
              <w:bottom w:val="single" w:sz="8" w:space="0" w:color="auto"/>
              <w:right w:val="nil"/>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r w:rsidRPr="006B117A">
              <w:rPr>
                <w:rFonts w:ascii="Arial" w:hAnsi="Arial" w:cs="Arial"/>
                <w:color w:val="000000"/>
                <w:sz w:val="18"/>
                <w:szCs w:val="18"/>
                <w:lang w:eastAsia="es-MX"/>
              </w:rPr>
              <w:t> </w:t>
            </w:r>
          </w:p>
        </w:tc>
      </w:tr>
      <w:tr w:rsidR="006B117A" w:rsidRPr="006B117A" w:rsidTr="006B117A">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6B117A" w:rsidRPr="006B117A" w:rsidRDefault="006B117A" w:rsidP="006B117A">
            <w:pPr>
              <w:jc w:val="both"/>
              <w:rPr>
                <w:rFonts w:ascii="Arial" w:hAnsi="Arial" w:cs="Arial"/>
                <w:b/>
                <w:bCs/>
                <w:color w:val="000000"/>
                <w:sz w:val="18"/>
                <w:szCs w:val="18"/>
                <w:lang w:eastAsia="es-MX"/>
              </w:rPr>
            </w:pPr>
            <w:r w:rsidRPr="006B117A">
              <w:rPr>
                <w:rFonts w:ascii="Arial" w:hAnsi="Arial" w:cs="Arial"/>
                <w:b/>
                <w:bCs/>
                <w:color w:val="000000"/>
                <w:sz w:val="18"/>
                <w:szCs w:val="18"/>
                <w:lang w:eastAsia="es-MX"/>
              </w:rPr>
              <w:t>4. Ingresos Contables (4 = 1 + 2 - 3)</w:t>
            </w:r>
          </w:p>
        </w:tc>
        <w:tc>
          <w:tcPr>
            <w:tcW w:w="1540" w:type="dxa"/>
            <w:tcBorders>
              <w:top w:val="nil"/>
              <w:left w:val="nil"/>
              <w:bottom w:val="nil"/>
              <w:right w:val="single" w:sz="8" w:space="0" w:color="auto"/>
            </w:tcBorders>
            <w:shd w:val="clear" w:color="auto" w:fill="auto"/>
            <w:vAlign w:val="center"/>
            <w:hideMark/>
          </w:tcPr>
          <w:p w:rsidR="006B117A" w:rsidRPr="006B117A" w:rsidRDefault="006B117A" w:rsidP="006B117A">
            <w:pPr>
              <w:jc w:val="center"/>
              <w:rPr>
                <w:rFonts w:ascii="Arial" w:hAnsi="Arial" w:cs="Arial"/>
                <w:color w:val="000000"/>
                <w:sz w:val="18"/>
                <w:szCs w:val="18"/>
                <w:lang w:eastAsia="es-MX"/>
              </w:rPr>
            </w:pPr>
            <w:r w:rsidRPr="006B117A">
              <w:rPr>
                <w:rFonts w:ascii="Arial" w:hAnsi="Arial" w:cs="Arial"/>
                <w:color w:val="000000"/>
                <w:sz w:val="18"/>
                <w:szCs w:val="18"/>
                <w:lang w:eastAsia="es-MX"/>
              </w:rPr>
              <w:t> </w:t>
            </w:r>
          </w:p>
        </w:tc>
        <w:tc>
          <w:tcPr>
            <w:tcW w:w="1780" w:type="dxa"/>
            <w:tcBorders>
              <w:top w:val="nil"/>
              <w:left w:val="nil"/>
              <w:bottom w:val="single" w:sz="8" w:space="0" w:color="auto"/>
              <w:right w:val="single" w:sz="8" w:space="0" w:color="auto"/>
            </w:tcBorders>
            <w:shd w:val="clear" w:color="000000" w:fill="C0C0C0"/>
            <w:vAlign w:val="center"/>
            <w:hideMark/>
          </w:tcPr>
          <w:p w:rsidR="006B117A" w:rsidRPr="006B117A" w:rsidRDefault="006B117A" w:rsidP="006B117A">
            <w:pPr>
              <w:jc w:val="center"/>
              <w:rPr>
                <w:rFonts w:ascii="Arial" w:hAnsi="Arial" w:cs="Arial"/>
                <w:b/>
                <w:bCs/>
                <w:color w:val="000000"/>
                <w:sz w:val="18"/>
                <w:szCs w:val="18"/>
                <w:lang w:eastAsia="es-MX"/>
              </w:rPr>
            </w:pPr>
            <w:r w:rsidRPr="006B117A">
              <w:rPr>
                <w:rFonts w:ascii="Arial" w:hAnsi="Arial" w:cs="Arial"/>
                <w:b/>
                <w:bCs/>
                <w:color w:val="000000"/>
                <w:sz w:val="18"/>
                <w:szCs w:val="18"/>
                <w:lang w:eastAsia="es-MX"/>
              </w:rPr>
              <w:t>37,373,246,556.50</w:t>
            </w:r>
          </w:p>
        </w:tc>
      </w:tr>
    </w:tbl>
    <w:p w:rsidR="00A17B33" w:rsidRDefault="00A17B33" w:rsidP="00A17B33">
      <w:pPr>
        <w:autoSpaceDE w:val="0"/>
        <w:autoSpaceDN w:val="0"/>
        <w:adjustRightInd w:val="0"/>
        <w:spacing w:line="360" w:lineRule="auto"/>
        <w:ind w:left="708"/>
        <w:jc w:val="both"/>
        <w:rPr>
          <w:rFonts w:ascii="Calibri" w:hAnsi="Calibri" w:cs="Calibri"/>
          <w:bCs/>
          <w:sz w:val="20"/>
          <w:szCs w:val="20"/>
        </w:rPr>
      </w:pPr>
    </w:p>
    <w:p w:rsidR="00A17B33" w:rsidRDefault="00A17B33" w:rsidP="00A17B33">
      <w:pPr>
        <w:autoSpaceDE w:val="0"/>
        <w:autoSpaceDN w:val="0"/>
        <w:adjustRightInd w:val="0"/>
        <w:spacing w:line="360" w:lineRule="auto"/>
        <w:ind w:left="708"/>
        <w:jc w:val="both"/>
        <w:rPr>
          <w:rFonts w:ascii="Calibri" w:hAnsi="Calibri" w:cs="Calibri"/>
          <w:bCs/>
          <w:sz w:val="20"/>
          <w:szCs w:val="20"/>
        </w:rPr>
      </w:pPr>
    </w:p>
    <w:p w:rsidR="0029084C" w:rsidRDefault="0029084C" w:rsidP="00A17B33">
      <w:pPr>
        <w:autoSpaceDE w:val="0"/>
        <w:autoSpaceDN w:val="0"/>
        <w:adjustRightInd w:val="0"/>
        <w:spacing w:line="360" w:lineRule="auto"/>
        <w:ind w:left="708"/>
        <w:jc w:val="both"/>
        <w:rPr>
          <w:rFonts w:ascii="Calibri" w:hAnsi="Calibri" w:cs="Calibri"/>
          <w:bCs/>
          <w:sz w:val="20"/>
          <w:szCs w:val="20"/>
        </w:rPr>
      </w:pPr>
    </w:p>
    <w:p w:rsidR="00A17B33" w:rsidRDefault="00A17B33" w:rsidP="00A17B33">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 xml:space="preserve">B. Conciliación de Egresos presupuestarios y gastos contables del 1 de </w:t>
      </w:r>
      <w:r w:rsidR="00585774">
        <w:rPr>
          <w:rFonts w:ascii="Calibri" w:hAnsi="Calibri" w:cs="Calibri"/>
          <w:bCs/>
          <w:sz w:val="20"/>
          <w:szCs w:val="20"/>
        </w:rPr>
        <w:t>enero al 31 de diciembre de 2017</w:t>
      </w:r>
      <w:r w:rsidRPr="004F0F09">
        <w:rPr>
          <w:rFonts w:ascii="Calibri" w:hAnsi="Calibri" w:cs="Calibri"/>
          <w:bCs/>
          <w:sz w:val="20"/>
          <w:szCs w:val="20"/>
        </w:rPr>
        <w:t>.</w:t>
      </w:r>
    </w:p>
    <w:p w:rsidR="0029084C" w:rsidRPr="004F0F09" w:rsidRDefault="0029084C" w:rsidP="00A17B33">
      <w:pPr>
        <w:autoSpaceDE w:val="0"/>
        <w:autoSpaceDN w:val="0"/>
        <w:adjustRightInd w:val="0"/>
        <w:spacing w:line="360" w:lineRule="auto"/>
        <w:ind w:left="708"/>
        <w:jc w:val="both"/>
        <w:rPr>
          <w:rFonts w:ascii="Calibri" w:hAnsi="Calibri" w:cs="Calibri"/>
          <w:bCs/>
          <w:sz w:val="20"/>
          <w:szCs w:val="20"/>
        </w:rPr>
      </w:pPr>
    </w:p>
    <w:tbl>
      <w:tblPr>
        <w:tblW w:w="9300" w:type="dxa"/>
        <w:jc w:val="center"/>
        <w:tblInd w:w="55" w:type="dxa"/>
        <w:tblCellMar>
          <w:left w:w="70" w:type="dxa"/>
          <w:right w:w="70" w:type="dxa"/>
        </w:tblCellMar>
        <w:tblLook w:val="04A0" w:firstRow="1" w:lastRow="0" w:firstColumn="1" w:lastColumn="0" w:noHBand="0" w:noVBand="1"/>
      </w:tblPr>
      <w:tblGrid>
        <w:gridCol w:w="1200"/>
        <w:gridCol w:w="4780"/>
        <w:gridCol w:w="1540"/>
        <w:gridCol w:w="1780"/>
      </w:tblGrid>
      <w:tr w:rsidR="0029084C" w:rsidRPr="0029084C" w:rsidTr="0029084C">
        <w:trPr>
          <w:trHeight w:val="315"/>
          <w:jc w:val="center"/>
        </w:trPr>
        <w:tc>
          <w:tcPr>
            <w:tcW w:w="7520"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29084C" w:rsidRPr="0029084C" w:rsidRDefault="0029084C" w:rsidP="0029084C">
            <w:pPr>
              <w:rPr>
                <w:rFonts w:ascii="Arial" w:hAnsi="Arial" w:cs="Arial"/>
                <w:b/>
                <w:bCs/>
                <w:color w:val="000000"/>
                <w:sz w:val="18"/>
                <w:szCs w:val="18"/>
                <w:lang w:eastAsia="es-MX"/>
              </w:rPr>
            </w:pPr>
            <w:bookmarkStart w:id="16" w:name="m25"/>
            <w:bookmarkEnd w:id="16"/>
            <w:r w:rsidRPr="0029084C">
              <w:rPr>
                <w:rFonts w:ascii="Arial" w:hAnsi="Arial" w:cs="Arial"/>
                <w:b/>
                <w:bCs/>
                <w:color w:val="000000"/>
                <w:sz w:val="18"/>
                <w:szCs w:val="18"/>
                <w:lang w:eastAsia="es-MX"/>
              </w:rPr>
              <w:t>1. Total de egresos (presupuestarios)</w:t>
            </w:r>
          </w:p>
        </w:tc>
        <w:tc>
          <w:tcPr>
            <w:tcW w:w="1780" w:type="dxa"/>
            <w:tcBorders>
              <w:top w:val="nil"/>
              <w:left w:val="nil"/>
              <w:bottom w:val="single" w:sz="8" w:space="0" w:color="auto"/>
              <w:right w:val="single" w:sz="8" w:space="0" w:color="auto"/>
            </w:tcBorders>
            <w:shd w:val="clear" w:color="000000" w:fill="C0C0C0"/>
            <w:vAlign w:val="center"/>
            <w:hideMark/>
          </w:tcPr>
          <w:p w:rsidR="0029084C" w:rsidRPr="0029084C" w:rsidRDefault="0029084C" w:rsidP="0029084C">
            <w:pPr>
              <w:jc w:val="right"/>
              <w:rPr>
                <w:rFonts w:ascii="Arial" w:hAnsi="Arial" w:cs="Arial"/>
                <w:b/>
                <w:bCs/>
                <w:color w:val="000000"/>
                <w:sz w:val="18"/>
                <w:szCs w:val="18"/>
                <w:lang w:eastAsia="es-MX"/>
              </w:rPr>
            </w:pPr>
            <w:r w:rsidRPr="0029084C">
              <w:rPr>
                <w:rFonts w:ascii="Arial" w:hAnsi="Arial" w:cs="Arial"/>
                <w:b/>
                <w:bCs/>
                <w:color w:val="000000"/>
                <w:sz w:val="18"/>
                <w:szCs w:val="18"/>
                <w:lang w:eastAsia="es-MX"/>
              </w:rPr>
              <w:t>38,744,206,735.01</w:t>
            </w:r>
          </w:p>
        </w:tc>
      </w:tr>
      <w:tr w:rsidR="0029084C" w:rsidRPr="0029084C" w:rsidTr="0029084C">
        <w:trPr>
          <w:trHeight w:val="315"/>
          <w:jc w:val="center"/>
        </w:trPr>
        <w:tc>
          <w:tcPr>
            <w:tcW w:w="5980" w:type="dxa"/>
            <w:gridSpan w:val="2"/>
            <w:tcBorders>
              <w:top w:val="single" w:sz="8" w:space="0" w:color="auto"/>
              <w:left w:val="nil"/>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1540" w:type="dxa"/>
            <w:tcBorders>
              <w:top w:val="nil"/>
              <w:left w:val="nil"/>
              <w:bottom w:val="single" w:sz="8" w:space="0" w:color="auto"/>
              <w:right w:val="nil"/>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1780" w:type="dxa"/>
            <w:tcBorders>
              <w:top w:val="nil"/>
              <w:left w:val="nil"/>
              <w:bottom w:val="single" w:sz="8" w:space="0" w:color="auto"/>
              <w:right w:val="nil"/>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 </w:t>
            </w:r>
          </w:p>
        </w:tc>
      </w:tr>
      <w:tr w:rsidR="0029084C" w:rsidRPr="0029084C" w:rsidTr="0029084C">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9084C" w:rsidRPr="0029084C" w:rsidRDefault="0029084C" w:rsidP="0029084C">
            <w:pPr>
              <w:jc w:val="both"/>
              <w:rPr>
                <w:rFonts w:ascii="Arial" w:hAnsi="Arial" w:cs="Arial"/>
                <w:b/>
                <w:bCs/>
                <w:color w:val="000000"/>
                <w:sz w:val="18"/>
                <w:szCs w:val="18"/>
                <w:lang w:eastAsia="es-MX"/>
              </w:rPr>
            </w:pPr>
            <w:r w:rsidRPr="0029084C">
              <w:rPr>
                <w:rFonts w:ascii="Arial" w:hAnsi="Arial" w:cs="Arial"/>
                <w:b/>
                <w:bCs/>
                <w:color w:val="000000"/>
                <w:sz w:val="18"/>
                <w:szCs w:val="18"/>
                <w:lang w:eastAsia="es-MX"/>
              </w:rPr>
              <w:t>2. Menos egresos presupuestarios no contables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1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b/>
                <w:bCs/>
                <w:color w:val="000000"/>
                <w:sz w:val="18"/>
                <w:szCs w:val="18"/>
                <w:lang w:eastAsia="es-MX"/>
              </w:rPr>
            </w:pPr>
            <w:r w:rsidRPr="0029084C">
              <w:rPr>
                <w:rFonts w:ascii="Arial" w:hAnsi="Arial" w:cs="Arial"/>
                <w:b/>
                <w:bCs/>
                <w:color w:val="000000"/>
                <w:sz w:val="18"/>
                <w:szCs w:val="18"/>
                <w:lang w:eastAsia="es-MX"/>
              </w:rPr>
              <w:t>1,321,877,463.60</w:t>
            </w: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Mobiliario y equipo de administración</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37,341,252.81</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Mobiliario y equipo educacional y recreativo</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20,324,097.89</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Equipo e instrumental médico y de laboratorio</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423,920.21</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Vehículos y equipo de transporte</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11,654,554.00</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Equipo de defensa y seguridad</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5,073,378.12</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Maquinaria, otros equipos y herramientas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15,035,192.28</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Activos biológicos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591,600.00</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Bienes inmuebles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39,700,000.00</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Activos intangibles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28,320,908.17</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Obra pública en bienes propios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390,008,190.12</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Amortización de la deuda publica</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756,857,860.00</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Otros Egresos Presupuestales No Contables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16,546,510.00</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15"/>
          <w:jc w:val="center"/>
        </w:trPr>
        <w:tc>
          <w:tcPr>
            <w:tcW w:w="5980" w:type="dxa"/>
            <w:gridSpan w:val="2"/>
            <w:tcBorders>
              <w:top w:val="single" w:sz="8" w:space="0" w:color="auto"/>
              <w:left w:val="nil"/>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1540" w:type="dxa"/>
            <w:tcBorders>
              <w:top w:val="nil"/>
              <w:left w:val="nil"/>
              <w:bottom w:val="single" w:sz="8" w:space="0" w:color="auto"/>
              <w:right w:val="nil"/>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1780" w:type="dxa"/>
            <w:tcBorders>
              <w:top w:val="nil"/>
              <w:left w:val="nil"/>
              <w:bottom w:val="single" w:sz="8" w:space="0" w:color="auto"/>
              <w:right w:val="nil"/>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 </w:t>
            </w:r>
          </w:p>
        </w:tc>
      </w:tr>
      <w:tr w:rsidR="0029084C" w:rsidRPr="0029084C" w:rsidTr="0029084C">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9084C" w:rsidRPr="0029084C" w:rsidRDefault="0029084C" w:rsidP="0029084C">
            <w:pPr>
              <w:jc w:val="both"/>
              <w:rPr>
                <w:rFonts w:ascii="Arial" w:hAnsi="Arial" w:cs="Arial"/>
                <w:b/>
                <w:bCs/>
                <w:color w:val="000000"/>
                <w:sz w:val="18"/>
                <w:szCs w:val="18"/>
                <w:lang w:eastAsia="es-MX"/>
              </w:rPr>
            </w:pPr>
            <w:r w:rsidRPr="0029084C">
              <w:rPr>
                <w:rFonts w:ascii="Arial" w:hAnsi="Arial" w:cs="Arial"/>
                <w:b/>
                <w:bCs/>
                <w:color w:val="000000"/>
                <w:sz w:val="18"/>
                <w:szCs w:val="18"/>
                <w:lang w:eastAsia="es-MX"/>
              </w:rPr>
              <w:t>3. Más gastos contables no presupuestales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1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b/>
                <w:bCs/>
                <w:color w:val="000000"/>
                <w:sz w:val="18"/>
                <w:szCs w:val="18"/>
                <w:lang w:eastAsia="es-MX"/>
              </w:rPr>
            </w:pPr>
            <w:r w:rsidRPr="0029084C">
              <w:rPr>
                <w:rFonts w:ascii="Arial" w:hAnsi="Arial" w:cs="Arial"/>
                <w:b/>
                <w:bCs/>
                <w:color w:val="000000"/>
                <w:sz w:val="18"/>
                <w:szCs w:val="18"/>
                <w:lang w:eastAsia="es-MX"/>
              </w:rPr>
              <w:t>1,178,675,775.44</w:t>
            </w:r>
          </w:p>
        </w:tc>
      </w:tr>
      <w:tr w:rsidR="0029084C" w:rsidRPr="0029084C" w:rsidTr="0029084C">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Estimaciones, depreciaciones, deterioros, obsolescencia y amortizaciones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264,129,194.39</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lastRenderedPageBreak/>
              <w:t> </w:t>
            </w:r>
          </w:p>
        </w:tc>
        <w:tc>
          <w:tcPr>
            <w:tcW w:w="478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Otros Gastos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914,546,581.05</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30"/>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Otros Gastos Contables No Presupuestales</w:t>
            </w:r>
          </w:p>
        </w:tc>
        <w:tc>
          <w:tcPr>
            <w:tcW w:w="1540" w:type="dxa"/>
            <w:tcBorders>
              <w:top w:val="nil"/>
              <w:left w:val="nil"/>
              <w:bottom w:val="single" w:sz="8" w:space="0" w:color="auto"/>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0.00</w:t>
            </w:r>
          </w:p>
        </w:tc>
        <w:tc>
          <w:tcPr>
            <w:tcW w:w="1780" w:type="dxa"/>
            <w:tcBorders>
              <w:top w:val="nil"/>
              <w:left w:val="nil"/>
              <w:bottom w:val="nil"/>
              <w:right w:val="nil"/>
            </w:tcBorders>
            <w:shd w:val="clear" w:color="auto" w:fill="auto"/>
            <w:vAlign w:val="center"/>
            <w:hideMark/>
          </w:tcPr>
          <w:p w:rsidR="0029084C" w:rsidRPr="0029084C" w:rsidRDefault="0029084C" w:rsidP="0029084C">
            <w:pPr>
              <w:jc w:val="right"/>
              <w:rPr>
                <w:color w:val="000000"/>
                <w:lang w:eastAsia="es-MX"/>
              </w:rPr>
            </w:pPr>
          </w:p>
        </w:tc>
      </w:tr>
      <w:tr w:rsidR="0029084C" w:rsidRPr="0029084C" w:rsidTr="0029084C">
        <w:trPr>
          <w:trHeight w:val="315"/>
          <w:jc w:val="center"/>
        </w:trPr>
        <w:tc>
          <w:tcPr>
            <w:tcW w:w="5980" w:type="dxa"/>
            <w:gridSpan w:val="2"/>
            <w:tcBorders>
              <w:top w:val="single" w:sz="8" w:space="0" w:color="auto"/>
              <w:left w:val="nil"/>
              <w:bottom w:val="single" w:sz="8" w:space="0" w:color="auto"/>
              <w:right w:val="nil"/>
            </w:tcBorders>
            <w:shd w:val="clear" w:color="auto" w:fill="auto"/>
            <w:vAlign w:val="center"/>
            <w:hideMark/>
          </w:tcPr>
          <w:p w:rsidR="0029084C" w:rsidRPr="0029084C" w:rsidRDefault="0029084C" w:rsidP="0029084C">
            <w:pPr>
              <w:jc w:val="both"/>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1540" w:type="dxa"/>
            <w:tcBorders>
              <w:top w:val="nil"/>
              <w:left w:val="nil"/>
              <w:bottom w:val="nil"/>
              <w:right w:val="nil"/>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p>
        </w:tc>
        <w:tc>
          <w:tcPr>
            <w:tcW w:w="1780" w:type="dxa"/>
            <w:tcBorders>
              <w:top w:val="nil"/>
              <w:left w:val="nil"/>
              <w:bottom w:val="single" w:sz="8" w:space="0" w:color="auto"/>
              <w:right w:val="nil"/>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 </w:t>
            </w:r>
          </w:p>
        </w:tc>
      </w:tr>
      <w:tr w:rsidR="0029084C" w:rsidRPr="0029084C" w:rsidTr="0029084C">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29084C" w:rsidRPr="0029084C" w:rsidRDefault="0029084C" w:rsidP="0029084C">
            <w:pPr>
              <w:jc w:val="both"/>
              <w:rPr>
                <w:rFonts w:ascii="Arial" w:hAnsi="Arial" w:cs="Arial"/>
                <w:b/>
                <w:bCs/>
                <w:color w:val="000000"/>
                <w:sz w:val="18"/>
                <w:szCs w:val="18"/>
                <w:lang w:eastAsia="es-MX"/>
              </w:rPr>
            </w:pPr>
            <w:r w:rsidRPr="0029084C">
              <w:rPr>
                <w:rFonts w:ascii="Arial" w:hAnsi="Arial" w:cs="Arial"/>
                <w:b/>
                <w:bCs/>
                <w:color w:val="000000"/>
                <w:sz w:val="18"/>
                <w:szCs w:val="18"/>
                <w:lang w:eastAsia="es-MX"/>
              </w:rPr>
              <w:t>4. Total de Gasto Contable (4 = 1 - 2 + 3)</w:t>
            </w:r>
          </w:p>
        </w:tc>
        <w:tc>
          <w:tcPr>
            <w:tcW w:w="1540" w:type="dxa"/>
            <w:tcBorders>
              <w:top w:val="nil"/>
              <w:left w:val="nil"/>
              <w:bottom w:val="nil"/>
              <w:right w:val="single" w:sz="8" w:space="0" w:color="auto"/>
            </w:tcBorders>
            <w:shd w:val="clear" w:color="auto" w:fill="auto"/>
            <w:vAlign w:val="center"/>
            <w:hideMark/>
          </w:tcPr>
          <w:p w:rsidR="0029084C" w:rsidRPr="0029084C" w:rsidRDefault="0029084C" w:rsidP="0029084C">
            <w:pPr>
              <w:jc w:val="right"/>
              <w:rPr>
                <w:rFonts w:ascii="Arial" w:hAnsi="Arial" w:cs="Arial"/>
                <w:color w:val="000000"/>
                <w:sz w:val="18"/>
                <w:szCs w:val="18"/>
                <w:lang w:eastAsia="es-MX"/>
              </w:rPr>
            </w:pPr>
            <w:r w:rsidRPr="0029084C">
              <w:rPr>
                <w:rFonts w:ascii="Arial" w:hAnsi="Arial" w:cs="Arial"/>
                <w:color w:val="000000"/>
                <w:sz w:val="18"/>
                <w:szCs w:val="18"/>
                <w:lang w:eastAsia="es-MX"/>
              </w:rPr>
              <w:t> </w:t>
            </w:r>
          </w:p>
        </w:tc>
        <w:tc>
          <w:tcPr>
            <w:tcW w:w="1780" w:type="dxa"/>
            <w:tcBorders>
              <w:top w:val="nil"/>
              <w:left w:val="nil"/>
              <w:bottom w:val="single" w:sz="8" w:space="0" w:color="auto"/>
              <w:right w:val="single" w:sz="8" w:space="0" w:color="auto"/>
            </w:tcBorders>
            <w:shd w:val="clear" w:color="000000" w:fill="C0C0C0"/>
            <w:vAlign w:val="center"/>
            <w:hideMark/>
          </w:tcPr>
          <w:p w:rsidR="0029084C" w:rsidRPr="0029084C" w:rsidRDefault="0029084C" w:rsidP="0029084C">
            <w:pPr>
              <w:jc w:val="right"/>
              <w:rPr>
                <w:rFonts w:ascii="Arial" w:hAnsi="Arial" w:cs="Arial"/>
                <w:b/>
                <w:bCs/>
                <w:color w:val="000000"/>
                <w:sz w:val="18"/>
                <w:szCs w:val="18"/>
                <w:lang w:eastAsia="es-MX"/>
              </w:rPr>
            </w:pPr>
            <w:r w:rsidRPr="0029084C">
              <w:rPr>
                <w:rFonts w:ascii="Arial" w:hAnsi="Arial" w:cs="Arial"/>
                <w:b/>
                <w:bCs/>
                <w:color w:val="000000"/>
                <w:sz w:val="18"/>
                <w:szCs w:val="18"/>
                <w:lang w:eastAsia="es-MX"/>
              </w:rPr>
              <w:t>38,601,005,046.85</w:t>
            </w:r>
          </w:p>
        </w:tc>
      </w:tr>
    </w:tbl>
    <w:p w:rsidR="00A17B33" w:rsidRPr="0043560D" w:rsidRDefault="00A17B33" w:rsidP="00A17B33">
      <w:pPr>
        <w:autoSpaceDE w:val="0"/>
        <w:autoSpaceDN w:val="0"/>
        <w:adjustRightInd w:val="0"/>
        <w:spacing w:line="360" w:lineRule="auto"/>
        <w:ind w:left="708"/>
        <w:jc w:val="both"/>
        <w:rPr>
          <w:rFonts w:asciiTheme="minorHAnsi" w:hAnsiTheme="minorHAnsi" w:cs="Calibri"/>
          <w:bCs/>
          <w:sz w:val="20"/>
          <w:szCs w:val="20"/>
        </w:rPr>
      </w:pPr>
    </w:p>
    <w:p w:rsidR="0043560D" w:rsidRDefault="0043560D" w:rsidP="0043560D">
      <w:pPr>
        <w:rPr>
          <w:rFonts w:asciiTheme="minorHAnsi" w:hAnsiTheme="minorHAnsi"/>
          <w:color w:val="000000"/>
          <w:sz w:val="20"/>
          <w:szCs w:val="20"/>
        </w:rPr>
      </w:pPr>
    </w:p>
    <w:p w:rsidR="0043560D" w:rsidRPr="0043560D" w:rsidRDefault="0043560D" w:rsidP="0043560D">
      <w:pPr>
        <w:rPr>
          <w:rFonts w:asciiTheme="minorHAnsi" w:hAnsiTheme="minorHAnsi"/>
          <w:color w:val="000000"/>
          <w:sz w:val="20"/>
          <w:szCs w:val="20"/>
        </w:rPr>
      </w:pPr>
      <w:r w:rsidRPr="0043560D">
        <w:rPr>
          <w:rFonts w:asciiTheme="minorHAnsi" w:hAnsiTheme="minorHAnsi"/>
          <w:color w:val="000000"/>
          <w:sz w:val="20"/>
          <w:szCs w:val="20"/>
        </w:rPr>
        <w:t>Con la finalidad de explicar de manera sencilla la diferencia entre el resultado contable que se presenta (pérdida) y el resultado presupuestal de enfrentar los ingresos presupuestales contra los gastos presupuestales (remanente o superávit) del periodo que se informa, se realizó un análisis para conciliar los resultados, como se detalla a continuación.</w:t>
      </w:r>
    </w:p>
    <w:p w:rsidR="0043560D" w:rsidRDefault="0043560D" w:rsidP="0043560D">
      <w:pPr>
        <w:rPr>
          <w:rFonts w:asciiTheme="minorHAnsi" w:hAnsiTheme="minorHAnsi"/>
          <w:b/>
          <w:bCs/>
          <w:color w:val="000000"/>
          <w:sz w:val="20"/>
          <w:szCs w:val="20"/>
        </w:rPr>
      </w:pPr>
      <w:r w:rsidRPr="0043560D">
        <w:rPr>
          <w:rFonts w:asciiTheme="minorHAnsi" w:hAnsiTheme="minorHAnsi"/>
          <w:b/>
          <w:bCs/>
          <w:color w:val="000000"/>
          <w:sz w:val="20"/>
          <w:szCs w:val="20"/>
        </w:rPr>
        <w:t>RESULTADO PRESUPUESTAL</w:t>
      </w:r>
    </w:p>
    <w:p w:rsidR="0043560D" w:rsidRPr="0043560D" w:rsidRDefault="0043560D" w:rsidP="0043560D">
      <w:pPr>
        <w:rPr>
          <w:rFonts w:asciiTheme="minorHAnsi" w:hAnsiTheme="minorHAnsi"/>
          <w:color w:val="000000"/>
          <w:sz w:val="20"/>
          <w:szCs w:val="20"/>
        </w:rPr>
      </w:pPr>
    </w:p>
    <w:tbl>
      <w:tblPr>
        <w:tblW w:w="0" w:type="auto"/>
        <w:jc w:val="center"/>
        <w:tblLook w:val="04A0" w:firstRow="1" w:lastRow="0" w:firstColumn="1" w:lastColumn="0" w:noHBand="0" w:noVBand="1"/>
      </w:tblPr>
      <w:tblGrid>
        <w:gridCol w:w="3787"/>
        <w:gridCol w:w="2896"/>
      </w:tblGrid>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INGRESOS PRESUPUESTALES 2017</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sz w:val="20"/>
                <w:szCs w:val="20"/>
              </w:rPr>
              <w:t>39,560,446,556.45</w:t>
            </w:r>
          </w:p>
        </w:tc>
      </w:tr>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MENOS:</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sz w:val="20"/>
                <w:szCs w:val="20"/>
              </w:rPr>
              <w:t> </w:t>
            </w:r>
          </w:p>
        </w:tc>
      </w:tr>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GASTOS PRESUPUESTALES 2017</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sz w:val="20"/>
                <w:szCs w:val="20"/>
              </w:rPr>
              <w:t>38,744,206,735.01</w:t>
            </w:r>
          </w:p>
        </w:tc>
      </w:tr>
      <w:tr w:rsidR="0043560D" w:rsidRPr="0043560D" w:rsidTr="0043560D">
        <w:trPr>
          <w:jc w:val="center"/>
        </w:trPr>
        <w:tc>
          <w:tcPr>
            <w:tcW w:w="3787" w:type="dxa"/>
            <w:shd w:val="clear" w:color="auto" w:fill="BFBFBF" w:themeFill="background1" w:themeFillShade="BF"/>
            <w:hideMark/>
          </w:tcPr>
          <w:p w:rsidR="0043560D" w:rsidRPr="0043560D" w:rsidRDefault="0043560D">
            <w:pPr>
              <w:rPr>
                <w:rFonts w:asciiTheme="minorHAnsi" w:eastAsiaTheme="minorHAnsi" w:hAnsiTheme="minorHAnsi"/>
                <w:sz w:val="20"/>
                <w:szCs w:val="20"/>
              </w:rPr>
            </w:pPr>
            <w:r w:rsidRPr="0043560D">
              <w:rPr>
                <w:rFonts w:asciiTheme="minorHAnsi" w:hAnsiTheme="minorHAnsi"/>
                <w:b/>
                <w:bCs/>
                <w:i/>
                <w:iCs/>
                <w:sz w:val="20"/>
                <w:szCs w:val="20"/>
              </w:rPr>
              <w:t>REMANENTE PRESUPUESTAL 2017</w:t>
            </w:r>
          </w:p>
        </w:tc>
        <w:tc>
          <w:tcPr>
            <w:tcW w:w="2896" w:type="dxa"/>
            <w:shd w:val="clear" w:color="auto" w:fill="BFBFBF" w:themeFill="background1" w:themeFillShade="BF"/>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b/>
                <w:bCs/>
                <w:i/>
                <w:iCs/>
                <w:sz w:val="20"/>
                <w:szCs w:val="20"/>
              </w:rPr>
              <w:t>816,239,821.44</w:t>
            </w:r>
          </w:p>
        </w:tc>
      </w:tr>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 </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sz w:val="20"/>
                <w:szCs w:val="20"/>
              </w:rPr>
              <w:t> </w:t>
            </w:r>
          </w:p>
        </w:tc>
      </w:tr>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MENOS: INGRESOS POR FINANCIAMIENTO (NO SON CONTABLES)</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sz w:val="20"/>
                <w:szCs w:val="20"/>
              </w:rPr>
              <w:t>2,187,200,000.00</w:t>
            </w:r>
          </w:p>
        </w:tc>
      </w:tr>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SUB-TOTAL</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color w:val="FF0000"/>
                <w:sz w:val="20"/>
                <w:szCs w:val="20"/>
              </w:rPr>
              <w:t>-1,370,960,178.56</w:t>
            </w:r>
          </w:p>
        </w:tc>
      </w:tr>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MAS: OTROS INGRESOS CONTABLES NO PRESUPUESTARIOS</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sz w:val="20"/>
                <w:szCs w:val="20"/>
              </w:rPr>
              <w:t>.05</w:t>
            </w:r>
          </w:p>
          <w:p w:rsidR="0043560D" w:rsidRPr="0043560D" w:rsidRDefault="0043560D">
            <w:pPr>
              <w:jc w:val="center"/>
              <w:rPr>
                <w:rFonts w:asciiTheme="minorHAnsi" w:eastAsiaTheme="minorHAnsi" w:hAnsiTheme="minorHAnsi"/>
                <w:sz w:val="20"/>
                <w:szCs w:val="20"/>
              </w:rPr>
            </w:pPr>
            <w:r w:rsidRPr="0043560D">
              <w:rPr>
                <w:rFonts w:asciiTheme="minorHAnsi" w:hAnsiTheme="minorHAnsi"/>
                <w:sz w:val="20"/>
                <w:szCs w:val="20"/>
              </w:rPr>
              <w:t> </w:t>
            </w:r>
          </w:p>
        </w:tc>
      </w:tr>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SUB-TOTAL</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color w:val="FF0000"/>
                <w:sz w:val="20"/>
                <w:szCs w:val="20"/>
              </w:rPr>
              <w:t>-1,370,960,178.51</w:t>
            </w:r>
          </w:p>
        </w:tc>
      </w:tr>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 </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sz w:val="20"/>
                <w:szCs w:val="20"/>
              </w:rPr>
              <w:t> </w:t>
            </w:r>
          </w:p>
        </w:tc>
      </w:tr>
      <w:tr w:rsidR="0043560D" w:rsidRPr="0043560D" w:rsidTr="0043560D">
        <w:trPr>
          <w:jc w:val="center"/>
        </w:trPr>
        <w:tc>
          <w:tcPr>
            <w:tcW w:w="3787" w:type="dxa"/>
            <w:hideMark/>
          </w:tcPr>
          <w:p w:rsidR="0043560D" w:rsidRPr="0043560D" w:rsidRDefault="0043560D">
            <w:pPr>
              <w:rPr>
                <w:rFonts w:asciiTheme="minorHAnsi" w:eastAsiaTheme="minorHAnsi" w:hAnsiTheme="minorHAnsi"/>
                <w:sz w:val="20"/>
                <w:szCs w:val="20"/>
              </w:rPr>
            </w:pPr>
            <w:r w:rsidRPr="0043560D">
              <w:rPr>
                <w:rFonts w:asciiTheme="minorHAnsi" w:hAnsiTheme="minorHAnsi"/>
                <w:sz w:val="20"/>
                <w:szCs w:val="20"/>
              </w:rPr>
              <w:t>MAS: DIFERENCIA ENTRE GASTO CONTABLE Y GASTO PRESUPUESTAL</w:t>
            </w:r>
          </w:p>
        </w:tc>
        <w:tc>
          <w:tcPr>
            <w:tcW w:w="2896" w:type="dxa"/>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sz w:val="20"/>
                <w:szCs w:val="20"/>
              </w:rPr>
              <w:t>143,201,688.16</w:t>
            </w:r>
          </w:p>
        </w:tc>
      </w:tr>
      <w:tr w:rsidR="0043560D" w:rsidRPr="0043560D" w:rsidTr="0043560D">
        <w:trPr>
          <w:jc w:val="center"/>
        </w:trPr>
        <w:tc>
          <w:tcPr>
            <w:tcW w:w="3787" w:type="dxa"/>
            <w:shd w:val="clear" w:color="auto" w:fill="BFBFBF" w:themeFill="background1" w:themeFillShade="BF"/>
            <w:hideMark/>
          </w:tcPr>
          <w:p w:rsidR="0043560D" w:rsidRPr="0043560D" w:rsidRDefault="0043560D">
            <w:pPr>
              <w:rPr>
                <w:rFonts w:asciiTheme="minorHAnsi" w:eastAsiaTheme="minorHAnsi" w:hAnsiTheme="minorHAnsi"/>
                <w:sz w:val="20"/>
                <w:szCs w:val="20"/>
              </w:rPr>
            </w:pPr>
            <w:r w:rsidRPr="0043560D">
              <w:rPr>
                <w:rFonts w:asciiTheme="minorHAnsi" w:hAnsiTheme="minorHAnsi"/>
                <w:b/>
                <w:bCs/>
                <w:i/>
                <w:iCs/>
                <w:sz w:val="20"/>
                <w:szCs w:val="20"/>
              </w:rPr>
              <w:t>PÉRDIDA CONTABLE</w:t>
            </w:r>
          </w:p>
        </w:tc>
        <w:tc>
          <w:tcPr>
            <w:tcW w:w="2896" w:type="dxa"/>
            <w:shd w:val="clear" w:color="auto" w:fill="BFBFBF" w:themeFill="background1" w:themeFillShade="BF"/>
            <w:hideMark/>
          </w:tcPr>
          <w:p w:rsidR="0043560D" w:rsidRPr="0043560D" w:rsidRDefault="0043560D">
            <w:pPr>
              <w:jc w:val="right"/>
              <w:rPr>
                <w:rFonts w:asciiTheme="minorHAnsi" w:eastAsiaTheme="minorHAnsi" w:hAnsiTheme="minorHAnsi"/>
                <w:sz w:val="20"/>
                <w:szCs w:val="20"/>
              </w:rPr>
            </w:pPr>
            <w:r w:rsidRPr="0043560D">
              <w:rPr>
                <w:rFonts w:asciiTheme="minorHAnsi" w:hAnsiTheme="minorHAnsi"/>
                <w:b/>
                <w:bCs/>
                <w:i/>
                <w:iCs/>
                <w:color w:val="FF0000"/>
                <w:sz w:val="20"/>
                <w:szCs w:val="20"/>
              </w:rPr>
              <w:t>-1,227,758,490.35</w:t>
            </w:r>
          </w:p>
        </w:tc>
      </w:tr>
    </w:tbl>
    <w:p w:rsidR="0043560D" w:rsidRDefault="0043560D" w:rsidP="0043560D">
      <w:pPr>
        <w:rPr>
          <w:rFonts w:asciiTheme="minorHAnsi" w:hAnsiTheme="minorHAnsi"/>
          <w:color w:val="000000"/>
          <w:sz w:val="20"/>
          <w:szCs w:val="20"/>
        </w:rPr>
      </w:pPr>
    </w:p>
    <w:p w:rsidR="0043560D" w:rsidRPr="0043560D" w:rsidRDefault="0043560D" w:rsidP="0043560D">
      <w:pPr>
        <w:rPr>
          <w:rFonts w:asciiTheme="minorHAnsi" w:eastAsiaTheme="minorHAnsi" w:hAnsiTheme="minorHAnsi"/>
          <w:color w:val="000000"/>
          <w:sz w:val="20"/>
          <w:szCs w:val="20"/>
        </w:rPr>
      </w:pPr>
      <w:bookmarkStart w:id="17" w:name="_GoBack"/>
      <w:bookmarkEnd w:id="17"/>
      <w:r w:rsidRPr="0043560D">
        <w:rPr>
          <w:rFonts w:asciiTheme="minorHAnsi" w:hAnsiTheme="minorHAnsi"/>
          <w:color w:val="000000"/>
          <w:sz w:val="20"/>
          <w:szCs w:val="20"/>
        </w:rPr>
        <w:t>LAS CIFRAS PRESENTADAS SON LAS QUE APARECEN EN LOS FORMATOS DENOMINADOS “CONCILIACIÓN ENTRE LOS INGRESOS PRESUPUESTARIOS Y CONTABLES” Y CONCILIACIÓN ENTRE LOS EGRESOS PRESUPUESTARIOS Y LOS GASTOS CONTABLES” QUE SE PRESENTAN EN ESTA CUENTA PÚBLICA 2017.</w:t>
      </w:r>
    </w:p>
    <w:p w:rsidR="00A67FAE" w:rsidRDefault="00A67FAE" w:rsidP="00A17B33">
      <w:pPr>
        <w:autoSpaceDE w:val="0"/>
        <w:autoSpaceDN w:val="0"/>
        <w:adjustRightInd w:val="0"/>
        <w:spacing w:line="360" w:lineRule="auto"/>
        <w:ind w:left="708"/>
        <w:jc w:val="both"/>
        <w:rPr>
          <w:rFonts w:ascii="Calibri" w:hAnsi="Calibri" w:cs="Calibri"/>
          <w:bCs/>
          <w:sz w:val="20"/>
          <w:szCs w:val="20"/>
        </w:rPr>
      </w:pPr>
    </w:p>
    <w:p w:rsidR="00A67FAE" w:rsidRPr="004F0F09" w:rsidRDefault="00A67FAE" w:rsidP="00A17B33">
      <w:pPr>
        <w:autoSpaceDE w:val="0"/>
        <w:autoSpaceDN w:val="0"/>
        <w:adjustRightInd w:val="0"/>
        <w:spacing w:line="360" w:lineRule="auto"/>
        <w:ind w:left="708"/>
        <w:jc w:val="both"/>
        <w:rPr>
          <w:rFonts w:ascii="Calibri" w:hAnsi="Calibri" w:cs="Calibri"/>
          <w:bCs/>
          <w:sz w:val="20"/>
          <w:szCs w:val="20"/>
        </w:rPr>
      </w:pPr>
    </w:p>
    <w:p w:rsidR="00A17B33" w:rsidRPr="004A6DB7" w:rsidRDefault="00A17B33" w:rsidP="00A17B33">
      <w:pPr>
        <w:autoSpaceDE w:val="0"/>
        <w:autoSpaceDN w:val="0"/>
        <w:adjustRightInd w:val="0"/>
        <w:spacing w:line="360" w:lineRule="auto"/>
        <w:rPr>
          <w:b/>
        </w:rPr>
      </w:pPr>
      <w:r w:rsidRPr="004A6DB7">
        <w:rPr>
          <w:b/>
        </w:rPr>
        <w:t>5) NOTAS DE MEMORIA</w:t>
      </w:r>
    </w:p>
    <w:p w:rsidR="00A17B33" w:rsidRPr="004A6DB7" w:rsidRDefault="00A17B33" w:rsidP="00A17B33">
      <w:pPr>
        <w:autoSpaceDE w:val="0"/>
        <w:autoSpaceDN w:val="0"/>
        <w:adjustRightInd w:val="0"/>
        <w:spacing w:line="360" w:lineRule="auto"/>
        <w:rPr>
          <w:sz w:val="20"/>
          <w:szCs w:val="20"/>
        </w:rPr>
      </w:pPr>
      <w:r w:rsidRPr="004A6DB7">
        <w:rPr>
          <w:rFonts w:ascii="Calibri" w:hAnsi="Calibri" w:cs="Calibri"/>
          <w:bCs/>
          <w:sz w:val="20"/>
          <w:szCs w:val="20"/>
        </w:rPr>
        <w:t>Los saldos de las cuentas de orden presupuestales  se presentan a continuación</w:t>
      </w:r>
      <w:r w:rsidRPr="004A6DB7">
        <w:rPr>
          <w:sz w:val="20"/>
          <w:szCs w:val="20"/>
        </w:rPr>
        <w:t>:</w:t>
      </w:r>
    </w:p>
    <w:p w:rsidR="00A17B33" w:rsidRPr="004A6DB7" w:rsidRDefault="00A17B33" w:rsidP="00A17B33">
      <w:pPr>
        <w:numPr>
          <w:ilvl w:val="0"/>
          <w:numId w:val="32"/>
        </w:numPr>
        <w:autoSpaceDE w:val="0"/>
        <w:autoSpaceDN w:val="0"/>
        <w:adjustRightInd w:val="0"/>
        <w:spacing w:line="360" w:lineRule="auto"/>
        <w:rPr>
          <w:rFonts w:ascii="Calibri" w:hAnsi="Calibri" w:cs="Calibri"/>
          <w:bCs/>
          <w:sz w:val="20"/>
          <w:szCs w:val="20"/>
        </w:rPr>
      </w:pPr>
      <w:r w:rsidRPr="004A6DB7">
        <w:rPr>
          <w:rFonts w:ascii="Calibri" w:hAnsi="Calibri" w:cs="Calibri"/>
          <w:bCs/>
          <w:sz w:val="20"/>
          <w:szCs w:val="20"/>
        </w:rPr>
        <w:t>Cuentas presupuestarias.</w:t>
      </w:r>
    </w:p>
    <w:tbl>
      <w:tblPr>
        <w:tblW w:w="6200" w:type="dxa"/>
        <w:jc w:val="center"/>
        <w:tblInd w:w="55" w:type="dxa"/>
        <w:tblCellMar>
          <w:left w:w="70" w:type="dxa"/>
          <w:right w:w="70" w:type="dxa"/>
        </w:tblCellMar>
        <w:tblLook w:val="04A0" w:firstRow="1" w:lastRow="0" w:firstColumn="1" w:lastColumn="0" w:noHBand="0" w:noVBand="1"/>
      </w:tblPr>
      <w:tblGrid>
        <w:gridCol w:w="3300"/>
        <w:gridCol w:w="2900"/>
      </w:tblGrid>
      <w:tr w:rsidR="00A67FAE" w:rsidRPr="00A67FAE" w:rsidTr="00A67FAE">
        <w:trPr>
          <w:trHeight w:val="51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b/>
                <w:bCs/>
                <w:color w:val="000000"/>
                <w:sz w:val="20"/>
                <w:szCs w:val="20"/>
                <w:lang w:eastAsia="es-MX"/>
              </w:rPr>
            </w:pPr>
            <w:r w:rsidRPr="00A67FAE">
              <w:rPr>
                <w:rFonts w:ascii="Calibri" w:hAnsi="Calibri"/>
                <w:b/>
                <w:bCs/>
                <w:color w:val="000000"/>
                <w:sz w:val="20"/>
                <w:szCs w:val="20"/>
                <w:lang w:eastAsia="es-MX"/>
              </w:rPr>
              <w:t>LEY DE INGRESOS</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b/>
                <w:bCs/>
                <w:color w:val="000000"/>
                <w:sz w:val="20"/>
                <w:szCs w:val="20"/>
                <w:lang w:eastAsia="es-MX"/>
              </w:rPr>
            </w:pPr>
          </w:p>
        </w:tc>
      </w:tr>
      <w:tr w:rsidR="00A67FAE" w:rsidRPr="00A67FAE" w:rsidTr="00A67FAE">
        <w:trPr>
          <w:trHeight w:val="30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LEY DE INGRESOS ESTIMADA</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39,922,727,687.26</w:t>
            </w:r>
          </w:p>
        </w:tc>
      </w:tr>
      <w:tr w:rsidR="00A67FAE" w:rsidRPr="00A67FAE" w:rsidTr="00A67FAE">
        <w:trPr>
          <w:trHeight w:val="30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LEY DE INGRESOS POR EJECUTAR</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-2,575,510,186.19</w:t>
            </w:r>
          </w:p>
        </w:tc>
      </w:tr>
      <w:tr w:rsidR="00A67FAE" w:rsidRPr="00A67FAE" w:rsidTr="00A67FAE">
        <w:trPr>
          <w:trHeight w:val="30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LEY DE INGRESOS RECAUDADA</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39,560,446,556.45</w:t>
            </w:r>
          </w:p>
        </w:tc>
      </w:tr>
    </w:tbl>
    <w:p w:rsidR="00A17B33" w:rsidRDefault="00A17B33" w:rsidP="00A17B33">
      <w:pPr>
        <w:autoSpaceDE w:val="0"/>
        <w:autoSpaceDN w:val="0"/>
        <w:adjustRightInd w:val="0"/>
        <w:spacing w:line="360" w:lineRule="auto"/>
        <w:rPr>
          <w:rFonts w:ascii="Calibri" w:hAnsi="Calibri" w:cs="Calibri"/>
          <w:bCs/>
          <w:sz w:val="20"/>
          <w:szCs w:val="20"/>
        </w:rPr>
      </w:pPr>
    </w:p>
    <w:tbl>
      <w:tblPr>
        <w:tblW w:w="6200" w:type="dxa"/>
        <w:jc w:val="center"/>
        <w:tblInd w:w="55" w:type="dxa"/>
        <w:tblCellMar>
          <w:left w:w="70" w:type="dxa"/>
          <w:right w:w="70" w:type="dxa"/>
        </w:tblCellMar>
        <w:tblLook w:val="04A0" w:firstRow="1" w:lastRow="0" w:firstColumn="1" w:lastColumn="0" w:noHBand="0" w:noVBand="1"/>
      </w:tblPr>
      <w:tblGrid>
        <w:gridCol w:w="3300"/>
        <w:gridCol w:w="2900"/>
      </w:tblGrid>
      <w:tr w:rsidR="00A67FAE" w:rsidRPr="00A67FAE" w:rsidTr="00A67FAE">
        <w:trPr>
          <w:trHeight w:val="30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b/>
                <w:bCs/>
                <w:color w:val="000000"/>
                <w:sz w:val="20"/>
                <w:szCs w:val="20"/>
                <w:lang w:eastAsia="es-MX"/>
              </w:rPr>
            </w:pPr>
            <w:r w:rsidRPr="00A67FAE">
              <w:rPr>
                <w:rFonts w:ascii="Calibri" w:hAnsi="Calibri"/>
                <w:b/>
                <w:bCs/>
                <w:color w:val="000000"/>
                <w:sz w:val="20"/>
                <w:szCs w:val="20"/>
                <w:lang w:eastAsia="es-MX"/>
              </w:rPr>
              <w:t>PRESUPUESTO DE EGRESOS</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b/>
                <w:bCs/>
                <w:color w:val="000000"/>
                <w:sz w:val="20"/>
                <w:szCs w:val="20"/>
                <w:lang w:eastAsia="es-MX"/>
              </w:rPr>
            </w:pPr>
          </w:p>
        </w:tc>
      </w:tr>
      <w:tr w:rsidR="00A67FAE" w:rsidRPr="00A67FAE" w:rsidTr="00A67FAE">
        <w:trPr>
          <w:trHeight w:val="30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39,922,727,687.00</w:t>
            </w:r>
          </w:p>
        </w:tc>
      </w:tr>
      <w:tr w:rsidR="00A67FAE" w:rsidRPr="00A67FAE" w:rsidTr="00A67FAE">
        <w:trPr>
          <w:trHeight w:val="51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264,791,237.66</w:t>
            </w:r>
          </w:p>
        </w:tc>
      </w:tr>
      <w:tr w:rsidR="00A67FAE" w:rsidRPr="00A67FAE" w:rsidTr="00A67FAE">
        <w:trPr>
          <w:trHeight w:val="51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MODIFICACIONES AL PRESUPUESTO DE EGRESOS APROBADO</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-831,162,305.65</w:t>
            </w:r>
          </w:p>
        </w:tc>
      </w:tr>
      <w:tr w:rsidR="00A67FAE" w:rsidRPr="00A67FAE" w:rsidTr="00A67FAE">
        <w:trPr>
          <w:trHeight w:val="51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PRESUPUESTO DE EGRESOS COMPROMETIDO</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38,826,774,143.69</w:t>
            </w:r>
          </w:p>
        </w:tc>
      </w:tr>
      <w:tr w:rsidR="00A67FAE" w:rsidRPr="00A67FAE" w:rsidTr="00A67FAE">
        <w:trPr>
          <w:trHeight w:val="51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38,744,206,735.01</w:t>
            </w:r>
          </w:p>
        </w:tc>
      </w:tr>
      <w:tr w:rsidR="00A67FAE" w:rsidRPr="00A67FAE" w:rsidTr="00A67FAE">
        <w:trPr>
          <w:trHeight w:val="30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38,742,698,735.01</w:t>
            </w:r>
          </w:p>
        </w:tc>
      </w:tr>
      <w:tr w:rsidR="00A67FAE" w:rsidRPr="00A67FAE" w:rsidTr="00A67FAE">
        <w:trPr>
          <w:trHeight w:val="300"/>
          <w:jc w:val="center"/>
        </w:trPr>
        <w:tc>
          <w:tcPr>
            <w:tcW w:w="3300" w:type="dxa"/>
            <w:tcBorders>
              <w:top w:val="nil"/>
              <w:left w:val="nil"/>
              <w:bottom w:val="nil"/>
              <w:right w:val="nil"/>
            </w:tcBorders>
            <w:shd w:val="clear" w:color="auto" w:fill="auto"/>
            <w:vAlign w:val="center"/>
            <w:hideMark/>
          </w:tcPr>
          <w:p w:rsidR="00A67FAE" w:rsidRPr="00A67FAE" w:rsidRDefault="00A67FAE" w:rsidP="00A67FAE">
            <w:pPr>
              <w:rPr>
                <w:rFonts w:ascii="Calibri" w:hAnsi="Calibri"/>
                <w:color w:val="000000"/>
                <w:sz w:val="20"/>
                <w:szCs w:val="20"/>
                <w:lang w:eastAsia="es-MX"/>
              </w:rPr>
            </w:pPr>
            <w:r w:rsidRPr="00A67FAE">
              <w:rPr>
                <w:rFonts w:ascii="Calibri" w:hAnsi="Calibri"/>
                <w:color w:val="000000"/>
                <w:sz w:val="20"/>
                <w:szCs w:val="20"/>
                <w:lang w:eastAsia="es-MX"/>
              </w:rPr>
              <w:t>PRESUPUESTO DE EGRESOS PAGADO</w:t>
            </w:r>
          </w:p>
        </w:tc>
        <w:tc>
          <w:tcPr>
            <w:tcW w:w="2900" w:type="dxa"/>
            <w:tcBorders>
              <w:top w:val="nil"/>
              <w:left w:val="nil"/>
              <w:bottom w:val="nil"/>
              <w:right w:val="nil"/>
            </w:tcBorders>
            <w:shd w:val="clear" w:color="auto" w:fill="auto"/>
            <w:vAlign w:val="center"/>
            <w:hideMark/>
          </w:tcPr>
          <w:p w:rsidR="00A67FAE" w:rsidRPr="00A67FAE" w:rsidRDefault="00A67FAE" w:rsidP="00A67FAE">
            <w:pPr>
              <w:jc w:val="right"/>
              <w:rPr>
                <w:rFonts w:ascii="Calibri" w:hAnsi="Calibri"/>
                <w:color w:val="000000"/>
                <w:sz w:val="20"/>
                <w:szCs w:val="20"/>
                <w:lang w:eastAsia="es-MX"/>
              </w:rPr>
            </w:pPr>
            <w:r w:rsidRPr="00A67FAE">
              <w:rPr>
                <w:rFonts w:ascii="Calibri" w:hAnsi="Calibri"/>
                <w:color w:val="000000"/>
                <w:sz w:val="20"/>
                <w:szCs w:val="20"/>
                <w:lang w:eastAsia="es-MX"/>
              </w:rPr>
              <w:t>38,550,606,598.52</w:t>
            </w:r>
          </w:p>
        </w:tc>
      </w:tr>
    </w:tbl>
    <w:p w:rsidR="00A67FAE" w:rsidRPr="00A70254" w:rsidRDefault="00A67FAE" w:rsidP="00A17B33">
      <w:pPr>
        <w:autoSpaceDE w:val="0"/>
        <w:autoSpaceDN w:val="0"/>
        <w:adjustRightInd w:val="0"/>
        <w:spacing w:line="360" w:lineRule="auto"/>
        <w:rPr>
          <w:rFonts w:ascii="Calibri" w:hAnsi="Calibri" w:cs="Calibri"/>
          <w:bCs/>
          <w:sz w:val="20"/>
          <w:szCs w:val="20"/>
        </w:rPr>
      </w:pPr>
    </w:p>
    <w:p w:rsidR="00A17B33" w:rsidRDefault="00A17B33" w:rsidP="00A17B33">
      <w:pPr>
        <w:numPr>
          <w:ilvl w:val="0"/>
          <w:numId w:val="32"/>
        </w:numPr>
        <w:autoSpaceDE w:val="0"/>
        <w:autoSpaceDN w:val="0"/>
        <w:adjustRightInd w:val="0"/>
        <w:spacing w:line="360" w:lineRule="auto"/>
        <w:rPr>
          <w:rFonts w:ascii="Calibri" w:hAnsi="Calibri" w:cs="Calibri"/>
          <w:bCs/>
          <w:sz w:val="20"/>
          <w:szCs w:val="20"/>
        </w:rPr>
      </w:pPr>
      <w:bookmarkStart w:id="18" w:name="m15"/>
      <w:bookmarkEnd w:id="18"/>
      <w:r w:rsidRPr="00A70254">
        <w:rPr>
          <w:rFonts w:ascii="Calibri" w:hAnsi="Calibri" w:cs="Calibri"/>
          <w:bCs/>
          <w:sz w:val="20"/>
          <w:szCs w:val="20"/>
        </w:rPr>
        <w:lastRenderedPageBreak/>
        <w:t>Cuentas contables.</w:t>
      </w:r>
    </w:p>
    <w:p w:rsidR="00A17B33" w:rsidRPr="00392C40" w:rsidRDefault="00A17B33" w:rsidP="00A17B33">
      <w:pPr>
        <w:autoSpaceDE w:val="0"/>
        <w:autoSpaceDN w:val="0"/>
        <w:adjustRightInd w:val="0"/>
        <w:spacing w:line="360" w:lineRule="auto"/>
        <w:rPr>
          <w:rFonts w:ascii="Calibri" w:hAnsi="Calibri" w:cs="Calibri"/>
          <w:b/>
          <w:bCs/>
          <w:sz w:val="18"/>
          <w:szCs w:val="18"/>
        </w:rPr>
      </w:pPr>
    </w:p>
    <w:tbl>
      <w:tblPr>
        <w:tblStyle w:val="Tablaconcuadrcula"/>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1041"/>
      </w:tblGrid>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18"/>
                <w:szCs w:val="18"/>
              </w:rPr>
            </w:pPr>
            <w:bookmarkStart w:id="19" w:name="m16"/>
            <w:bookmarkEnd w:id="19"/>
            <w:r>
              <w:rPr>
                <w:rFonts w:ascii="Calibri" w:hAnsi="Calibri" w:cs="Calibri"/>
                <w:b/>
                <w:bCs/>
                <w:sz w:val="18"/>
                <w:szCs w:val="18"/>
              </w:rPr>
              <w:t>CUENTAS DE ORDEN CONTABLES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18"/>
                <w:szCs w:val="18"/>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18"/>
                <w:szCs w:val="18"/>
              </w:rPr>
            </w:pPr>
            <w:r>
              <w:rPr>
                <w:rFonts w:ascii="Calibri" w:hAnsi="Calibri" w:cs="Calibri"/>
                <w:b/>
                <w:bCs/>
                <w:sz w:val="18"/>
                <w:szCs w:val="18"/>
              </w:rPr>
              <w:t>VALORES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18"/>
                <w:szCs w:val="18"/>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18"/>
                <w:szCs w:val="18"/>
              </w:rPr>
            </w:pPr>
            <w:r>
              <w:rPr>
                <w:rFonts w:ascii="Calibri" w:hAnsi="Calibri" w:cs="Calibri"/>
                <w:bCs/>
                <w:sz w:val="18"/>
                <w:szCs w:val="18"/>
              </w:rPr>
              <w:t>VALORES EN CUSTODIA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18"/>
                <w:szCs w:val="18"/>
              </w:rPr>
            </w:pPr>
            <w:r>
              <w:rPr>
                <w:rFonts w:ascii="Calibri" w:hAnsi="Calibri" w:cs="Calibri"/>
                <w:bCs/>
                <w:sz w:val="18"/>
                <w:szCs w:val="18"/>
              </w:rPr>
              <w:t>74,500.00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18"/>
                <w:szCs w:val="18"/>
              </w:rPr>
            </w:pPr>
            <w:r>
              <w:rPr>
                <w:rFonts w:ascii="Calibri" w:hAnsi="Calibri" w:cs="Calibri"/>
                <w:bCs/>
                <w:sz w:val="18"/>
                <w:szCs w:val="18"/>
              </w:rPr>
              <w:t>CUSTODIA DE VALORES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18"/>
                <w:szCs w:val="18"/>
              </w:rPr>
            </w:pPr>
            <w:r>
              <w:rPr>
                <w:rFonts w:ascii="Calibri" w:hAnsi="Calibri" w:cs="Calibri"/>
                <w:bCs/>
                <w:sz w:val="18"/>
                <w:szCs w:val="18"/>
              </w:rPr>
              <w:t>74,500.00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18"/>
                <w:szCs w:val="18"/>
              </w:rPr>
            </w:pPr>
            <w:r>
              <w:rPr>
                <w:rFonts w:ascii="Calibri" w:hAnsi="Calibri" w:cs="Calibri"/>
                <w:b/>
                <w:bCs/>
                <w:sz w:val="18"/>
                <w:szCs w:val="18"/>
              </w:rPr>
              <w:t>AVALES Y GARANTIAS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18"/>
                <w:szCs w:val="18"/>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18"/>
                <w:szCs w:val="18"/>
              </w:rPr>
            </w:pPr>
            <w:r>
              <w:rPr>
                <w:rFonts w:ascii="Calibri" w:hAnsi="Calibri" w:cs="Calibri"/>
                <w:bCs/>
                <w:sz w:val="18"/>
                <w:szCs w:val="18"/>
              </w:rPr>
              <w:t>FIANZAS Y GARANTÍAS RECIBIDAS POR DEUDAS A COBRAR</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18"/>
                <w:szCs w:val="18"/>
              </w:rPr>
            </w:pPr>
            <w:r>
              <w:rPr>
                <w:rFonts w:ascii="Calibri" w:hAnsi="Calibri" w:cs="Calibri"/>
                <w:bCs/>
                <w:sz w:val="18"/>
                <w:szCs w:val="18"/>
              </w:rPr>
              <w:t>286,825.10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18"/>
                <w:szCs w:val="18"/>
              </w:rPr>
            </w:pPr>
            <w:r>
              <w:rPr>
                <w:rFonts w:ascii="Calibri" w:hAnsi="Calibri" w:cs="Calibri"/>
                <w:bCs/>
                <w:sz w:val="18"/>
                <w:szCs w:val="18"/>
              </w:rPr>
              <w:t>FIANZAS Y GARANTÍAS RECIBIDAS</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18"/>
                <w:szCs w:val="18"/>
              </w:rPr>
            </w:pPr>
            <w:r>
              <w:rPr>
                <w:rFonts w:ascii="Calibri" w:hAnsi="Calibri" w:cs="Calibri"/>
                <w:bCs/>
                <w:sz w:val="18"/>
                <w:szCs w:val="18"/>
              </w:rPr>
              <w:t>286,825.10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18"/>
                <w:szCs w:val="18"/>
              </w:rPr>
            </w:pPr>
            <w:r>
              <w:rPr>
                <w:rFonts w:ascii="Calibri" w:hAnsi="Calibri" w:cs="Calibri"/>
                <w:b/>
                <w:bCs/>
                <w:sz w:val="18"/>
                <w:szCs w:val="18"/>
              </w:rPr>
              <w:t>BIENES ARQUEOLÓGICOS, ARTÍSTICOS E HISTÓRICOS EN CUSTODIA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18"/>
                <w:szCs w:val="18"/>
              </w:rPr>
            </w:pP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18"/>
                <w:szCs w:val="18"/>
              </w:rPr>
            </w:pPr>
            <w:r>
              <w:rPr>
                <w:rFonts w:ascii="Calibri" w:hAnsi="Calibri" w:cs="Calibri"/>
                <w:bCs/>
                <w:sz w:val="18"/>
                <w:szCs w:val="18"/>
              </w:rPr>
              <w:t>BIENES HISTÓRICOS EN CUSTODIA</w:t>
            </w:r>
          </w:p>
        </w:tc>
        <w:tc>
          <w:tcPr>
            <w:tcW w:w="0" w:type="auto"/>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18"/>
                <w:szCs w:val="18"/>
              </w:rPr>
            </w:pPr>
            <w:r>
              <w:rPr>
                <w:rFonts w:ascii="Calibri" w:hAnsi="Calibri" w:cs="Calibri"/>
                <w:bCs/>
                <w:sz w:val="18"/>
                <w:szCs w:val="18"/>
              </w:rPr>
              <w:t>14.00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Cs/>
                <w:sz w:val="18"/>
                <w:szCs w:val="18"/>
              </w:rPr>
            </w:pPr>
            <w:r>
              <w:rPr>
                <w:rFonts w:ascii="Calibri" w:hAnsi="Calibri" w:cs="Calibri"/>
                <w:bCs/>
                <w:sz w:val="18"/>
                <w:szCs w:val="18"/>
              </w:rPr>
              <w:t>CUSTODIA DE BIENES HISTÓRICOS</w:t>
            </w:r>
          </w:p>
        </w:tc>
        <w:tc>
          <w:tcPr>
            <w:tcW w:w="0" w:type="auto"/>
            <w:tcBorders>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Cs/>
                <w:sz w:val="18"/>
                <w:szCs w:val="18"/>
              </w:rPr>
            </w:pPr>
            <w:r>
              <w:rPr>
                <w:rFonts w:ascii="Calibri" w:hAnsi="Calibri" w:cs="Calibri"/>
                <w:bCs/>
                <w:sz w:val="18"/>
                <w:szCs w:val="18"/>
              </w:rPr>
              <w:t>14.00</w:t>
            </w:r>
          </w:p>
        </w:tc>
      </w:tr>
      <w:tr w:rsidR="00A17B33" w:rsidTr="00A17B33">
        <w:trPr>
          <w:jc w:val="center"/>
        </w:trPr>
        <w:tc>
          <w:tcPr>
            <w:tcW w:w="0" w:type="auto"/>
            <w:shd w:val="clear" w:color="auto" w:fill="auto"/>
          </w:tcPr>
          <w:p w:rsidR="00A17B33" w:rsidRPr="001624A3" w:rsidRDefault="00A17B33" w:rsidP="00A17B33">
            <w:pPr>
              <w:autoSpaceDE w:val="0"/>
              <w:autoSpaceDN w:val="0"/>
              <w:adjustRightInd w:val="0"/>
              <w:spacing w:line="360" w:lineRule="auto"/>
              <w:rPr>
                <w:rFonts w:ascii="Calibri" w:hAnsi="Calibri" w:cs="Calibri"/>
                <w:b/>
                <w:bCs/>
                <w:sz w:val="18"/>
                <w:szCs w:val="18"/>
              </w:rPr>
            </w:pPr>
            <w:r>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A17B33" w:rsidRPr="001624A3" w:rsidRDefault="00A17B33" w:rsidP="00A17B33">
            <w:pPr>
              <w:autoSpaceDE w:val="0"/>
              <w:autoSpaceDN w:val="0"/>
              <w:adjustRightInd w:val="0"/>
              <w:spacing w:line="360" w:lineRule="auto"/>
              <w:jc w:val="right"/>
              <w:rPr>
                <w:rFonts w:ascii="Calibri" w:hAnsi="Calibri" w:cs="Calibri"/>
                <w:b/>
                <w:bCs/>
                <w:sz w:val="18"/>
                <w:szCs w:val="18"/>
              </w:rPr>
            </w:pPr>
            <w:r>
              <w:rPr>
                <w:rFonts w:ascii="Calibri" w:hAnsi="Calibri" w:cs="Calibri"/>
                <w:b/>
                <w:bCs/>
                <w:sz w:val="18"/>
                <w:szCs w:val="18"/>
              </w:rPr>
              <w:t>722,678.20</w:t>
            </w:r>
          </w:p>
        </w:tc>
      </w:tr>
    </w:tbl>
    <w:p w:rsidR="00D20015" w:rsidRDefault="00D20015" w:rsidP="00D20015">
      <w:pPr>
        <w:jc w:val="both"/>
        <w:rPr>
          <w:color w:val="000000"/>
          <w:sz w:val="20"/>
          <w:szCs w:val="20"/>
          <w:lang w:eastAsia="es-MX"/>
        </w:rPr>
      </w:pPr>
    </w:p>
    <w:p w:rsidR="00D20015" w:rsidRDefault="00D20015" w:rsidP="00D20015">
      <w:pPr>
        <w:jc w:val="both"/>
        <w:rPr>
          <w:color w:val="000000"/>
          <w:sz w:val="20"/>
          <w:szCs w:val="20"/>
          <w:lang w:eastAsia="es-MX"/>
        </w:rPr>
      </w:pPr>
    </w:p>
    <w:p w:rsidR="00D20015" w:rsidRDefault="00D20015" w:rsidP="00D20015">
      <w:pPr>
        <w:jc w:val="both"/>
        <w:rPr>
          <w:color w:val="000000"/>
          <w:sz w:val="20"/>
          <w:szCs w:val="20"/>
          <w:lang w:eastAsia="es-MX"/>
        </w:rPr>
      </w:pPr>
    </w:p>
    <w:p w:rsidR="00D20015" w:rsidRDefault="00D20015" w:rsidP="00D20015">
      <w:pPr>
        <w:jc w:val="both"/>
        <w:rPr>
          <w:color w:val="000000"/>
          <w:sz w:val="20"/>
          <w:szCs w:val="20"/>
          <w:lang w:eastAsia="es-MX"/>
        </w:rPr>
      </w:pPr>
    </w:p>
    <w:p w:rsidR="00D20015" w:rsidRPr="008659E9" w:rsidRDefault="00D20015" w:rsidP="00D20015">
      <w:pPr>
        <w:jc w:val="both"/>
        <w:rPr>
          <w:rFonts w:cs="Arial"/>
          <w:b/>
          <w:sz w:val="20"/>
          <w:szCs w:val="20"/>
        </w:rPr>
      </w:pPr>
      <w:r w:rsidRPr="00390192">
        <w:rPr>
          <w:color w:val="000000"/>
          <w:sz w:val="20"/>
          <w:szCs w:val="20"/>
          <w:lang w:eastAsia="es-MX"/>
        </w:rPr>
        <w:t>Bajo protesta de decir verdad declaramos que los Estados Financieros y sus Notas son razonablemente correctos y responsabilidad del emisor</w:t>
      </w:r>
      <w:r>
        <w:rPr>
          <w:color w:val="000000"/>
          <w:sz w:val="20"/>
          <w:szCs w:val="20"/>
          <w:lang w:eastAsia="es-MX"/>
        </w:rPr>
        <w:t>.</w:t>
      </w:r>
    </w:p>
    <w:p w:rsidR="00A17B33" w:rsidRDefault="00A17B33" w:rsidP="00A67FAE">
      <w:pPr>
        <w:autoSpaceDE w:val="0"/>
        <w:autoSpaceDN w:val="0"/>
        <w:adjustRightInd w:val="0"/>
        <w:spacing w:line="360" w:lineRule="auto"/>
        <w:rPr>
          <w:b/>
          <w:sz w:val="20"/>
        </w:rPr>
      </w:pPr>
    </w:p>
    <w:sectPr w:rsidR="00A17B33" w:rsidSect="00B81E09">
      <w:headerReference w:type="default" r:id="rId9"/>
      <w:footerReference w:type="even" r:id="rId10"/>
      <w:footerReference w:type="default" r:id="rId11"/>
      <w:pgSz w:w="15840" w:h="12240" w:orient="landscape" w:code="1"/>
      <w:pgMar w:top="2835" w:right="1134" w:bottom="1701"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33" w:rsidRDefault="00A17B33" w:rsidP="00DA679B">
      <w:r>
        <w:separator/>
      </w:r>
    </w:p>
  </w:endnote>
  <w:endnote w:type="continuationSeparator" w:id="0">
    <w:p w:rsidR="00A17B33" w:rsidRDefault="00A17B33" w:rsidP="00DA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33" w:rsidRDefault="00A17B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7B33" w:rsidRDefault="00A17B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33" w:rsidRDefault="00A17B33" w:rsidP="00A17B33">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33" w:rsidRDefault="00A17B33" w:rsidP="00DA679B">
      <w:r>
        <w:separator/>
      </w:r>
    </w:p>
  </w:footnote>
  <w:footnote w:type="continuationSeparator" w:id="0">
    <w:p w:rsidR="00A17B33" w:rsidRDefault="00A17B33" w:rsidP="00DA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33" w:rsidRDefault="00A17B33" w:rsidP="00A17B33">
    <w:pPr>
      <w:pStyle w:val="Encabezado"/>
      <w:rPr>
        <w:noProof/>
        <w:lang w:eastAsia="es-MX"/>
      </w:rPr>
    </w:pPr>
  </w:p>
  <w:p w:rsidR="00A17B33" w:rsidRPr="004458D8" w:rsidRDefault="00A17B33" w:rsidP="00A17B33">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22"/>
    <w:multiLevelType w:val="hybridMultilevel"/>
    <w:tmpl w:val="7F9C0A30"/>
    <w:lvl w:ilvl="0" w:tplc="F288FCBE">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45B48F7"/>
    <w:multiLevelType w:val="hybridMultilevel"/>
    <w:tmpl w:val="53C2D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2D0362"/>
    <w:multiLevelType w:val="hybridMultilevel"/>
    <w:tmpl w:val="463492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6B57CD"/>
    <w:multiLevelType w:val="hybridMultilevel"/>
    <w:tmpl w:val="49826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2252339"/>
    <w:multiLevelType w:val="hybridMultilevel"/>
    <w:tmpl w:val="BC1AC422"/>
    <w:lvl w:ilvl="0" w:tplc="942024C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2DE4D7B"/>
    <w:multiLevelType w:val="hybridMultilevel"/>
    <w:tmpl w:val="6DC45A84"/>
    <w:lvl w:ilvl="0" w:tplc="F9605EFC">
      <w:start w:val="1"/>
      <w:numFmt w:val="bullet"/>
      <w:lvlText w:val="•"/>
      <w:lvlJc w:val="left"/>
      <w:pPr>
        <w:tabs>
          <w:tab w:val="num" w:pos="720"/>
        </w:tabs>
        <w:ind w:left="720" w:hanging="360"/>
      </w:pPr>
      <w:rPr>
        <w:rFonts w:ascii="Arial" w:hAnsi="Arial" w:cs="Times New Roman" w:hint="default"/>
      </w:rPr>
    </w:lvl>
    <w:lvl w:ilvl="1" w:tplc="42205B04">
      <w:start w:val="1"/>
      <w:numFmt w:val="bullet"/>
      <w:lvlText w:val="•"/>
      <w:lvlJc w:val="left"/>
      <w:pPr>
        <w:tabs>
          <w:tab w:val="num" w:pos="1440"/>
        </w:tabs>
        <w:ind w:left="1440" w:hanging="360"/>
      </w:pPr>
      <w:rPr>
        <w:rFonts w:ascii="Arial" w:hAnsi="Arial" w:cs="Times New Roman" w:hint="default"/>
      </w:rPr>
    </w:lvl>
    <w:lvl w:ilvl="2" w:tplc="FD6234B0">
      <w:start w:val="1"/>
      <w:numFmt w:val="bullet"/>
      <w:lvlText w:val="•"/>
      <w:lvlJc w:val="left"/>
      <w:pPr>
        <w:tabs>
          <w:tab w:val="num" w:pos="2160"/>
        </w:tabs>
        <w:ind w:left="2160" w:hanging="360"/>
      </w:pPr>
      <w:rPr>
        <w:rFonts w:ascii="Arial" w:hAnsi="Arial" w:cs="Times New Roman" w:hint="default"/>
      </w:rPr>
    </w:lvl>
    <w:lvl w:ilvl="3" w:tplc="C9E83CAC">
      <w:start w:val="1"/>
      <w:numFmt w:val="bullet"/>
      <w:lvlText w:val="•"/>
      <w:lvlJc w:val="left"/>
      <w:pPr>
        <w:tabs>
          <w:tab w:val="num" w:pos="2880"/>
        </w:tabs>
        <w:ind w:left="2880" w:hanging="360"/>
      </w:pPr>
      <w:rPr>
        <w:rFonts w:ascii="Arial" w:hAnsi="Arial" w:cs="Times New Roman" w:hint="default"/>
      </w:rPr>
    </w:lvl>
    <w:lvl w:ilvl="4" w:tplc="E60A9B56">
      <w:start w:val="1"/>
      <w:numFmt w:val="bullet"/>
      <w:lvlText w:val="•"/>
      <w:lvlJc w:val="left"/>
      <w:pPr>
        <w:tabs>
          <w:tab w:val="num" w:pos="3600"/>
        </w:tabs>
        <w:ind w:left="3600" w:hanging="360"/>
      </w:pPr>
      <w:rPr>
        <w:rFonts w:ascii="Arial" w:hAnsi="Arial" w:cs="Times New Roman" w:hint="default"/>
      </w:rPr>
    </w:lvl>
    <w:lvl w:ilvl="5" w:tplc="D2F6AA7C">
      <w:start w:val="1"/>
      <w:numFmt w:val="bullet"/>
      <w:lvlText w:val="•"/>
      <w:lvlJc w:val="left"/>
      <w:pPr>
        <w:tabs>
          <w:tab w:val="num" w:pos="4320"/>
        </w:tabs>
        <w:ind w:left="4320" w:hanging="360"/>
      </w:pPr>
      <w:rPr>
        <w:rFonts w:ascii="Arial" w:hAnsi="Arial" w:cs="Times New Roman" w:hint="default"/>
      </w:rPr>
    </w:lvl>
    <w:lvl w:ilvl="6" w:tplc="C48CE1FC">
      <w:start w:val="1"/>
      <w:numFmt w:val="bullet"/>
      <w:lvlText w:val="•"/>
      <w:lvlJc w:val="left"/>
      <w:pPr>
        <w:tabs>
          <w:tab w:val="num" w:pos="5040"/>
        </w:tabs>
        <w:ind w:left="5040" w:hanging="360"/>
      </w:pPr>
      <w:rPr>
        <w:rFonts w:ascii="Arial" w:hAnsi="Arial" w:cs="Times New Roman" w:hint="default"/>
      </w:rPr>
    </w:lvl>
    <w:lvl w:ilvl="7" w:tplc="04B62074">
      <w:start w:val="1"/>
      <w:numFmt w:val="bullet"/>
      <w:lvlText w:val="•"/>
      <w:lvlJc w:val="left"/>
      <w:pPr>
        <w:tabs>
          <w:tab w:val="num" w:pos="5760"/>
        </w:tabs>
        <w:ind w:left="5760" w:hanging="360"/>
      </w:pPr>
      <w:rPr>
        <w:rFonts w:ascii="Arial" w:hAnsi="Arial" w:cs="Times New Roman" w:hint="default"/>
      </w:rPr>
    </w:lvl>
    <w:lvl w:ilvl="8" w:tplc="559CD088">
      <w:start w:val="1"/>
      <w:numFmt w:val="bullet"/>
      <w:lvlText w:val="•"/>
      <w:lvlJc w:val="left"/>
      <w:pPr>
        <w:tabs>
          <w:tab w:val="num" w:pos="6480"/>
        </w:tabs>
        <w:ind w:left="6480" w:hanging="360"/>
      </w:pPr>
      <w:rPr>
        <w:rFonts w:ascii="Arial" w:hAnsi="Arial" w:cs="Times New Roman" w:hint="default"/>
      </w:rPr>
    </w:lvl>
  </w:abstractNum>
  <w:abstractNum w:abstractNumId="11">
    <w:nsid w:val="24964844"/>
    <w:multiLevelType w:val="hybridMultilevel"/>
    <w:tmpl w:val="4C78F5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694C70"/>
    <w:multiLevelType w:val="hybridMultilevel"/>
    <w:tmpl w:val="2D9C31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73212D"/>
    <w:multiLevelType w:val="hybridMultilevel"/>
    <w:tmpl w:val="E996BD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5818EB"/>
    <w:multiLevelType w:val="hybridMultilevel"/>
    <w:tmpl w:val="241CA936"/>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7656F5"/>
    <w:multiLevelType w:val="hybridMultilevel"/>
    <w:tmpl w:val="3B5EEF9E"/>
    <w:lvl w:ilvl="0" w:tplc="07E42080">
      <w:start w:val="1"/>
      <w:numFmt w:val="upperLetter"/>
      <w:pStyle w:val="NotasEEFF"/>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5D281121"/>
    <w:multiLevelType w:val="hybridMultilevel"/>
    <w:tmpl w:val="08FC1902"/>
    <w:lvl w:ilvl="0" w:tplc="3DE00E54">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nsid w:val="60850D15"/>
    <w:multiLevelType w:val="hybridMultilevel"/>
    <w:tmpl w:val="921CA98E"/>
    <w:lvl w:ilvl="0" w:tplc="080A0015">
      <w:start w:val="1"/>
      <w:numFmt w:val="upp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60FE3E15"/>
    <w:multiLevelType w:val="hybridMultilevel"/>
    <w:tmpl w:val="5E020A34"/>
    <w:lvl w:ilvl="0" w:tplc="6DAE0A74">
      <w:numFmt w:val="bullet"/>
      <w:lvlText w:val=""/>
      <w:lvlJc w:val="left"/>
      <w:pPr>
        <w:ind w:left="720" w:hanging="360"/>
      </w:pPr>
      <w:rPr>
        <w:rFonts w:ascii="Symbol" w:eastAsia="Calibri" w:hAnsi="Symbo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64234FDE"/>
    <w:multiLevelType w:val="hybridMultilevel"/>
    <w:tmpl w:val="F11C4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2410FB"/>
    <w:multiLevelType w:val="hybridMultilevel"/>
    <w:tmpl w:val="02D62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1A2160"/>
    <w:multiLevelType w:val="hybridMultilevel"/>
    <w:tmpl w:val="4DE6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7D445CBD"/>
    <w:multiLevelType w:val="hybridMultilevel"/>
    <w:tmpl w:val="059A2C6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3"/>
  </w:num>
  <w:num w:numId="4">
    <w:abstractNumId w:val="27"/>
  </w:num>
  <w:num w:numId="5">
    <w:abstractNumId w:val="28"/>
  </w:num>
  <w:num w:numId="6">
    <w:abstractNumId w:val="1"/>
  </w:num>
  <w:num w:numId="7">
    <w:abstractNumId w:val="9"/>
  </w:num>
  <w:num w:numId="8">
    <w:abstractNumId w:val="23"/>
  </w:num>
  <w:num w:numId="9">
    <w:abstractNumId w:val="8"/>
  </w:num>
  <w:num w:numId="10">
    <w:abstractNumId w:val="30"/>
  </w:num>
  <w:num w:numId="11">
    <w:abstractNumId w:val="24"/>
  </w:num>
  <w:num w:numId="12">
    <w:abstractNumId w:val="18"/>
  </w:num>
  <w:num w:numId="13">
    <w:abstractNumId w:val="3"/>
  </w:num>
  <w:num w:numId="14">
    <w:abstractNumId w:val="0"/>
  </w:num>
  <w:num w:numId="15">
    <w:abstractNumId w:val="25"/>
  </w:num>
  <w:num w:numId="16">
    <w:abstractNumId w:val="31"/>
  </w:num>
  <w:num w:numId="17">
    <w:abstractNumId w:val="14"/>
  </w:num>
  <w:num w:numId="18">
    <w:abstractNumId w:val="15"/>
  </w:num>
  <w:num w:numId="19">
    <w:abstractNumId w:val="5"/>
  </w:num>
  <w:num w:numId="20">
    <w:abstractNumId w:val="19"/>
  </w:num>
  <w:num w:numId="21">
    <w:abstractNumId w:val="20"/>
  </w:num>
  <w:num w:numId="22">
    <w:abstractNumId w:val="16"/>
  </w:num>
  <w:num w:numId="23">
    <w:abstractNumId w:val="17"/>
  </w:num>
  <w:num w:numId="24">
    <w:abstractNumId w:val="32"/>
  </w:num>
  <w:num w:numId="25">
    <w:abstractNumId w:val="12"/>
  </w:num>
  <w:num w:numId="26">
    <w:abstractNumId w:val="21"/>
  </w:num>
  <w:num w:numId="27">
    <w:abstractNumId w:val="7"/>
  </w:num>
  <w:num w:numId="28">
    <w:abstractNumId w:val="2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10"/>
  </w:num>
  <w:num w:numId="35">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89"/>
    <w:rsid w:val="00093686"/>
    <w:rsid w:val="001B320E"/>
    <w:rsid w:val="001E6396"/>
    <w:rsid w:val="0029084C"/>
    <w:rsid w:val="002A6A34"/>
    <w:rsid w:val="00373189"/>
    <w:rsid w:val="003947A5"/>
    <w:rsid w:val="0043560D"/>
    <w:rsid w:val="005108BB"/>
    <w:rsid w:val="00585774"/>
    <w:rsid w:val="005C534E"/>
    <w:rsid w:val="006A0BB0"/>
    <w:rsid w:val="006B117A"/>
    <w:rsid w:val="0071143C"/>
    <w:rsid w:val="007F1C9E"/>
    <w:rsid w:val="00A17B33"/>
    <w:rsid w:val="00A67FAE"/>
    <w:rsid w:val="00B8021D"/>
    <w:rsid w:val="00B81BA7"/>
    <w:rsid w:val="00B81E09"/>
    <w:rsid w:val="00BF6CAF"/>
    <w:rsid w:val="00C4584A"/>
    <w:rsid w:val="00C62654"/>
    <w:rsid w:val="00D20015"/>
    <w:rsid w:val="00D83798"/>
    <w:rsid w:val="00D84843"/>
    <w:rsid w:val="00DA679B"/>
    <w:rsid w:val="00DC5194"/>
    <w:rsid w:val="00E91FB0"/>
    <w:rsid w:val="00F34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1798">
      <w:bodyDiv w:val="1"/>
      <w:marLeft w:val="0"/>
      <w:marRight w:val="0"/>
      <w:marTop w:val="0"/>
      <w:marBottom w:val="0"/>
      <w:divBdr>
        <w:top w:val="none" w:sz="0" w:space="0" w:color="auto"/>
        <w:left w:val="none" w:sz="0" w:space="0" w:color="auto"/>
        <w:bottom w:val="none" w:sz="0" w:space="0" w:color="auto"/>
        <w:right w:val="none" w:sz="0" w:space="0" w:color="auto"/>
      </w:divBdr>
    </w:div>
    <w:div w:id="234168124">
      <w:bodyDiv w:val="1"/>
      <w:marLeft w:val="0"/>
      <w:marRight w:val="0"/>
      <w:marTop w:val="0"/>
      <w:marBottom w:val="0"/>
      <w:divBdr>
        <w:top w:val="none" w:sz="0" w:space="0" w:color="auto"/>
        <w:left w:val="none" w:sz="0" w:space="0" w:color="auto"/>
        <w:bottom w:val="none" w:sz="0" w:space="0" w:color="auto"/>
        <w:right w:val="none" w:sz="0" w:space="0" w:color="auto"/>
      </w:divBdr>
    </w:div>
    <w:div w:id="238056141">
      <w:bodyDiv w:val="1"/>
      <w:marLeft w:val="0"/>
      <w:marRight w:val="0"/>
      <w:marTop w:val="0"/>
      <w:marBottom w:val="0"/>
      <w:divBdr>
        <w:top w:val="none" w:sz="0" w:space="0" w:color="auto"/>
        <w:left w:val="none" w:sz="0" w:space="0" w:color="auto"/>
        <w:bottom w:val="none" w:sz="0" w:space="0" w:color="auto"/>
        <w:right w:val="none" w:sz="0" w:space="0" w:color="auto"/>
      </w:divBdr>
    </w:div>
    <w:div w:id="430734982">
      <w:bodyDiv w:val="1"/>
      <w:marLeft w:val="0"/>
      <w:marRight w:val="0"/>
      <w:marTop w:val="0"/>
      <w:marBottom w:val="0"/>
      <w:divBdr>
        <w:top w:val="none" w:sz="0" w:space="0" w:color="auto"/>
        <w:left w:val="none" w:sz="0" w:space="0" w:color="auto"/>
        <w:bottom w:val="none" w:sz="0" w:space="0" w:color="auto"/>
        <w:right w:val="none" w:sz="0" w:space="0" w:color="auto"/>
      </w:divBdr>
    </w:div>
    <w:div w:id="1042830623">
      <w:bodyDiv w:val="1"/>
      <w:marLeft w:val="0"/>
      <w:marRight w:val="0"/>
      <w:marTop w:val="0"/>
      <w:marBottom w:val="0"/>
      <w:divBdr>
        <w:top w:val="none" w:sz="0" w:space="0" w:color="auto"/>
        <w:left w:val="none" w:sz="0" w:space="0" w:color="auto"/>
        <w:bottom w:val="none" w:sz="0" w:space="0" w:color="auto"/>
        <w:right w:val="none" w:sz="0" w:space="0" w:color="auto"/>
      </w:divBdr>
    </w:div>
    <w:div w:id="1044066121">
      <w:bodyDiv w:val="1"/>
      <w:marLeft w:val="0"/>
      <w:marRight w:val="0"/>
      <w:marTop w:val="0"/>
      <w:marBottom w:val="0"/>
      <w:divBdr>
        <w:top w:val="none" w:sz="0" w:space="0" w:color="auto"/>
        <w:left w:val="none" w:sz="0" w:space="0" w:color="auto"/>
        <w:bottom w:val="none" w:sz="0" w:space="0" w:color="auto"/>
        <w:right w:val="none" w:sz="0" w:space="0" w:color="auto"/>
      </w:divBdr>
    </w:div>
    <w:div w:id="1285039919">
      <w:bodyDiv w:val="1"/>
      <w:marLeft w:val="0"/>
      <w:marRight w:val="0"/>
      <w:marTop w:val="0"/>
      <w:marBottom w:val="0"/>
      <w:divBdr>
        <w:top w:val="none" w:sz="0" w:space="0" w:color="auto"/>
        <w:left w:val="none" w:sz="0" w:space="0" w:color="auto"/>
        <w:bottom w:val="none" w:sz="0" w:space="0" w:color="auto"/>
        <w:right w:val="none" w:sz="0" w:space="0" w:color="auto"/>
      </w:divBdr>
    </w:div>
    <w:div w:id="1521428113">
      <w:bodyDiv w:val="1"/>
      <w:marLeft w:val="0"/>
      <w:marRight w:val="0"/>
      <w:marTop w:val="0"/>
      <w:marBottom w:val="0"/>
      <w:divBdr>
        <w:top w:val="none" w:sz="0" w:space="0" w:color="auto"/>
        <w:left w:val="none" w:sz="0" w:space="0" w:color="auto"/>
        <w:bottom w:val="none" w:sz="0" w:space="0" w:color="auto"/>
        <w:right w:val="none" w:sz="0" w:space="0" w:color="auto"/>
      </w:divBdr>
    </w:div>
    <w:div w:id="2015103482">
      <w:bodyDiv w:val="1"/>
      <w:marLeft w:val="0"/>
      <w:marRight w:val="0"/>
      <w:marTop w:val="0"/>
      <w:marBottom w:val="0"/>
      <w:divBdr>
        <w:top w:val="none" w:sz="0" w:space="0" w:color="auto"/>
        <w:left w:val="none" w:sz="0" w:space="0" w:color="auto"/>
        <w:bottom w:val="none" w:sz="0" w:space="0" w:color="auto"/>
        <w:right w:val="none" w:sz="0" w:space="0" w:color="auto"/>
      </w:divBdr>
    </w:div>
    <w:div w:id="2029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6453-C4E2-4511-998E-9A74F1E4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29</Pages>
  <Words>5293</Words>
  <Characters>29115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17</cp:revision>
  <dcterms:created xsi:type="dcterms:W3CDTF">2017-04-06T22:16:00Z</dcterms:created>
  <dcterms:modified xsi:type="dcterms:W3CDTF">2018-03-23T18:49:00Z</dcterms:modified>
</cp:coreProperties>
</file>