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23" w:rsidRPr="00C5135F" w:rsidRDefault="00D43F28" w:rsidP="005D36C8">
      <w:pPr>
        <w:spacing w:after="200"/>
        <w:jc w:val="center"/>
        <w:rPr>
          <w:rFonts w:ascii="Calibri" w:hAnsi="Calibri" w:cs="Arial"/>
          <w:b/>
          <w:sz w:val="20"/>
          <w:szCs w:val="20"/>
          <w:lang w:eastAsia="en-US"/>
        </w:rPr>
      </w:pPr>
      <w:bookmarkStart w:id="0" w:name="_GoBack"/>
      <w:bookmarkEnd w:id="0"/>
      <w:r>
        <w:rPr>
          <w:rFonts w:ascii="Calibri" w:hAnsi="Calibri" w:cs="Arial"/>
          <w:b/>
          <w:sz w:val="20"/>
          <w:szCs w:val="20"/>
          <w:lang w:eastAsia="en-US"/>
        </w:rPr>
        <w:t>Cuenta Pública 2017</w:t>
      </w:r>
    </w:p>
    <w:p w:rsidR="004A7723" w:rsidRPr="00C5135F" w:rsidRDefault="004A7723" w:rsidP="005D36C8">
      <w:pPr>
        <w:spacing w:after="200"/>
        <w:jc w:val="center"/>
        <w:rPr>
          <w:rFonts w:ascii="Calibri" w:hAnsi="Calibri" w:cs="Arial"/>
          <w:b/>
          <w:sz w:val="20"/>
          <w:szCs w:val="20"/>
          <w:lang w:eastAsia="en-US"/>
        </w:rPr>
      </w:pPr>
      <w:r w:rsidRPr="00C5135F">
        <w:rPr>
          <w:rFonts w:ascii="Calibri" w:hAnsi="Calibri" w:cs="Arial"/>
          <w:b/>
          <w:sz w:val="20"/>
          <w:szCs w:val="20"/>
          <w:lang w:eastAsia="en-US"/>
        </w:rPr>
        <w:t>Notas a los Estados Financieros</w:t>
      </w:r>
    </w:p>
    <w:p w:rsidR="004A7723" w:rsidRPr="00C5135F" w:rsidRDefault="00D43F28" w:rsidP="005D36C8">
      <w:pPr>
        <w:spacing w:after="200"/>
        <w:jc w:val="center"/>
        <w:rPr>
          <w:rFonts w:ascii="Calibri" w:hAnsi="Calibri" w:cs="Arial"/>
          <w:b/>
          <w:sz w:val="20"/>
          <w:szCs w:val="20"/>
          <w:lang w:eastAsia="en-US"/>
        </w:rPr>
      </w:pPr>
      <w:r>
        <w:rPr>
          <w:rFonts w:ascii="Calibri" w:hAnsi="Calibri" w:cs="Arial"/>
          <w:b/>
          <w:sz w:val="20"/>
          <w:szCs w:val="20"/>
          <w:lang w:eastAsia="en-US"/>
        </w:rPr>
        <w:t>Al 3</w:t>
      </w:r>
      <w:r w:rsidR="00950E05">
        <w:rPr>
          <w:rFonts w:ascii="Calibri" w:hAnsi="Calibri" w:cs="Arial"/>
          <w:b/>
          <w:sz w:val="20"/>
          <w:szCs w:val="20"/>
          <w:lang w:eastAsia="en-US"/>
        </w:rPr>
        <w:t xml:space="preserve">1 de Diciembre </w:t>
      </w:r>
      <w:r>
        <w:rPr>
          <w:rFonts w:ascii="Calibri" w:hAnsi="Calibri" w:cs="Arial"/>
          <w:b/>
          <w:sz w:val="20"/>
          <w:szCs w:val="20"/>
          <w:lang w:eastAsia="en-US"/>
        </w:rPr>
        <w:t>de 2017</w:t>
      </w:r>
    </w:p>
    <w:p w:rsidR="004A7723" w:rsidRDefault="004A7723" w:rsidP="00941BF1">
      <w:pPr>
        <w:spacing w:after="200"/>
        <w:jc w:val="center"/>
        <w:rPr>
          <w:rFonts w:ascii="Calibri" w:hAnsi="Calibri" w:cs="Arial"/>
          <w:b/>
          <w:sz w:val="20"/>
          <w:szCs w:val="20"/>
          <w:lang w:eastAsia="en-US"/>
        </w:rPr>
      </w:pPr>
      <w:r w:rsidRPr="00C5135F">
        <w:rPr>
          <w:rFonts w:ascii="Calibri" w:hAnsi="Calibri" w:cs="Arial"/>
          <w:b/>
          <w:sz w:val="20"/>
          <w:szCs w:val="20"/>
          <w:lang w:eastAsia="en-US"/>
        </w:rPr>
        <w:t>Pesos</w:t>
      </w:r>
    </w:p>
    <w:p w:rsidR="00A14B06" w:rsidRPr="00C5135F" w:rsidRDefault="00A14B06" w:rsidP="00941BF1">
      <w:pPr>
        <w:spacing w:after="200"/>
        <w:jc w:val="center"/>
        <w:rPr>
          <w:rFonts w:ascii="Calibri" w:hAnsi="Calibri" w:cs="Arial"/>
          <w:b/>
          <w:sz w:val="20"/>
          <w:szCs w:val="20"/>
          <w:lang w:eastAsia="en-US"/>
        </w:rPr>
      </w:pPr>
    </w:p>
    <w:p w:rsidR="004A7723" w:rsidRPr="00C5135F" w:rsidRDefault="004A7723" w:rsidP="005D36C8">
      <w:pPr>
        <w:spacing w:after="200"/>
        <w:rPr>
          <w:rFonts w:ascii="Calibri" w:hAnsi="Calibri" w:cs="Arial"/>
          <w:b/>
          <w:sz w:val="20"/>
          <w:szCs w:val="20"/>
          <w:lang w:eastAsia="en-US"/>
        </w:rPr>
      </w:pPr>
      <w:r w:rsidRPr="00C5135F">
        <w:rPr>
          <w:rFonts w:ascii="Calibri" w:hAnsi="Calibri" w:cs="Arial"/>
          <w:b/>
          <w:sz w:val="20"/>
          <w:szCs w:val="20"/>
          <w:lang w:eastAsia="en-US"/>
        </w:rPr>
        <w:t>Ente Público</w:t>
      </w:r>
      <w:proofErr w:type="gramStart"/>
      <w:r w:rsidRPr="00C5135F">
        <w:rPr>
          <w:rFonts w:ascii="Calibri" w:hAnsi="Calibri" w:cs="Arial"/>
          <w:b/>
          <w:sz w:val="20"/>
          <w:szCs w:val="20"/>
          <w:lang w:eastAsia="en-US"/>
        </w:rPr>
        <w:t>:  AUDITORÍA</w:t>
      </w:r>
      <w:proofErr w:type="gramEnd"/>
      <w:r w:rsidRPr="00C5135F">
        <w:rPr>
          <w:rFonts w:ascii="Calibri" w:hAnsi="Calibri" w:cs="Arial"/>
          <w:b/>
          <w:sz w:val="20"/>
          <w:szCs w:val="20"/>
          <w:lang w:eastAsia="en-US"/>
        </w:rPr>
        <w:t xml:space="preserve"> SUPERIOR DEL ESTADO DE YUCATÁN</w:t>
      </w:r>
    </w:p>
    <w:p w:rsidR="00A14B06" w:rsidRDefault="00A14B06" w:rsidP="00F80557">
      <w:pPr>
        <w:rPr>
          <w:rFonts w:ascii="Calibri" w:hAnsi="Calibri" w:cs="Calibri"/>
          <w:b/>
          <w:sz w:val="20"/>
          <w:szCs w:val="20"/>
          <w:u w:val="single"/>
        </w:rPr>
      </w:pPr>
    </w:p>
    <w:p w:rsidR="00F80557" w:rsidRDefault="00F80557" w:rsidP="00F80557">
      <w:pPr>
        <w:rPr>
          <w:rFonts w:ascii="Calibri" w:hAnsi="Calibri" w:cs="Calibri"/>
          <w:b/>
          <w:sz w:val="20"/>
          <w:szCs w:val="20"/>
          <w:u w:val="single"/>
        </w:rPr>
      </w:pPr>
      <w:r w:rsidRPr="00F80557">
        <w:rPr>
          <w:rFonts w:ascii="Calibri" w:hAnsi="Calibri" w:cs="Calibri"/>
          <w:b/>
          <w:sz w:val="20"/>
          <w:szCs w:val="20"/>
          <w:u w:val="single"/>
        </w:rPr>
        <w:t>NOTAS DE GESTIÓN ADMINISTRATIVO</w:t>
      </w:r>
    </w:p>
    <w:p w:rsidR="00A14B06" w:rsidRPr="00F80557" w:rsidRDefault="00A14B06" w:rsidP="00F80557">
      <w:pPr>
        <w:rPr>
          <w:rFonts w:ascii="Calibri" w:hAnsi="Calibri" w:cs="Calibri"/>
          <w:b/>
          <w:sz w:val="20"/>
          <w:szCs w:val="20"/>
          <w:u w:val="single"/>
        </w:rPr>
      </w:pPr>
    </w:p>
    <w:p w:rsidR="00F80557" w:rsidRPr="00F80557" w:rsidRDefault="00F80557" w:rsidP="00F80557">
      <w:pPr>
        <w:jc w:val="both"/>
        <w:rPr>
          <w:rFonts w:ascii="Calibri" w:hAnsi="Calibri"/>
          <w:b/>
          <w:sz w:val="20"/>
          <w:szCs w:val="20"/>
        </w:rPr>
      </w:pPr>
    </w:p>
    <w:p w:rsidR="00F80557" w:rsidRPr="00F80557" w:rsidRDefault="00F80557" w:rsidP="00F80557">
      <w:pPr>
        <w:pStyle w:val="Ttulo1"/>
        <w:pBdr>
          <w:top w:val="single" w:sz="4" w:space="0" w:color="auto"/>
          <w:left w:val="single" w:sz="4" w:space="4" w:color="auto"/>
          <w:bottom w:val="single" w:sz="4" w:space="1" w:color="auto"/>
          <w:right w:val="single" w:sz="4" w:space="4" w:color="auto"/>
        </w:pBdr>
        <w:tabs>
          <w:tab w:val="left" w:pos="1691"/>
        </w:tabs>
        <w:jc w:val="both"/>
        <w:rPr>
          <w:rFonts w:ascii="Calibri" w:hAnsi="Calibri"/>
          <w:sz w:val="20"/>
          <w:szCs w:val="20"/>
        </w:rPr>
      </w:pPr>
      <w:r w:rsidRPr="00F80557">
        <w:rPr>
          <w:rFonts w:ascii="Calibri" w:hAnsi="Calibri"/>
          <w:sz w:val="20"/>
          <w:szCs w:val="20"/>
        </w:rPr>
        <w:t>Nota 1     Personalidad jurídica y actividad operacional</w:t>
      </w:r>
    </w:p>
    <w:p w:rsidR="00F80557" w:rsidRPr="00F80557" w:rsidRDefault="00F80557" w:rsidP="00F80557">
      <w:pPr>
        <w:jc w:val="both"/>
        <w:rPr>
          <w:rFonts w:ascii="Calibri" w:hAnsi="Calibri"/>
          <w:b/>
          <w:sz w:val="20"/>
          <w:szCs w:val="20"/>
        </w:rPr>
      </w:pPr>
    </w:p>
    <w:p w:rsidR="00F80557" w:rsidRPr="00F80557" w:rsidRDefault="00F80557" w:rsidP="00F80557">
      <w:pPr>
        <w:pStyle w:val="Sangradetextonormal"/>
        <w:ind w:firstLine="528"/>
        <w:jc w:val="both"/>
        <w:rPr>
          <w:rFonts w:ascii="Calibri" w:hAnsi="Calibri"/>
          <w:sz w:val="20"/>
          <w:szCs w:val="20"/>
          <w:lang w:val="es-ES"/>
        </w:rPr>
      </w:pPr>
      <w:r w:rsidRPr="00F80557">
        <w:rPr>
          <w:rFonts w:ascii="Calibri" w:hAnsi="Calibri"/>
          <w:sz w:val="20"/>
          <w:szCs w:val="20"/>
          <w:lang w:val="es-ES"/>
        </w:rPr>
        <w:t>La Auditoria Superior del Estado es un Órgano técnico del poder legislativo, responsable de fiscalizar el ejercicio de los recursos públicos,  con autonomía técnica, presupuestal y de gestión para el ejercicio de sus atribucionesasí como para decidir sobre su organización, funcionamiento y resoluciones en los términos que dispone la Ley de Fiscalización de laCuenta Pública del Estado de Yucatán, de conformidad al decreto Numero 289.</w:t>
      </w:r>
    </w:p>
    <w:p w:rsidR="00F80557" w:rsidRPr="00F80557" w:rsidRDefault="00F80557" w:rsidP="00F80557">
      <w:pPr>
        <w:pStyle w:val="Sangradetextonormal"/>
        <w:ind w:left="0"/>
        <w:jc w:val="both"/>
        <w:rPr>
          <w:rFonts w:ascii="Calibri" w:hAnsi="Calibri"/>
          <w:b/>
          <w:sz w:val="20"/>
          <w:szCs w:val="20"/>
          <w:lang w:val="es-ES"/>
        </w:rPr>
      </w:pPr>
    </w:p>
    <w:p w:rsidR="00F80557" w:rsidRPr="00F80557" w:rsidRDefault="00F80557" w:rsidP="00F80557">
      <w:pPr>
        <w:pStyle w:val="Ttulo1"/>
        <w:pBdr>
          <w:top w:val="single" w:sz="4" w:space="1" w:color="auto"/>
          <w:left w:val="single" w:sz="4" w:space="4" w:color="auto"/>
          <w:bottom w:val="single" w:sz="4" w:space="1" w:color="auto"/>
          <w:right w:val="single" w:sz="4" w:space="4" w:color="auto"/>
        </w:pBdr>
        <w:tabs>
          <w:tab w:val="left" w:pos="1691"/>
        </w:tabs>
        <w:jc w:val="both"/>
        <w:rPr>
          <w:rFonts w:ascii="Calibri" w:hAnsi="Calibri"/>
          <w:sz w:val="20"/>
          <w:szCs w:val="20"/>
        </w:rPr>
      </w:pPr>
      <w:r w:rsidRPr="00F80557">
        <w:rPr>
          <w:rFonts w:ascii="Calibri" w:hAnsi="Calibri"/>
          <w:sz w:val="20"/>
          <w:szCs w:val="20"/>
        </w:rPr>
        <w:t>Nota 2     Principales políticas y prácticas contables</w:t>
      </w:r>
    </w:p>
    <w:p w:rsidR="00F80557" w:rsidRPr="00F80557" w:rsidRDefault="00F80557" w:rsidP="00F80557">
      <w:pPr>
        <w:jc w:val="both"/>
        <w:rPr>
          <w:rFonts w:ascii="Calibri" w:hAnsi="Calibri"/>
          <w:b/>
          <w:sz w:val="20"/>
          <w:szCs w:val="20"/>
        </w:rPr>
      </w:pPr>
    </w:p>
    <w:p w:rsidR="00F80557" w:rsidRPr="00F80557" w:rsidRDefault="00F80557" w:rsidP="00F80557">
      <w:pPr>
        <w:ind w:firstLine="360"/>
        <w:jc w:val="both"/>
        <w:rPr>
          <w:rFonts w:ascii="Calibri" w:hAnsi="Calibri"/>
          <w:sz w:val="20"/>
          <w:szCs w:val="20"/>
        </w:rPr>
      </w:pPr>
      <w:r w:rsidRPr="00F80557">
        <w:rPr>
          <w:rFonts w:ascii="Calibri" w:hAnsi="Calibri"/>
          <w:sz w:val="20"/>
          <w:szCs w:val="20"/>
        </w:rPr>
        <w:t>Los estados financieros al 31 de Diciembre de 2017 están preparados sobre bases históricas, y se basa en las siguientes políticas y prácticas contables:</w:t>
      </w:r>
    </w:p>
    <w:p w:rsidR="00F80557" w:rsidRPr="00F80557" w:rsidRDefault="00F80557" w:rsidP="00F80557">
      <w:pPr>
        <w:jc w:val="both"/>
        <w:rPr>
          <w:rFonts w:ascii="Calibri" w:hAnsi="Calibri"/>
          <w:sz w:val="20"/>
          <w:szCs w:val="20"/>
        </w:rPr>
      </w:pPr>
    </w:p>
    <w:p w:rsidR="00F80557" w:rsidRDefault="00F80557" w:rsidP="00F80557">
      <w:pPr>
        <w:numPr>
          <w:ilvl w:val="0"/>
          <w:numId w:val="6"/>
        </w:numPr>
        <w:jc w:val="both"/>
        <w:rPr>
          <w:rFonts w:ascii="Calibri" w:hAnsi="Calibri"/>
          <w:b/>
          <w:sz w:val="20"/>
          <w:szCs w:val="20"/>
        </w:rPr>
      </w:pPr>
      <w:r w:rsidRPr="00F80557">
        <w:rPr>
          <w:rFonts w:ascii="Calibri" w:hAnsi="Calibri"/>
          <w:b/>
          <w:sz w:val="20"/>
          <w:szCs w:val="20"/>
        </w:rPr>
        <w:t>Registro de los ingresos</w:t>
      </w:r>
    </w:p>
    <w:p w:rsidR="00A14B06" w:rsidRPr="00F80557" w:rsidRDefault="00A14B06" w:rsidP="00A14B06">
      <w:pPr>
        <w:jc w:val="both"/>
        <w:rPr>
          <w:rFonts w:ascii="Calibri" w:hAnsi="Calibri"/>
          <w:b/>
          <w:sz w:val="20"/>
          <w:szCs w:val="20"/>
        </w:rPr>
      </w:pPr>
    </w:p>
    <w:p w:rsidR="00F80557" w:rsidRPr="00F80557" w:rsidRDefault="00F80557" w:rsidP="00F80557">
      <w:pPr>
        <w:ind w:left="360"/>
        <w:jc w:val="both"/>
        <w:rPr>
          <w:rFonts w:ascii="Calibri" w:hAnsi="Calibri"/>
          <w:sz w:val="20"/>
          <w:szCs w:val="20"/>
        </w:rPr>
      </w:pPr>
    </w:p>
    <w:p w:rsidR="00F80557" w:rsidRPr="00F80557" w:rsidRDefault="00F80557" w:rsidP="00F80557">
      <w:pPr>
        <w:jc w:val="both"/>
        <w:rPr>
          <w:rFonts w:ascii="Calibri" w:hAnsi="Calibri"/>
          <w:sz w:val="20"/>
          <w:szCs w:val="20"/>
        </w:rPr>
      </w:pPr>
      <w:r w:rsidRPr="00F80557">
        <w:rPr>
          <w:rFonts w:ascii="Calibri" w:hAnsi="Calibri"/>
          <w:sz w:val="20"/>
          <w:szCs w:val="20"/>
        </w:rPr>
        <w:t>Los ingresos son registrados al recibirse su importe de la Secretaria de Administración y Finanzas.</w:t>
      </w:r>
    </w:p>
    <w:p w:rsidR="00F80557" w:rsidRDefault="00F80557" w:rsidP="00F80557">
      <w:pPr>
        <w:jc w:val="both"/>
        <w:rPr>
          <w:rFonts w:ascii="Calibri" w:hAnsi="Calibri"/>
          <w:sz w:val="20"/>
          <w:szCs w:val="20"/>
        </w:rPr>
      </w:pPr>
    </w:p>
    <w:p w:rsidR="00A14B06" w:rsidRDefault="00A14B06" w:rsidP="00F80557">
      <w:pPr>
        <w:jc w:val="both"/>
        <w:rPr>
          <w:rFonts w:ascii="Calibri" w:hAnsi="Calibri"/>
          <w:sz w:val="20"/>
          <w:szCs w:val="20"/>
        </w:rPr>
      </w:pPr>
    </w:p>
    <w:p w:rsidR="00A14B06" w:rsidRDefault="00A14B06" w:rsidP="00F80557">
      <w:pPr>
        <w:jc w:val="both"/>
        <w:rPr>
          <w:rFonts w:ascii="Calibri" w:hAnsi="Calibri"/>
          <w:sz w:val="20"/>
          <w:szCs w:val="20"/>
        </w:rPr>
      </w:pPr>
    </w:p>
    <w:p w:rsidR="00A14B06" w:rsidRPr="00F80557" w:rsidRDefault="00A14B06" w:rsidP="00F80557">
      <w:pPr>
        <w:jc w:val="both"/>
        <w:rPr>
          <w:rFonts w:ascii="Calibri" w:hAnsi="Calibri"/>
          <w:sz w:val="20"/>
          <w:szCs w:val="20"/>
        </w:rPr>
      </w:pPr>
    </w:p>
    <w:p w:rsidR="00F80557" w:rsidRDefault="00F80557" w:rsidP="00F80557">
      <w:pPr>
        <w:numPr>
          <w:ilvl w:val="0"/>
          <w:numId w:val="6"/>
        </w:numPr>
        <w:jc w:val="both"/>
        <w:rPr>
          <w:rFonts w:ascii="Calibri" w:hAnsi="Calibri"/>
          <w:b/>
          <w:sz w:val="20"/>
          <w:szCs w:val="20"/>
        </w:rPr>
      </w:pPr>
      <w:r w:rsidRPr="00F80557">
        <w:rPr>
          <w:rFonts w:ascii="Calibri" w:hAnsi="Calibri"/>
          <w:b/>
          <w:sz w:val="20"/>
          <w:szCs w:val="20"/>
        </w:rPr>
        <w:t>Registro de los egresos</w:t>
      </w:r>
    </w:p>
    <w:p w:rsidR="00A14B06" w:rsidRPr="00F80557" w:rsidRDefault="00A14B06" w:rsidP="00A14B06">
      <w:pPr>
        <w:ind w:left="720"/>
        <w:jc w:val="both"/>
        <w:rPr>
          <w:rFonts w:ascii="Calibri" w:hAnsi="Calibri"/>
          <w:b/>
          <w:sz w:val="20"/>
          <w:szCs w:val="20"/>
        </w:rPr>
      </w:pPr>
    </w:p>
    <w:p w:rsidR="00F80557" w:rsidRPr="00F80557" w:rsidRDefault="00F80557" w:rsidP="00F80557">
      <w:pPr>
        <w:ind w:left="360"/>
        <w:jc w:val="both"/>
        <w:rPr>
          <w:rFonts w:ascii="Calibri" w:hAnsi="Calibri"/>
          <w:sz w:val="20"/>
          <w:szCs w:val="20"/>
        </w:rPr>
      </w:pPr>
    </w:p>
    <w:p w:rsidR="00F80557" w:rsidRPr="00F80557" w:rsidRDefault="00F80557" w:rsidP="00F80557">
      <w:pPr>
        <w:jc w:val="both"/>
        <w:rPr>
          <w:rFonts w:ascii="Calibri" w:hAnsi="Calibri"/>
          <w:sz w:val="20"/>
          <w:szCs w:val="20"/>
        </w:rPr>
      </w:pPr>
      <w:r w:rsidRPr="00F80557">
        <w:rPr>
          <w:rFonts w:ascii="Calibri" w:hAnsi="Calibri"/>
          <w:sz w:val="20"/>
          <w:szCs w:val="20"/>
        </w:rPr>
        <w:t>Los egresos se registran en el momento que a las Cuentas por Cobrar son autorizadas por el departamento de control presupuestalenel  Sistema Integral Contable y a la  cuenta por pagar se adjuntan los documentos que amparan la adquisición de los bienes o la prestación delos servicios. La adquisición de materiales y suministros son consideradas directamente como gastos y su utilización es generalmente inmediata.</w:t>
      </w:r>
    </w:p>
    <w:p w:rsidR="00F80557" w:rsidRDefault="00F80557" w:rsidP="00F80557">
      <w:pPr>
        <w:jc w:val="both"/>
        <w:rPr>
          <w:rFonts w:ascii="Calibri" w:hAnsi="Calibri"/>
          <w:sz w:val="20"/>
          <w:szCs w:val="20"/>
        </w:rPr>
      </w:pPr>
    </w:p>
    <w:p w:rsidR="00A14B06" w:rsidRPr="00F80557" w:rsidRDefault="00A14B06" w:rsidP="00F80557">
      <w:pPr>
        <w:jc w:val="both"/>
        <w:rPr>
          <w:rFonts w:ascii="Calibri" w:hAnsi="Calibri"/>
          <w:sz w:val="20"/>
          <w:szCs w:val="20"/>
        </w:rPr>
      </w:pPr>
    </w:p>
    <w:p w:rsidR="00F80557" w:rsidRPr="00F80557" w:rsidRDefault="00F80557" w:rsidP="00F80557">
      <w:pPr>
        <w:rPr>
          <w:rFonts w:ascii="Calibri" w:hAnsi="Calibri" w:cs="Calibri"/>
          <w:b/>
          <w:sz w:val="20"/>
          <w:szCs w:val="20"/>
          <w:u w:val="single"/>
        </w:rPr>
      </w:pPr>
      <w:r w:rsidRPr="00F80557">
        <w:rPr>
          <w:rFonts w:ascii="Calibri" w:hAnsi="Calibri" w:cs="Calibri"/>
          <w:b/>
          <w:sz w:val="20"/>
          <w:szCs w:val="20"/>
          <w:u w:val="single"/>
        </w:rPr>
        <w:t>NOTAS DE DESGLOSE</w:t>
      </w:r>
    </w:p>
    <w:p w:rsidR="00F80557" w:rsidRPr="00F80557" w:rsidRDefault="00F80557" w:rsidP="00F80557">
      <w:pPr>
        <w:jc w:val="both"/>
        <w:rPr>
          <w:rFonts w:ascii="Calibri" w:hAnsi="Calibri"/>
          <w:sz w:val="20"/>
          <w:szCs w:val="20"/>
        </w:rPr>
      </w:pPr>
    </w:p>
    <w:p w:rsidR="00F80557" w:rsidRPr="00F80557" w:rsidRDefault="00F80557" w:rsidP="00F80557">
      <w:pPr>
        <w:pStyle w:val="Ttulo6"/>
        <w:jc w:val="both"/>
        <w:rPr>
          <w:rFonts w:ascii="Calibri" w:hAnsi="Calibri"/>
          <w:sz w:val="20"/>
          <w:szCs w:val="20"/>
        </w:rPr>
      </w:pPr>
      <w:r w:rsidRPr="00F80557">
        <w:rPr>
          <w:rFonts w:ascii="Calibri" w:hAnsi="Calibri"/>
          <w:sz w:val="20"/>
          <w:szCs w:val="20"/>
        </w:rPr>
        <w:t>Nota  3   Efectivo y equivalente en efectivo.</w:t>
      </w:r>
    </w:p>
    <w:p w:rsidR="00F80557" w:rsidRDefault="00F80557" w:rsidP="00F80557">
      <w:pPr>
        <w:jc w:val="both"/>
        <w:rPr>
          <w:rFonts w:ascii="Calibri" w:hAnsi="Calibri"/>
          <w:sz w:val="20"/>
          <w:szCs w:val="20"/>
        </w:rPr>
      </w:pPr>
      <w:r w:rsidRPr="00F80557">
        <w:rPr>
          <w:rFonts w:ascii="Calibri" w:hAnsi="Calibri"/>
          <w:sz w:val="20"/>
          <w:szCs w:val="20"/>
        </w:rPr>
        <w:t>Las cantidades que aquí aparecen al 31 de Diciembre de 2017 se componen de:</w:t>
      </w:r>
    </w:p>
    <w:p w:rsidR="00A14B06" w:rsidRPr="00F80557" w:rsidRDefault="00A14B06" w:rsidP="00F80557">
      <w:pPr>
        <w:jc w:val="both"/>
        <w:rPr>
          <w:rFonts w:ascii="Calibri" w:hAnsi="Calibri"/>
          <w:sz w:val="20"/>
          <w:szCs w:val="20"/>
        </w:rPr>
      </w:pPr>
    </w:p>
    <w:p w:rsidR="00F80557" w:rsidRPr="00F80557" w:rsidRDefault="00F80557" w:rsidP="00F80557">
      <w:pPr>
        <w:jc w:val="both"/>
        <w:rPr>
          <w:rFonts w:ascii="Calibri" w:hAnsi="Calibri"/>
          <w:sz w:val="20"/>
          <w:szCs w:val="20"/>
        </w:rPr>
      </w:pPr>
    </w:p>
    <w:p w:rsidR="00F80557" w:rsidRPr="00F80557" w:rsidRDefault="00F80557" w:rsidP="00F80557">
      <w:pPr>
        <w:rPr>
          <w:rFonts w:ascii="Calibri" w:hAnsi="Calibri"/>
          <w:b/>
          <w:sz w:val="20"/>
          <w:szCs w:val="20"/>
        </w:rPr>
      </w:pPr>
      <w:r w:rsidRPr="00F80557">
        <w:rPr>
          <w:rFonts w:ascii="Calibri" w:hAnsi="Calibri"/>
          <w:b/>
          <w:sz w:val="20"/>
          <w:szCs w:val="20"/>
        </w:rPr>
        <w:t>Fondo Fijo                             $20,000.00</w:t>
      </w:r>
    </w:p>
    <w:p w:rsidR="00F80557" w:rsidRPr="00F80557" w:rsidRDefault="00F80557" w:rsidP="00F80557">
      <w:pPr>
        <w:rPr>
          <w:rFonts w:ascii="Calibri" w:hAnsi="Calibri"/>
          <w:b/>
          <w:iCs/>
          <w:sz w:val="20"/>
          <w:szCs w:val="20"/>
          <w:u w:val="single"/>
        </w:rPr>
      </w:pPr>
      <w:r w:rsidRPr="00F80557">
        <w:rPr>
          <w:rFonts w:ascii="Calibri" w:hAnsi="Calibri"/>
          <w:b/>
          <w:sz w:val="20"/>
          <w:szCs w:val="20"/>
        </w:rPr>
        <w:t xml:space="preserve">Bancos                           </w:t>
      </w:r>
      <w:r w:rsidRPr="00F80557">
        <w:rPr>
          <w:rFonts w:ascii="Calibri" w:hAnsi="Calibri"/>
          <w:b/>
          <w:sz w:val="20"/>
          <w:szCs w:val="20"/>
          <w:u w:val="single"/>
        </w:rPr>
        <w:t>$14, 472,296.38</w:t>
      </w:r>
    </w:p>
    <w:p w:rsidR="00F80557" w:rsidRPr="00F80557" w:rsidRDefault="00F80557" w:rsidP="00F80557">
      <w:pPr>
        <w:rPr>
          <w:rFonts w:ascii="Calibri" w:hAnsi="Calibri"/>
          <w:b/>
          <w:sz w:val="20"/>
          <w:szCs w:val="20"/>
        </w:rPr>
      </w:pPr>
      <w:r w:rsidRPr="00F80557">
        <w:rPr>
          <w:rFonts w:ascii="Calibri" w:hAnsi="Calibri"/>
          <w:b/>
          <w:sz w:val="20"/>
          <w:szCs w:val="20"/>
        </w:rPr>
        <w:t>Total                               $14, 492,296.38</w:t>
      </w:r>
      <w:r w:rsidRPr="00F80557">
        <w:rPr>
          <w:rFonts w:ascii="Calibri" w:hAnsi="Calibri"/>
          <w:b/>
          <w:sz w:val="20"/>
          <w:szCs w:val="20"/>
        </w:rPr>
        <w:tab/>
      </w:r>
      <w:r w:rsidRPr="00F80557">
        <w:rPr>
          <w:rFonts w:ascii="Calibri" w:hAnsi="Calibri"/>
          <w:b/>
          <w:sz w:val="20"/>
          <w:szCs w:val="20"/>
        </w:rPr>
        <w:tab/>
      </w:r>
    </w:p>
    <w:p w:rsidR="00F80557" w:rsidRPr="00F80557" w:rsidRDefault="00F80557" w:rsidP="00F80557">
      <w:pPr>
        <w:jc w:val="both"/>
        <w:rPr>
          <w:rFonts w:ascii="Calibri" w:hAnsi="Calibri"/>
          <w:sz w:val="20"/>
          <w:szCs w:val="20"/>
        </w:rPr>
      </w:pPr>
    </w:p>
    <w:p w:rsidR="00F80557" w:rsidRPr="00F80557" w:rsidRDefault="00F80557" w:rsidP="00F80557">
      <w:pPr>
        <w:jc w:val="both"/>
        <w:rPr>
          <w:rFonts w:ascii="Calibri" w:hAnsi="Calibri"/>
          <w:sz w:val="20"/>
          <w:szCs w:val="20"/>
        </w:rPr>
      </w:pPr>
    </w:p>
    <w:p w:rsidR="00F80557" w:rsidRPr="00F80557" w:rsidRDefault="00F80557" w:rsidP="00F80557">
      <w:pPr>
        <w:pStyle w:val="Ttulo6"/>
        <w:jc w:val="both"/>
        <w:rPr>
          <w:rFonts w:ascii="Calibri" w:hAnsi="Calibri"/>
          <w:sz w:val="20"/>
          <w:szCs w:val="20"/>
        </w:rPr>
      </w:pPr>
      <w:r w:rsidRPr="00F80557">
        <w:rPr>
          <w:rFonts w:ascii="Calibri" w:hAnsi="Calibri"/>
          <w:sz w:val="20"/>
          <w:szCs w:val="20"/>
        </w:rPr>
        <w:t>Nota  4 Bienes Muebles.</w:t>
      </w:r>
    </w:p>
    <w:p w:rsidR="00F80557" w:rsidRPr="00F80557" w:rsidRDefault="00F80557" w:rsidP="00F80557">
      <w:pPr>
        <w:jc w:val="both"/>
        <w:rPr>
          <w:rFonts w:ascii="Calibri" w:hAnsi="Calibri"/>
          <w:sz w:val="18"/>
          <w:szCs w:val="20"/>
          <w:u w:val="single"/>
        </w:rPr>
      </w:pPr>
    </w:p>
    <w:p w:rsidR="00F80557" w:rsidRDefault="00F80557" w:rsidP="00F80557">
      <w:pPr>
        <w:jc w:val="both"/>
        <w:rPr>
          <w:rFonts w:ascii="Calibri" w:hAnsi="Calibri"/>
          <w:sz w:val="20"/>
          <w:szCs w:val="20"/>
        </w:rPr>
      </w:pPr>
      <w:r w:rsidRPr="00F80557">
        <w:rPr>
          <w:rFonts w:ascii="Calibri" w:hAnsi="Calibri"/>
          <w:sz w:val="20"/>
          <w:szCs w:val="20"/>
        </w:rPr>
        <w:t>Al 31 de Diciembre de 2017 los activos fijos se integran de la siguiente manera:</w:t>
      </w:r>
    </w:p>
    <w:p w:rsidR="00A14B06" w:rsidRDefault="00A14B06" w:rsidP="00F80557">
      <w:pPr>
        <w:jc w:val="both"/>
        <w:rPr>
          <w:rFonts w:ascii="Calibri" w:hAnsi="Calibri"/>
          <w:sz w:val="20"/>
          <w:szCs w:val="20"/>
        </w:rPr>
      </w:pPr>
    </w:p>
    <w:p w:rsidR="00A14B06" w:rsidRDefault="00A14B06" w:rsidP="00F80557">
      <w:pPr>
        <w:jc w:val="both"/>
        <w:rPr>
          <w:rFonts w:ascii="Calibri" w:hAnsi="Calibri"/>
          <w:sz w:val="20"/>
          <w:szCs w:val="20"/>
        </w:rPr>
      </w:pPr>
    </w:p>
    <w:p w:rsidR="00A14B06" w:rsidRDefault="00A14B06" w:rsidP="00F80557">
      <w:pPr>
        <w:jc w:val="both"/>
        <w:rPr>
          <w:rFonts w:ascii="Calibri" w:hAnsi="Calibri"/>
          <w:sz w:val="20"/>
          <w:szCs w:val="20"/>
        </w:rPr>
      </w:pPr>
    </w:p>
    <w:p w:rsidR="00A14B06" w:rsidRDefault="00A14B06" w:rsidP="00F80557">
      <w:pPr>
        <w:jc w:val="both"/>
        <w:rPr>
          <w:rFonts w:ascii="Calibri" w:hAnsi="Calibri"/>
          <w:sz w:val="20"/>
          <w:szCs w:val="20"/>
        </w:rPr>
      </w:pPr>
    </w:p>
    <w:p w:rsidR="00A14B06" w:rsidRDefault="00A14B06" w:rsidP="00F80557">
      <w:pPr>
        <w:jc w:val="both"/>
        <w:rPr>
          <w:rFonts w:ascii="Calibri" w:hAnsi="Calibri"/>
          <w:sz w:val="20"/>
          <w:szCs w:val="20"/>
        </w:rPr>
      </w:pPr>
    </w:p>
    <w:p w:rsidR="00A14B06" w:rsidRPr="00F80557" w:rsidRDefault="00A14B06" w:rsidP="00F80557">
      <w:pPr>
        <w:jc w:val="both"/>
        <w:rPr>
          <w:rFonts w:ascii="Calibri" w:hAnsi="Calibri"/>
          <w:sz w:val="20"/>
          <w:szCs w:val="20"/>
        </w:rPr>
      </w:pPr>
    </w:p>
    <w:p w:rsidR="00F80557" w:rsidRPr="00F80557" w:rsidRDefault="00F80557" w:rsidP="00F80557">
      <w:pPr>
        <w:tabs>
          <w:tab w:val="left" w:pos="4260"/>
        </w:tabs>
        <w:jc w:val="both"/>
        <w:rPr>
          <w:rFonts w:ascii="Calibri" w:hAnsi="Calibri"/>
          <w:sz w:val="20"/>
          <w:szCs w:val="20"/>
        </w:rPr>
      </w:pPr>
      <w:r w:rsidRPr="00F80557">
        <w:rPr>
          <w:rFonts w:ascii="Calibri" w:hAnsi="Calibri"/>
          <w:sz w:val="20"/>
          <w:szCs w:val="20"/>
        </w:rPr>
        <w:tab/>
      </w:r>
    </w:p>
    <w:tbl>
      <w:tblPr>
        <w:tblpPr w:leftFromText="141" w:rightFromText="141" w:vertAnchor="text" w:tblpXSpec="center" w:tblpY="1"/>
        <w:tblOverlap w:val="never"/>
        <w:tblW w:w="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3"/>
        <w:gridCol w:w="1456"/>
      </w:tblGrid>
      <w:tr w:rsidR="00F80557" w:rsidTr="00F80557">
        <w:trPr>
          <w:trHeight w:val="126"/>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center"/>
              <w:rPr>
                <w:rFonts w:ascii="Calibri" w:hAnsi="Calibri"/>
                <w:b/>
                <w:bCs/>
                <w:color w:val="000000"/>
                <w:sz w:val="20"/>
                <w:szCs w:val="20"/>
              </w:rPr>
            </w:pPr>
            <w:r>
              <w:rPr>
                <w:rFonts w:ascii="Calibri" w:hAnsi="Calibri"/>
                <w:b/>
                <w:bCs/>
                <w:color w:val="000000"/>
                <w:sz w:val="20"/>
                <w:szCs w:val="20"/>
              </w:rPr>
              <w:lastRenderedPageBreak/>
              <w:t>Cuenta</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center"/>
              <w:rPr>
                <w:rFonts w:ascii="Calibri" w:hAnsi="Calibri"/>
                <w:b/>
                <w:bCs/>
                <w:color w:val="000000"/>
                <w:sz w:val="20"/>
                <w:szCs w:val="20"/>
              </w:rPr>
            </w:pPr>
            <w:r>
              <w:rPr>
                <w:rFonts w:ascii="Calibri" w:hAnsi="Calibri"/>
                <w:b/>
                <w:bCs/>
                <w:color w:val="000000"/>
                <w:sz w:val="20"/>
                <w:szCs w:val="20"/>
              </w:rPr>
              <w:t xml:space="preserve"> Total </w:t>
            </w:r>
          </w:p>
        </w:tc>
      </w:tr>
      <w:tr w:rsidR="00F80557" w:rsidTr="00F80557">
        <w:trPr>
          <w:trHeight w:val="89"/>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Muebles de Oficina y Estantería</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2,579,147.45 </w:t>
            </w:r>
          </w:p>
        </w:tc>
      </w:tr>
      <w:tr w:rsidR="00F80557" w:rsidTr="00F80557">
        <w:trPr>
          <w:trHeight w:val="70"/>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Mobiliario y Equipo Educacional y Recreativo</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239,530.83 </w:t>
            </w:r>
          </w:p>
        </w:tc>
      </w:tr>
      <w:tr w:rsidR="00F80557" w:rsidTr="00F80557">
        <w:trPr>
          <w:trHeight w:val="154"/>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Vehículos y Equipo de Transporte</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6,801,551.00 </w:t>
            </w:r>
          </w:p>
        </w:tc>
      </w:tr>
      <w:tr w:rsidR="00F80557" w:rsidTr="00F80557">
        <w:trPr>
          <w:trHeight w:val="103"/>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Equipo de Defensa y de Seguridad</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57,517.15 </w:t>
            </w:r>
          </w:p>
        </w:tc>
      </w:tr>
      <w:tr w:rsidR="00F80557" w:rsidTr="00F80557">
        <w:trPr>
          <w:trHeight w:val="192"/>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Maquinaria, Otros Equipos y Herramientas</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632,729.12 </w:t>
            </w:r>
          </w:p>
        </w:tc>
      </w:tr>
      <w:tr w:rsidR="00F80557" w:rsidTr="00F80557">
        <w:trPr>
          <w:trHeight w:val="94"/>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Equipo de Cómputo y Tecnologías de la Información</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4,405,588.30 </w:t>
            </w:r>
          </w:p>
        </w:tc>
      </w:tr>
      <w:tr w:rsidR="00F80557" w:rsidTr="00F80557">
        <w:trPr>
          <w:trHeight w:val="128"/>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Intangibles</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143,045.11 </w:t>
            </w:r>
          </w:p>
        </w:tc>
      </w:tr>
      <w:tr w:rsidR="00F80557" w:rsidTr="00F80557">
        <w:trPr>
          <w:trHeight w:val="135"/>
        </w:trPr>
        <w:tc>
          <w:tcPr>
            <w:tcW w:w="4463"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b/>
                <w:bCs/>
                <w:color w:val="000000"/>
                <w:sz w:val="20"/>
                <w:szCs w:val="20"/>
              </w:rPr>
            </w:pPr>
            <w:r>
              <w:rPr>
                <w:rFonts w:ascii="Calibri" w:hAnsi="Calibri"/>
                <w:b/>
                <w:bCs/>
                <w:color w:val="000000"/>
                <w:sz w:val="20"/>
                <w:szCs w:val="20"/>
              </w:rPr>
              <w:t>Total</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b/>
                <w:bCs/>
                <w:color w:val="000000"/>
                <w:sz w:val="18"/>
                <w:szCs w:val="18"/>
              </w:rPr>
            </w:pPr>
            <w:r>
              <w:rPr>
                <w:rFonts w:ascii="Calibri" w:hAnsi="Calibri"/>
                <w:b/>
                <w:bCs/>
                <w:color w:val="000000"/>
                <w:sz w:val="18"/>
                <w:szCs w:val="18"/>
              </w:rPr>
              <w:t xml:space="preserve"> $14,859,108.96 </w:t>
            </w:r>
          </w:p>
        </w:tc>
      </w:tr>
    </w:tbl>
    <w:p w:rsidR="00F80557" w:rsidRPr="00F80557" w:rsidRDefault="00F80557" w:rsidP="00F80557">
      <w:pPr>
        <w:tabs>
          <w:tab w:val="left" w:pos="4260"/>
        </w:tabs>
        <w:jc w:val="both"/>
        <w:rPr>
          <w:rFonts w:ascii="Calibri" w:hAnsi="Calibri"/>
          <w:sz w:val="20"/>
          <w:szCs w:val="20"/>
        </w:rPr>
      </w:pPr>
      <w:r w:rsidRPr="00F80557">
        <w:rPr>
          <w:rFonts w:ascii="Calibri" w:hAnsi="Calibri"/>
          <w:sz w:val="20"/>
          <w:szCs w:val="20"/>
        </w:rPr>
        <w:br w:type="textWrapping" w:clear="all"/>
      </w:r>
    </w:p>
    <w:p w:rsidR="00F80557" w:rsidRPr="00F80557" w:rsidRDefault="00F80557" w:rsidP="00F80557">
      <w:pPr>
        <w:jc w:val="both"/>
        <w:rPr>
          <w:rFonts w:ascii="Calibri" w:hAnsi="Calibri"/>
          <w:sz w:val="20"/>
          <w:szCs w:val="20"/>
        </w:rPr>
      </w:pPr>
    </w:p>
    <w:p w:rsidR="00F80557" w:rsidRPr="00F80557" w:rsidRDefault="00F80557" w:rsidP="00F80557">
      <w:pPr>
        <w:pStyle w:val="Ttulo6"/>
        <w:jc w:val="both"/>
        <w:rPr>
          <w:rFonts w:ascii="Calibri" w:hAnsi="Calibri"/>
          <w:sz w:val="20"/>
          <w:szCs w:val="20"/>
        </w:rPr>
      </w:pPr>
      <w:r w:rsidRPr="00F80557">
        <w:rPr>
          <w:rFonts w:ascii="Calibri" w:hAnsi="Calibri"/>
          <w:sz w:val="20"/>
          <w:szCs w:val="20"/>
        </w:rPr>
        <w:t>Nota  5      Depreciación Acumulada de  Bienes Muebles.</w:t>
      </w:r>
    </w:p>
    <w:p w:rsidR="00F80557" w:rsidRPr="00F80557" w:rsidRDefault="00F80557" w:rsidP="00F80557">
      <w:pPr>
        <w:jc w:val="both"/>
        <w:rPr>
          <w:rFonts w:ascii="Calibri" w:hAnsi="Calibri"/>
          <w:sz w:val="18"/>
          <w:szCs w:val="20"/>
          <w:u w:val="single"/>
        </w:rPr>
      </w:pPr>
    </w:p>
    <w:p w:rsidR="00A14B06" w:rsidRDefault="00A14B06" w:rsidP="00F80557">
      <w:pPr>
        <w:jc w:val="both"/>
        <w:rPr>
          <w:rFonts w:ascii="Calibri" w:hAnsi="Calibri"/>
          <w:sz w:val="20"/>
          <w:szCs w:val="20"/>
        </w:rPr>
      </w:pPr>
    </w:p>
    <w:p w:rsidR="00F80557" w:rsidRPr="00F80557" w:rsidRDefault="00F80557" w:rsidP="00F80557">
      <w:pPr>
        <w:jc w:val="both"/>
        <w:rPr>
          <w:rFonts w:ascii="Calibri" w:hAnsi="Calibri"/>
          <w:sz w:val="20"/>
          <w:szCs w:val="20"/>
        </w:rPr>
      </w:pPr>
      <w:r w:rsidRPr="00F80557">
        <w:rPr>
          <w:rFonts w:ascii="Calibri" w:hAnsi="Calibri"/>
          <w:sz w:val="20"/>
          <w:szCs w:val="20"/>
        </w:rPr>
        <w:t>Al 31 de Diciembre  de 2017 la depreciación acumulada se integra de la siguiente manera:</w:t>
      </w:r>
    </w:p>
    <w:p w:rsidR="00F80557" w:rsidRPr="00F80557" w:rsidRDefault="00F80557" w:rsidP="00F80557">
      <w:pPr>
        <w:jc w:val="both"/>
        <w:rPr>
          <w:rFonts w:ascii="Calibri" w:hAnsi="Calibri"/>
          <w:sz w:val="18"/>
          <w:szCs w:val="20"/>
        </w:rPr>
      </w:pPr>
    </w:p>
    <w:p w:rsidR="00F80557" w:rsidRPr="00F80557" w:rsidRDefault="00F80557" w:rsidP="00F80557">
      <w:pPr>
        <w:jc w:val="both"/>
        <w:rPr>
          <w:rFonts w:ascii="Calibri" w:hAnsi="Calibri"/>
          <w:sz w:val="20"/>
          <w:szCs w:val="20"/>
        </w:rPr>
      </w:pPr>
    </w:p>
    <w:tbl>
      <w:tblPr>
        <w:tblW w:w="765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2"/>
        <w:gridCol w:w="1456"/>
      </w:tblGrid>
      <w:tr w:rsidR="00F80557" w:rsidTr="00F80557">
        <w:trPr>
          <w:trHeight w:val="70"/>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center"/>
              <w:rPr>
                <w:rFonts w:ascii="Calibri" w:hAnsi="Calibri"/>
                <w:b/>
                <w:bCs/>
                <w:color w:val="000000"/>
                <w:sz w:val="20"/>
                <w:szCs w:val="20"/>
              </w:rPr>
            </w:pPr>
            <w:r>
              <w:rPr>
                <w:rFonts w:ascii="Calibri" w:hAnsi="Calibri"/>
                <w:b/>
                <w:bCs/>
                <w:color w:val="000000"/>
                <w:sz w:val="20"/>
                <w:szCs w:val="20"/>
              </w:rPr>
              <w:t>Cuenta</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center"/>
              <w:rPr>
                <w:rFonts w:ascii="Calibri" w:hAnsi="Calibri"/>
                <w:b/>
                <w:bCs/>
                <w:color w:val="000000"/>
                <w:sz w:val="20"/>
                <w:szCs w:val="20"/>
              </w:rPr>
            </w:pPr>
            <w:r>
              <w:rPr>
                <w:rFonts w:ascii="Calibri" w:hAnsi="Calibri"/>
                <w:b/>
                <w:bCs/>
                <w:color w:val="000000"/>
                <w:sz w:val="20"/>
                <w:szCs w:val="20"/>
              </w:rPr>
              <w:t xml:space="preserve"> Total </w:t>
            </w:r>
          </w:p>
        </w:tc>
      </w:tr>
      <w:tr w:rsidR="00F80557" w:rsidTr="00F80557">
        <w:trPr>
          <w:trHeight w:val="229"/>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Depreciación Acumulada de Mobiliario y Equipo de Administración</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1,254,089.35 </w:t>
            </w:r>
          </w:p>
        </w:tc>
      </w:tr>
      <w:tr w:rsidR="00F80557" w:rsidTr="00F80557">
        <w:trPr>
          <w:trHeight w:val="26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Depreciación Acumulada de Mobiliario y Equipo Educacional y Recreativo</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187,165.92 </w:t>
            </w:r>
          </w:p>
        </w:tc>
      </w:tr>
      <w:tr w:rsidR="00F80557" w:rsidTr="00F80557">
        <w:trPr>
          <w:trHeight w:val="123"/>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Depreciación Acumulada de Equipo de Transporte</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4,901,033.04 </w:t>
            </w:r>
          </w:p>
        </w:tc>
      </w:tr>
      <w:tr w:rsidR="00F80557" w:rsidTr="00F80557">
        <w:trPr>
          <w:trHeight w:val="155"/>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Depreciación Acumulada de Equipo de Defensa y de Seguridad</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44,121.23 </w:t>
            </w:r>
          </w:p>
        </w:tc>
      </w:tr>
      <w:tr w:rsidR="00F80557" w:rsidTr="00F80557">
        <w:trPr>
          <w:trHeight w:val="187"/>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Depreciación Acumulada de Maquinaria, Otros Equipos y Herramientas</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294,609.86 </w:t>
            </w:r>
          </w:p>
        </w:tc>
      </w:tr>
      <w:tr w:rsidR="00F80557" w:rsidTr="00F80557">
        <w:trPr>
          <w:trHeight w:val="315"/>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Depreciación Acumulada de Equipo de Computo</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3,313,448.87 </w:t>
            </w:r>
          </w:p>
        </w:tc>
      </w:tr>
      <w:tr w:rsidR="00F80557" w:rsidTr="00F80557">
        <w:trPr>
          <w:trHeight w:val="315"/>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color w:val="000000"/>
                <w:sz w:val="20"/>
                <w:szCs w:val="20"/>
              </w:rPr>
            </w:pPr>
            <w:r>
              <w:rPr>
                <w:rFonts w:ascii="Calibri" w:hAnsi="Calibri"/>
                <w:color w:val="000000"/>
                <w:sz w:val="20"/>
                <w:szCs w:val="20"/>
              </w:rPr>
              <w:t>Amortización Acumulada de Activos Intangibles</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color w:val="000000"/>
                <w:sz w:val="18"/>
                <w:szCs w:val="18"/>
              </w:rPr>
            </w:pPr>
            <w:r>
              <w:rPr>
                <w:rFonts w:ascii="Calibri" w:hAnsi="Calibri"/>
                <w:color w:val="000000"/>
                <w:sz w:val="18"/>
                <w:szCs w:val="18"/>
              </w:rPr>
              <w:t xml:space="preserve"> $       96,052.81 </w:t>
            </w:r>
          </w:p>
        </w:tc>
      </w:tr>
      <w:tr w:rsidR="00F80557" w:rsidTr="00F80557">
        <w:trPr>
          <w:trHeight w:val="315"/>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both"/>
              <w:rPr>
                <w:rFonts w:ascii="Calibri" w:hAnsi="Calibri"/>
                <w:b/>
                <w:bCs/>
                <w:color w:val="000000"/>
                <w:sz w:val="20"/>
                <w:szCs w:val="20"/>
              </w:rPr>
            </w:pPr>
            <w:r>
              <w:rPr>
                <w:rFonts w:ascii="Calibri" w:hAnsi="Calibri"/>
                <w:b/>
                <w:bCs/>
                <w:color w:val="000000"/>
                <w:sz w:val="20"/>
                <w:szCs w:val="20"/>
              </w:rPr>
              <w:t>Total</w:t>
            </w:r>
          </w:p>
        </w:tc>
        <w:tc>
          <w:tcPr>
            <w:tcW w:w="1456" w:type="dxa"/>
            <w:tcBorders>
              <w:top w:val="single" w:sz="4" w:space="0" w:color="auto"/>
              <w:left w:val="single" w:sz="4" w:space="0" w:color="auto"/>
              <w:bottom w:val="single" w:sz="4" w:space="0" w:color="auto"/>
              <w:right w:val="single" w:sz="4" w:space="0" w:color="auto"/>
            </w:tcBorders>
            <w:vAlign w:val="center"/>
            <w:hideMark/>
          </w:tcPr>
          <w:p w:rsidR="00F80557" w:rsidRDefault="00F80557">
            <w:pPr>
              <w:jc w:val="right"/>
              <w:rPr>
                <w:rFonts w:ascii="Calibri" w:hAnsi="Calibri"/>
                <w:b/>
                <w:bCs/>
                <w:color w:val="000000"/>
                <w:sz w:val="18"/>
                <w:szCs w:val="18"/>
              </w:rPr>
            </w:pPr>
            <w:r>
              <w:rPr>
                <w:rFonts w:ascii="Calibri" w:hAnsi="Calibri"/>
                <w:b/>
                <w:bCs/>
                <w:color w:val="000000"/>
                <w:sz w:val="18"/>
                <w:szCs w:val="18"/>
              </w:rPr>
              <w:t xml:space="preserve"> $10,090,521.09 </w:t>
            </w:r>
          </w:p>
        </w:tc>
      </w:tr>
    </w:tbl>
    <w:p w:rsidR="00F80557" w:rsidRPr="00F80557" w:rsidRDefault="00F80557" w:rsidP="00F80557">
      <w:pPr>
        <w:jc w:val="both"/>
        <w:rPr>
          <w:rFonts w:ascii="Calibri" w:hAnsi="Calibri"/>
          <w:sz w:val="20"/>
          <w:szCs w:val="20"/>
        </w:rPr>
      </w:pPr>
      <w:r w:rsidRPr="00F80557">
        <w:rPr>
          <w:rFonts w:ascii="Calibri" w:hAnsi="Calibri"/>
          <w:sz w:val="20"/>
          <w:szCs w:val="20"/>
        </w:rPr>
        <w:br w:type="textWrapping" w:clear="all"/>
      </w:r>
    </w:p>
    <w:p w:rsidR="00F80557" w:rsidRPr="00F80557" w:rsidRDefault="00F80557" w:rsidP="00F80557">
      <w:pPr>
        <w:pStyle w:val="Ttulo6"/>
        <w:jc w:val="both"/>
        <w:rPr>
          <w:rFonts w:ascii="Calibri" w:hAnsi="Calibri"/>
          <w:sz w:val="20"/>
          <w:szCs w:val="20"/>
        </w:rPr>
      </w:pPr>
      <w:r w:rsidRPr="00F80557">
        <w:rPr>
          <w:rFonts w:ascii="Calibri" w:hAnsi="Calibri"/>
          <w:sz w:val="20"/>
          <w:szCs w:val="20"/>
        </w:rPr>
        <w:lastRenderedPageBreak/>
        <w:t xml:space="preserve">Nota  6  Cuentas por pagar a Corto Plazo.     </w:t>
      </w:r>
    </w:p>
    <w:p w:rsidR="00F80557" w:rsidRPr="00F80557" w:rsidRDefault="00F80557" w:rsidP="00F80557">
      <w:pPr>
        <w:jc w:val="both"/>
        <w:rPr>
          <w:rFonts w:ascii="Calibri" w:hAnsi="Calibri"/>
          <w:b/>
          <w:sz w:val="20"/>
          <w:szCs w:val="20"/>
        </w:rPr>
      </w:pPr>
    </w:p>
    <w:p w:rsidR="00F80557" w:rsidRPr="00F80557" w:rsidRDefault="00F80557" w:rsidP="00F80557">
      <w:pPr>
        <w:pStyle w:val="Sangradetextonormal"/>
        <w:jc w:val="both"/>
        <w:rPr>
          <w:rFonts w:ascii="Calibri" w:hAnsi="Calibri"/>
          <w:sz w:val="20"/>
          <w:szCs w:val="20"/>
        </w:rPr>
      </w:pPr>
      <w:r w:rsidRPr="00F80557">
        <w:rPr>
          <w:rFonts w:ascii="Calibri" w:hAnsi="Calibri"/>
          <w:sz w:val="20"/>
          <w:szCs w:val="20"/>
        </w:rPr>
        <w:t xml:space="preserve">Al  31 de Diciembre  de 2017esta cuenta se integra de la siguiente manera: </w:t>
      </w:r>
    </w:p>
    <w:p w:rsidR="00F80557" w:rsidRPr="00F80557" w:rsidRDefault="00F80557" w:rsidP="00F80557">
      <w:pPr>
        <w:jc w:val="both"/>
        <w:rPr>
          <w:rFonts w:ascii="Calibri" w:hAnsi="Calibri"/>
          <w:b/>
          <w:sz w:val="20"/>
          <w:szCs w:val="20"/>
        </w:rPr>
      </w:pPr>
    </w:p>
    <w:tbl>
      <w:tblPr>
        <w:tblW w:w="5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799"/>
      </w:tblGrid>
      <w:tr w:rsidR="00CD0F35" w:rsidRPr="00CD0F35" w:rsidTr="00CD0F35">
        <w:trPr>
          <w:trHeight w:val="224"/>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center"/>
              <w:rPr>
                <w:rFonts w:ascii="Calibri" w:hAnsi="Calibri" w:cs="Calibri"/>
                <w:b/>
                <w:color w:val="000000"/>
                <w:sz w:val="20"/>
                <w:szCs w:val="20"/>
              </w:rPr>
            </w:pPr>
            <w:r w:rsidRPr="00CD0F35">
              <w:rPr>
                <w:rFonts w:ascii="Calibri" w:hAnsi="Calibri" w:cs="Calibri"/>
                <w:b/>
                <w:color w:val="000000"/>
                <w:sz w:val="20"/>
                <w:szCs w:val="20"/>
              </w:rPr>
              <w:t>Cuenta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center"/>
              <w:rPr>
                <w:rFonts w:ascii="Calibri" w:hAnsi="Calibri" w:cs="Calibri"/>
                <w:b/>
                <w:color w:val="000000"/>
                <w:sz w:val="20"/>
                <w:szCs w:val="20"/>
              </w:rPr>
            </w:pPr>
            <w:r w:rsidRPr="00CD0F35">
              <w:rPr>
                <w:rFonts w:ascii="Calibri" w:hAnsi="Calibri" w:cs="Calibri"/>
                <w:b/>
                <w:color w:val="000000"/>
                <w:sz w:val="20"/>
                <w:szCs w:val="20"/>
              </w:rPr>
              <w:t>Importe</w:t>
            </w:r>
          </w:p>
        </w:tc>
      </w:tr>
      <w:tr w:rsidR="00CD0F35" w:rsidRPr="00CD0F35" w:rsidTr="00CD0F35">
        <w:trPr>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both"/>
              <w:rPr>
                <w:rFonts w:ascii="Calibri" w:hAnsi="Calibri" w:cs="Calibri"/>
                <w:color w:val="000000"/>
                <w:sz w:val="20"/>
                <w:szCs w:val="20"/>
              </w:rPr>
            </w:pPr>
            <w:r w:rsidRPr="00CD0F35">
              <w:rPr>
                <w:rFonts w:ascii="Calibri" w:hAnsi="Calibri" w:cs="Calibri"/>
                <w:color w:val="000000"/>
                <w:sz w:val="20"/>
                <w:szCs w:val="20"/>
              </w:rPr>
              <w:t>Proveedores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$321,352.41</w:t>
            </w:r>
          </w:p>
        </w:tc>
      </w:tr>
      <w:tr w:rsidR="00CD0F35" w:rsidRPr="00CD0F35" w:rsidTr="00CD0F35">
        <w:trPr>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both"/>
              <w:rPr>
                <w:rFonts w:ascii="Calibri" w:hAnsi="Calibri" w:cs="Calibri"/>
                <w:color w:val="000000"/>
                <w:sz w:val="20"/>
                <w:szCs w:val="20"/>
              </w:rPr>
            </w:pPr>
            <w:r w:rsidRPr="00CD0F35">
              <w:rPr>
                <w:rFonts w:ascii="Calibri" w:hAnsi="Calibri" w:cs="Calibri"/>
                <w:color w:val="000000"/>
                <w:sz w:val="20"/>
                <w:szCs w:val="20"/>
              </w:rPr>
              <w:t>Retenciones de ISR por Sueldos y Salarios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$840,142.90</w:t>
            </w:r>
          </w:p>
        </w:tc>
      </w:tr>
      <w:tr w:rsidR="00CD0F35" w:rsidRPr="00CD0F35" w:rsidTr="00CD0F35">
        <w:trPr>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both"/>
              <w:rPr>
                <w:rFonts w:ascii="Calibri" w:hAnsi="Calibri" w:cs="Calibri"/>
                <w:color w:val="000000"/>
                <w:sz w:val="20"/>
                <w:szCs w:val="20"/>
              </w:rPr>
            </w:pPr>
            <w:r w:rsidRPr="00CD0F35">
              <w:rPr>
                <w:rFonts w:ascii="Calibri" w:hAnsi="Calibri" w:cs="Calibri"/>
                <w:color w:val="000000"/>
                <w:sz w:val="20"/>
                <w:szCs w:val="20"/>
              </w:rPr>
              <w:t>Retenciones de ISR por Asimilables a Salarios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$10,939.31</w:t>
            </w:r>
          </w:p>
        </w:tc>
      </w:tr>
      <w:tr w:rsidR="00CD0F35" w:rsidRPr="00CD0F35" w:rsidTr="00CD0F35">
        <w:trPr>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both"/>
              <w:rPr>
                <w:rFonts w:ascii="Calibri" w:hAnsi="Calibri" w:cs="Calibri"/>
                <w:color w:val="000000"/>
                <w:sz w:val="20"/>
                <w:szCs w:val="20"/>
              </w:rPr>
            </w:pPr>
            <w:r w:rsidRPr="00CD0F35">
              <w:rPr>
                <w:rFonts w:ascii="Calibri" w:hAnsi="Calibri" w:cs="Calibri"/>
                <w:color w:val="000000"/>
                <w:sz w:val="20"/>
                <w:szCs w:val="20"/>
              </w:rPr>
              <w:t>Retenciones de ISR por Honorarios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$315,126.35</w:t>
            </w:r>
          </w:p>
        </w:tc>
      </w:tr>
      <w:tr w:rsidR="00CD0F35" w:rsidRPr="00CD0F35" w:rsidTr="00CD0F35">
        <w:trPr>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both"/>
              <w:rPr>
                <w:rFonts w:ascii="Calibri" w:hAnsi="Calibri" w:cs="Calibri"/>
                <w:color w:val="000000"/>
                <w:sz w:val="20"/>
                <w:szCs w:val="20"/>
              </w:rPr>
            </w:pPr>
            <w:r w:rsidRPr="00CD0F35">
              <w:rPr>
                <w:rFonts w:ascii="Calibri" w:hAnsi="Calibri" w:cs="Calibri"/>
                <w:color w:val="000000"/>
                <w:sz w:val="20"/>
                <w:szCs w:val="20"/>
              </w:rPr>
              <w:t>Retenciones de ISR Arrendamiento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$113,914.64</w:t>
            </w:r>
          </w:p>
        </w:tc>
      </w:tr>
      <w:tr w:rsidR="00CD0F35" w:rsidRPr="00CD0F35" w:rsidTr="00CD0F35">
        <w:trPr>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both"/>
              <w:rPr>
                <w:rFonts w:ascii="Calibri" w:hAnsi="Calibri" w:cs="Calibri"/>
                <w:color w:val="000000"/>
                <w:sz w:val="20"/>
                <w:szCs w:val="20"/>
              </w:rPr>
            </w:pPr>
            <w:r w:rsidRPr="00CD0F35">
              <w:rPr>
                <w:rFonts w:ascii="Calibri" w:hAnsi="Calibri" w:cs="Calibri"/>
                <w:color w:val="000000"/>
                <w:sz w:val="20"/>
                <w:szCs w:val="20"/>
              </w:rPr>
              <w:t>Acreedores Diversos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$141,037.06</w:t>
            </w:r>
          </w:p>
        </w:tc>
      </w:tr>
      <w:tr w:rsidR="00CD0F35" w:rsidRPr="00CD0F35" w:rsidTr="00CD0F35">
        <w:trPr>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both"/>
              <w:rPr>
                <w:rFonts w:ascii="Calibri" w:hAnsi="Calibri" w:cs="Calibri"/>
                <w:b/>
                <w:color w:val="000000"/>
                <w:sz w:val="20"/>
                <w:szCs w:val="20"/>
              </w:rPr>
            </w:pPr>
            <w:r w:rsidRPr="00CD0F35">
              <w:rPr>
                <w:rFonts w:ascii="Calibri" w:hAnsi="Calibri" w:cs="Calibri"/>
                <w:b/>
                <w:color w:val="000000"/>
                <w:sz w:val="20"/>
                <w:szCs w:val="20"/>
              </w:rPr>
              <w:t>Total</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0557" w:rsidRPr="00CD0F35" w:rsidRDefault="00F80557" w:rsidP="00CD0F35">
            <w:pPr>
              <w:jc w:val="right"/>
              <w:rPr>
                <w:rFonts w:ascii="Calibri" w:hAnsi="Calibri" w:cs="Calibri"/>
                <w:b/>
                <w:bCs/>
                <w:color w:val="000000"/>
                <w:sz w:val="18"/>
                <w:szCs w:val="18"/>
              </w:rPr>
            </w:pPr>
            <w:r w:rsidRPr="00CD0F35">
              <w:rPr>
                <w:rFonts w:ascii="Calibri" w:hAnsi="Calibri" w:cs="Calibri"/>
                <w:b/>
                <w:bCs/>
                <w:color w:val="000000"/>
                <w:sz w:val="18"/>
                <w:szCs w:val="18"/>
              </w:rPr>
              <w:t>$1,742,512.67</w:t>
            </w:r>
          </w:p>
        </w:tc>
      </w:tr>
    </w:tbl>
    <w:p w:rsidR="00F80557" w:rsidRPr="00F80557" w:rsidRDefault="00F80557" w:rsidP="00F80557">
      <w:pPr>
        <w:jc w:val="both"/>
        <w:rPr>
          <w:rFonts w:ascii="Calibri" w:hAnsi="Calibri"/>
          <w:sz w:val="20"/>
          <w:szCs w:val="20"/>
        </w:rPr>
      </w:pPr>
    </w:p>
    <w:p w:rsidR="00F80557" w:rsidRPr="00F80557" w:rsidRDefault="00F80557" w:rsidP="00F80557">
      <w:pPr>
        <w:pStyle w:val="Ttulo6"/>
        <w:pBdr>
          <w:bottom w:val="single" w:sz="4" w:space="2" w:color="auto"/>
        </w:pBdr>
        <w:jc w:val="both"/>
        <w:rPr>
          <w:rFonts w:ascii="Calibri" w:hAnsi="Calibri"/>
          <w:b w:val="0"/>
          <w:color w:val="FF0000"/>
          <w:sz w:val="20"/>
          <w:szCs w:val="20"/>
        </w:rPr>
      </w:pPr>
      <w:r w:rsidRPr="00F80557">
        <w:rPr>
          <w:rFonts w:ascii="Calibri" w:hAnsi="Calibri"/>
          <w:sz w:val="20"/>
          <w:szCs w:val="20"/>
        </w:rPr>
        <w:t>Nota 7 Ingresos</w:t>
      </w:r>
    </w:p>
    <w:p w:rsidR="00F80557" w:rsidRPr="00F80557" w:rsidRDefault="00F80557" w:rsidP="00F80557">
      <w:pPr>
        <w:pStyle w:val="Sangradetextonormal"/>
        <w:tabs>
          <w:tab w:val="left" w:pos="7655"/>
        </w:tabs>
        <w:jc w:val="both"/>
        <w:rPr>
          <w:rFonts w:ascii="Calibri" w:hAnsi="Calibri"/>
          <w:b/>
          <w:sz w:val="20"/>
          <w:szCs w:val="20"/>
        </w:rPr>
      </w:pPr>
    </w:p>
    <w:p w:rsidR="00F80557" w:rsidRPr="00F80557" w:rsidRDefault="00F80557" w:rsidP="00F80557">
      <w:pPr>
        <w:pStyle w:val="Sangradetextonormal"/>
        <w:ind w:left="0"/>
        <w:jc w:val="both"/>
        <w:rPr>
          <w:rFonts w:ascii="Calibri" w:hAnsi="Calibri"/>
          <w:sz w:val="20"/>
          <w:szCs w:val="20"/>
        </w:rPr>
      </w:pPr>
      <w:r w:rsidRPr="00F80557">
        <w:rPr>
          <w:rFonts w:ascii="Calibri" w:hAnsi="Calibri"/>
          <w:sz w:val="20"/>
          <w:szCs w:val="20"/>
        </w:rPr>
        <w:t xml:space="preserve">Al 31 de Diciembre de 2017 esta cuenta se integra de la siguiente manera: </w:t>
      </w:r>
    </w:p>
    <w:p w:rsidR="00F80557" w:rsidRPr="00F80557" w:rsidRDefault="00F80557" w:rsidP="00F80557">
      <w:pPr>
        <w:pStyle w:val="Sangradetextonormal"/>
        <w:tabs>
          <w:tab w:val="left" w:pos="7655"/>
        </w:tabs>
        <w:jc w:val="both"/>
        <w:rPr>
          <w:rFonts w:ascii="Calibri" w:hAnsi="Calibri"/>
          <w:b/>
          <w:sz w:val="20"/>
          <w:szCs w:val="20"/>
        </w:rPr>
      </w:pPr>
    </w:p>
    <w:p w:rsidR="00F80557" w:rsidRPr="00F80557" w:rsidRDefault="00F80557" w:rsidP="00F80557">
      <w:pPr>
        <w:pStyle w:val="Sangradetextonormal"/>
        <w:tabs>
          <w:tab w:val="left" w:pos="7655"/>
        </w:tabs>
        <w:ind w:left="0"/>
        <w:jc w:val="both"/>
        <w:rPr>
          <w:rFonts w:ascii="Calibri" w:hAnsi="Calibri"/>
          <w:sz w:val="20"/>
          <w:szCs w:val="20"/>
        </w:rPr>
      </w:pPr>
      <w:r w:rsidRPr="00F80557">
        <w:rPr>
          <w:rFonts w:ascii="Calibri" w:hAnsi="Calibri"/>
          <w:sz w:val="20"/>
          <w:szCs w:val="20"/>
        </w:rPr>
        <w:t>Transferencias internas y asignaciones del sector público Recursos Estatales $  59, 627,331.20</w:t>
      </w:r>
    </w:p>
    <w:p w:rsidR="00F80557" w:rsidRPr="00F80557" w:rsidRDefault="00F80557" w:rsidP="00F80557">
      <w:pPr>
        <w:pStyle w:val="Sangradetextonormal"/>
        <w:tabs>
          <w:tab w:val="left" w:pos="7655"/>
        </w:tabs>
        <w:ind w:left="0"/>
        <w:jc w:val="both"/>
        <w:rPr>
          <w:rFonts w:ascii="Calibri" w:hAnsi="Calibri"/>
          <w:sz w:val="20"/>
          <w:szCs w:val="20"/>
        </w:rPr>
      </w:pPr>
    </w:p>
    <w:p w:rsidR="00F80557" w:rsidRPr="00F80557" w:rsidRDefault="00F80557" w:rsidP="00F80557">
      <w:pPr>
        <w:pStyle w:val="Ttulo6"/>
        <w:pBdr>
          <w:bottom w:val="single" w:sz="4" w:space="2" w:color="auto"/>
        </w:pBdr>
        <w:jc w:val="both"/>
        <w:rPr>
          <w:rFonts w:ascii="Calibri" w:hAnsi="Calibri"/>
          <w:sz w:val="20"/>
          <w:szCs w:val="20"/>
        </w:rPr>
      </w:pPr>
      <w:r w:rsidRPr="00F80557">
        <w:rPr>
          <w:rFonts w:ascii="Calibri" w:hAnsi="Calibri"/>
          <w:sz w:val="20"/>
          <w:szCs w:val="20"/>
        </w:rPr>
        <w:t>Nota 8  Provisión para Contingencias a Largo Plazo.</w:t>
      </w:r>
    </w:p>
    <w:p w:rsidR="00F80557" w:rsidRPr="00F80557" w:rsidRDefault="00F80557" w:rsidP="00F80557">
      <w:pPr>
        <w:pStyle w:val="Sangradetextonormal"/>
        <w:tabs>
          <w:tab w:val="left" w:pos="7655"/>
        </w:tabs>
        <w:ind w:left="0"/>
        <w:jc w:val="both"/>
        <w:rPr>
          <w:rFonts w:ascii="Calibri" w:hAnsi="Calibri"/>
          <w:b/>
          <w:sz w:val="20"/>
          <w:szCs w:val="20"/>
        </w:rPr>
      </w:pPr>
    </w:p>
    <w:p w:rsidR="00F80557" w:rsidRPr="00F80557" w:rsidRDefault="00F80557" w:rsidP="00F80557">
      <w:pPr>
        <w:pStyle w:val="Sangradetextonormal"/>
        <w:tabs>
          <w:tab w:val="left" w:pos="7655"/>
        </w:tabs>
        <w:ind w:left="0"/>
        <w:jc w:val="both"/>
        <w:rPr>
          <w:rFonts w:ascii="Calibri" w:hAnsi="Calibri"/>
          <w:sz w:val="20"/>
          <w:szCs w:val="20"/>
        </w:rPr>
      </w:pPr>
      <w:r w:rsidRPr="00F80557">
        <w:rPr>
          <w:rFonts w:ascii="Calibri" w:hAnsi="Calibri"/>
          <w:sz w:val="20"/>
          <w:szCs w:val="20"/>
        </w:rPr>
        <w:t xml:space="preserve">         Para dar cumplimiento a la recomendación  contenida en el Dictamena los Estados Financieros del Ejercicio Fiscal 2015 emitido por el Despacho de Auditoría Externa y de acuerdo a lo establecido en la NIF D-3 “Beneficios a los Empleados“; al 31 de diciembre de  2017 el saldo de la cuenta “Provisión para Contingencias a Largo Plazo” incluye la provisión de pasivos por obligaciones laborales. Estas provisiones representan obligaciones presentes de eventos pasados en las que es probable la salida de recursos económicos. Las provisiones se han registrado contablemente bajo la mejor estimación razonable efectuada por la Administración.</w:t>
      </w:r>
    </w:p>
    <w:p w:rsidR="00F80557" w:rsidRPr="00F80557" w:rsidRDefault="00F80557" w:rsidP="00F80557">
      <w:pPr>
        <w:pStyle w:val="Sangradetextonormal"/>
        <w:tabs>
          <w:tab w:val="left" w:pos="7655"/>
        </w:tabs>
        <w:ind w:left="0"/>
        <w:jc w:val="both"/>
        <w:rPr>
          <w:rFonts w:ascii="Calibri" w:hAnsi="Calibri"/>
          <w:sz w:val="20"/>
          <w:szCs w:val="20"/>
        </w:rPr>
      </w:pPr>
    </w:p>
    <w:p w:rsidR="00F80557" w:rsidRPr="00F80557" w:rsidRDefault="00F80557" w:rsidP="00F80557">
      <w:pPr>
        <w:pStyle w:val="Sangradetextonormal"/>
        <w:tabs>
          <w:tab w:val="left" w:pos="7655"/>
        </w:tabs>
        <w:ind w:left="0"/>
        <w:jc w:val="both"/>
        <w:rPr>
          <w:rFonts w:ascii="Calibri" w:hAnsi="Calibri"/>
          <w:b/>
          <w:sz w:val="20"/>
          <w:szCs w:val="20"/>
        </w:rPr>
      </w:pPr>
    </w:p>
    <w:p w:rsidR="00F80557" w:rsidRPr="00F80557" w:rsidRDefault="00F80557" w:rsidP="00F80557">
      <w:pPr>
        <w:pStyle w:val="Ttulo6"/>
        <w:pBdr>
          <w:bottom w:val="single" w:sz="4" w:space="2" w:color="auto"/>
          <w:right w:val="single" w:sz="4" w:space="30" w:color="auto"/>
        </w:pBdr>
        <w:jc w:val="both"/>
        <w:rPr>
          <w:rFonts w:ascii="Calibri" w:hAnsi="Calibri"/>
          <w:b w:val="0"/>
          <w:color w:val="FF0000"/>
          <w:sz w:val="20"/>
          <w:szCs w:val="20"/>
        </w:rPr>
      </w:pPr>
      <w:r w:rsidRPr="00F80557">
        <w:rPr>
          <w:rFonts w:ascii="Calibri" w:hAnsi="Calibri"/>
          <w:sz w:val="20"/>
          <w:szCs w:val="20"/>
        </w:rPr>
        <w:t>Nota  9  Conciliación entre los Ingresos Presupuestarios y Contables</w:t>
      </w:r>
    </w:p>
    <w:p w:rsidR="00F80557" w:rsidRPr="00F80557" w:rsidRDefault="00F80557" w:rsidP="00F80557">
      <w:pPr>
        <w:pStyle w:val="Sangradetextonormal"/>
        <w:tabs>
          <w:tab w:val="left" w:pos="7655"/>
        </w:tabs>
        <w:ind w:left="0"/>
        <w:jc w:val="both"/>
        <w:rPr>
          <w:rFonts w:ascii="Calibri" w:hAnsi="Calibri"/>
          <w:b/>
          <w:sz w:val="20"/>
          <w:szCs w:val="20"/>
        </w:rPr>
      </w:pPr>
    </w:p>
    <w:p w:rsidR="00F80557" w:rsidRPr="00F80557" w:rsidRDefault="00F80557" w:rsidP="00F80557">
      <w:pPr>
        <w:pStyle w:val="Sangradetextonormal"/>
        <w:tabs>
          <w:tab w:val="left" w:pos="7655"/>
        </w:tabs>
        <w:ind w:left="0"/>
        <w:jc w:val="both"/>
        <w:rPr>
          <w:rFonts w:ascii="Calibri" w:hAnsi="Calibri"/>
          <w:b/>
          <w:sz w:val="20"/>
          <w:szCs w:val="20"/>
        </w:rPr>
      </w:pPr>
    </w:p>
    <w:tbl>
      <w:tblPr>
        <w:tblW w:w="10708" w:type="dxa"/>
        <w:jc w:val="center"/>
        <w:tblInd w:w="55" w:type="dxa"/>
        <w:tblCellMar>
          <w:left w:w="70" w:type="dxa"/>
          <w:right w:w="70" w:type="dxa"/>
        </w:tblCellMar>
        <w:tblLook w:val="04A0" w:firstRow="1" w:lastRow="0" w:firstColumn="1" w:lastColumn="0" w:noHBand="0" w:noVBand="1"/>
      </w:tblPr>
      <w:tblGrid>
        <w:gridCol w:w="6788"/>
        <w:gridCol w:w="1905"/>
        <w:gridCol w:w="2015"/>
      </w:tblGrid>
      <w:tr w:rsidR="00F80557" w:rsidTr="00F80557">
        <w:trPr>
          <w:trHeight w:val="300"/>
          <w:jc w:val="center"/>
        </w:trPr>
        <w:tc>
          <w:tcPr>
            <w:tcW w:w="10708" w:type="dxa"/>
            <w:gridSpan w:val="3"/>
            <w:tcBorders>
              <w:top w:val="single" w:sz="8" w:space="0" w:color="auto"/>
              <w:left w:val="single" w:sz="8" w:space="0" w:color="auto"/>
              <w:bottom w:val="nil"/>
              <w:right w:val="single" w:sz="8" w:space="0" w:color="000000"/>
            </w:tcBorders>
            <w:noWrap/>
            <w:vAlign w:val="bottom"/>
            <w:hideMark/>
          </w:tcPr>
          <w:p w:rsidR="00F80557" w:rsidRDefault="00F80557">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Auditoría Superior del Estado</w:t>
            </w:r>
          </w:p>
        </w:tc>
      </w:tr>
      <w:tr w:rsidR="00F80557" w:rsidTr="00F80557">
        <w:trPr>
          <w:trHeight w:val="300"/>
          <w:jc w:val="center"/>
        </w:trPr>
        <w:tc>
          <w:tcPr>
            <w:tcW w:w="10708" w:type="dxa"/>
            <w:gridSpan w:val="3"/>
            <w:tcBorders>
              <w:top w:val="nil"/>
              <w:left w:val="single" w:sz="8" w:space="0" w:color="auto"/>
              <w:bottom w:val="nil"/>
              <w:right w:val="single" w:sz="8" w:space="0" w:color="000000"/>
            </w:tcBorders>
            <w:vAlign w:val="bottom"/>
            <w:hideMark/>
          </w:tcPr>
          <w:p w:rsidR="00F80557" w:rsidRDefault="00F80557">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Conciliación entre los Ingresos Presupuestarios y Contables</w:t>
            </w:r>
          </w:p>
        </w:tc>
      </w:tr>
      <w:tr w:rsidR="00F80557" w:rsidTr="00F80557">
        <w:trPr>
          <w:trHeight w:val="300"/>
          <w:jc w:val="center"/>
        </w:trPr>
        <w:tc>
          <w:tcPr>
            <w:tcW w:w="10708" w:type="dxa"/>
            <w:gridSpan w:val="3"/>
            <w:tcBorders>
              <w:top w:val="nil"/>
              <w:left w:val="single" w:sz="8" w:space="0" w:color="auto"/>
              <w:bottom w:val="nil"/>
              <w:right w:val="single" w:sz="8" w:space="0" w:color="000000"/>
            </w:tcBorders>
            <w:noWrap/>
            <w:vAlign w:val="bottom"/>
            <w:hideMark/>
          </w:tcPr>
          <w:p w:rsidR="00F80557" w:rsidRDefault="00F80557">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 xml:space="preserve">Correspondiente del 1° de enero al </w:t>
            </w:r>
            <w:r w:rsidRPr="00F80557">
              <w:rPr>
                <w:rFonts w:ascii="Calibri" w:hAnsi="Calibri"/>
                <w:b/>
                <w:sz w:val="20"/>
                <w:szCs w:val="20"/>
              </w:rPr>
              <w:t>31 de diciembre de 2017</w:t>
            </w:r>
          </w:p>
        </w:tc>
      </w:tr>
      <w:tr w:rsidR="00F80557" w:rsidTr="00F80557">
        <w:trPr>
          <w:trHeight w:val="80"/>
          <w:jc w:val="center"/>
        </w:trPr>
        <w:tc>
          <w:tcPr>
            <w:tcW w:w="10708" w:type="dxa"/>
            <w:gridSpan w:val="3"/>
            <w:tcBorders>
              <w:top w:val="nil"/>
              <w:left w:val="single" w:sz="8" w:space="0" w:color="auto"/>
              <w:bottom w:val="single" w:sz="8" w:space="0" w:color="auto"/>
              <w:right w:val="single" w:sz="8" w:space="0" w:color="000000"/>
            </w:tcBorders>
            <w:noWrap/>
            <w:vAlign w:val="bottom"/>
            <w:hideMark/>
          </w:tcPr>
          <w:p w:rsidR="00F80557" w:rsidRDefault="00F80557">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(Cifras en pesos)</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shd w:val="clear" w:color="auto" w:fill="A5A5A5"/>
            <w:noWrap/>
            <w:vAlign w:val="bottom"/>
            <w:hideMark/>
          </w:tcPr>
          <w:p w:rsidR="00F80557" w:rsidRDefault="00F80557">
            <w:pPr>
              <w:jc w:val="both"/>
              <w:rPr>
                <w:rFonts w:ascii="Calibri" w:hAnsi="Calibri" w:cs="Calibri"/>
                <w:b/>
                <w:bCs/>
                <w:color w:val="000000"/>
                <w:sz w:val="20"/>
                <w:szCs w:val="20"/>
                <w:lang w:eastAsia="es-MX"/>
              </w:rPr>
            </w:pPr>
            <w:r>
              <w:rPr>
                <w:rFonts w:ascii="Calibri" w:hAnsi="Calibri" w:cs="Calibri"/>
                <w:b/>
                <w:bCs/>
                <w:color w:val="000000"/>
                <w:sz w:val="20"/>
                <w:szCs w:val="20"/>
                <w:lang w:eastAsia="es-MX"/>
              </w:rPr>
              <w:t>1. Ingresos Presupuestarios</w:t>
            </w:r>
          </w:p>
        </w:tc>
        <w:tc>
          <w:tcPr>
            <w:tcW w:w="190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c>
          <w:tcPr>
            <w:tcW w:w="2015" w:type="dxa"/>
            <w:tcBorders>
              <w:top w:val="nil"/>
              <w:left w:val="nil"/>
              <w:bottom w:val="single" w:sz="4" w:space="0" w:color="auto"/>
              <w:right w:val="single" w:sz="4" w:space="0" w:color="auto"/>
            </w:tcBorders>
            <w:noWrap/>
            <w:vAlign w:val="center"/>
            <w:hideMark/>
          </w:tcPr>
          <w:p w:rsidR="00F80557" w:rsidRDefault="00F80557">
            <w:pPr>
              <w:rPr>
                <w:rFonts w:ascii="Calibri" w:hAnsi="Calibri" w:cs="Calibri"/>
                <w:b/>
                <w:bCs/>
                <w:color w:val="000000"/>
                <w:sz w:val="20"/>
                <w:szCs w:val="20"/>
                <w:lang w:eastAsia="es-MX"/>
              </w:rPr>
            </w:pPr>
            <w:r w:rsidRPr="00F80557">
              <w:rPr>
                <w:rFonts w:ascii="Calibri" w:hAnsi="Calibri"/>
                <w:b/>
                <w:sz w:val="20"/>
                <w:szCs w:val="20"/>
              </w:rPr>
              <w:t>$           65,974,054.00</w:t>
            </w:r>
          </w:p>
        </w:tc>
      </w:tr>
      <w:tr w:rsidR="00F80557" w:rsidTr="00F80557">
        <w:trPr>
          <w:trHeight w:val="300"/>
          <w:jc w:val="center"/>
        </w:trPr>
        <w:tc>
          <w:tcPr>
            <w:tcW w:w="6788" w:type="dxa"/>
            <w:tcBorders>
              <w:top w:val="single" w:sz="4" w:space="0" w:color="auto"/>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b/>
                <w:bCs/>
                <w:color w:val="000000"/>
                <w:sz w:val="20"/>
                <w:szCs w:val="20"/>
                <w:lang w:eastAsia="es-MX"/>
              </w:rPr>
            </w:pPr>
            <w:r>
              <w:rPr>
                <w:rFonts w:ascii="Calibri" w:hAnsi="Calibri" w:cs="Calibri"/>
                <w:b/>
                <w:bCs/>
                <w:color w:val="000000"/>
                <w:sz w:val="20"/>
                <w:szCs w:val="20"/>
                <w:lang w:eastAsia="es-MX"/>
              </w:rPr>
              <w:t>2. Más ingresos contables no presupuestarios</w:t>
            </w:r>
          </w:p>
        </w:tc>
        <w:tc>
          <w:tcPr>
            <w:tcW w:w="1905" w:type="dxa"/>
            <w:tcBorders>
              <w:top w:val="single" w:sz="4" w:space="0" w:color="auto"/>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noWrap/>
            <w:vAlign w:val="center"/>
            <w:hideMark/>
          </w:tcPr>
          <w:p w:rsidR="00F80557" w:rsidRDefault="00F80557">
            <w:pPr>
              <w:rPr>
                <w:rFonts w:ascii="Calibri" w:hAnsi="Calibri" w:cs="Calibri"/>
                <w:b/>
                <w:bCs/>
                <w:color w:val="000000"/>
                <w:sz w:val="20"/>
                <w:szCs w:val="20"/>
                <w:lang w:eastAsia="es-MX"/>
              </w:rPr>
            </w:pPr>
            <w:r>
              <w:rPr>
                <w:rFonts w:ascii="Calibri" w:hAnsi="Calibri" w:cs="Calibri"/>
                <w:b/>
                <w:bCs/>
                <w:color w:val="000000"/>
                <w:sz w:val="20"/>
                <w:szCs w:val="20"/>
                <w:lang w:eastAsia="es-MX"/>
              </w:rPr>
              <w:t>$                   46,225.20</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Incremento por variación de inventarios</w:t>
            </w:r>
          </w:p>
        </w:tc>
        <w:tc>
          <w:tcPr>
            <w:tcW w:w="1905" w:type="dxa"/>
            <w:tcBorders>
              <w:top w:val="nil"/>
              <w:left w:val="nil"/>
              <w:bottom w:val="single" w:sz="4" w:space="0" w:color="auto"/>
              <w:right w:val="single" w:sz="4" w:space="0" w:color="auto"/>
            </w:tcBorders>
            <w:noWrap/>
            <w:vAlign w:val="center"/>
            <w:hideMark/>
          </w:tcPr>
          <w:p w:rsidR="00F80557" w:rsidRDefault="00F80557">
            <w:pPr>
              <w:rPr>
                <w:sz w:val="20"/>
                <w:szCs w:val="20"/>
                <w:lang w:eastAsia="es-MX"/>
              </w:rPr>
            </w:pP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295"/>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Disminución del exceso de estimaciones por pérdida o deterioro u obsolescencia</w:t>
            </w:r>
          </w:p>
        </w:tc>
        <w:tc>
          <w:tcPr>
            <w:tcW w:w="1905" w:type="dxa"/>
            <w:tcBorders>
              <w:top w:val="nil"/>
              <w:left w:val="nil"/>
              <w:bottom w:val="single" w:sz="4" w:space="0" w:color="auto"/>
              <w:right w:val="single" w:sz="4" w:space="0" w:color="auto"/>
            </w:tcBorders>
            <w:noWrap/>
            <w:vAlign w:val="center"/>
            <w:hideMark/>
          </w:tcPr>
          <w:p w:rsidR="00F80557" w:rsidRDefault="00F80557">
            <w:pPr>
              <w:rPr>
                <w:sz w:val="20"/>
                <w:szCs w:val="20"/>
                <w:lang w:eastAsia="es-MX"/>
              </w:rPr>
            </w:pP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Disminución del exceso de provisiones</w:t>
            </w:r>
          </w:p>
        </w:tc>
        <w:tc>
          <w:tcPr>
            <w:tcW w:w="1905" w:type="dxa"/>
            <w:tcBorders>
              <w:top w:val="nil"/>
              <w:left w:val="nil"/>
              <w:bottom w:val="single" w:sz="4" w:space="0" w:color="auto"/>
              <w:right w:val="single" w:sz="4" w:space="0" w:color="auto"/>
            </w:tcBorders>
            <w:noWrap/>
            <w:vAlign w:val="center"/>
            <w:hideMark/>
          </w:tcPr>
          <w:p w:rsidR="00F80557" w:rsidRDefault="00F80557">
            <w:pPr>
              <w:rPr>
                <w:sz w:val="20"/>
                <w:szCs w:val="20"/>
                <w:lang w:eastAsia="es-MX"/>
              </w:rPr>
            </w:pP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Otros ingresos y beneficios varios</w:t>
            </w:r>
          </w:p>
        </w:tc>
        <w:tc>
          <w:tcPr>
            <w:tcW w:w="1905"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18"/>
                <w:szCs w:val="18"/>
              </w:rPr>
            </w:pPr>
            <w:r>
              <w:rPr>
                <w:rFonts w:ascii="Calibri" w:hAnsi="Calibri" w:cs="Calibri"/>
                <w:color w:val="000000"/>
                <w:sz w:val="18"/>
                <w:szCs w:val="18"/>
              </w:rPr>
              <w:t>$                       2,092.20</w:t>
            </w: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Otros ingresos contables no presupuestarios</w:t>
            </w:r>
          </w:p>
        </w:tc>
        <w:tc>
          <w:tcPr>
            <w:tcW w:w="1905"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18"/>
                <w:szCs w:val="18"/>
              </w:rPr>
            </w:pPr>
            <w:r>
              <w:rPr>
                <w:rFonts w:ascii="Calibri" w:hAnsi="Calibri" w:cs="Calibri"/>
                <w:color w:val="000000"/>
                <w:sz w:val="18"/>
                <w:szCs w:val="18"/>
              </w:rPr>
              <w:t>$                     44,133.00</w:t>
            </w: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300"/>
          <w:jc w:val="center"/>
        </w:trPr>
        <w:tc>
          <w:tcPr>
            <w:tcW w:w="6788" w:type="dxa"/>
            <w:tcBorders>
              <w:top w:val="single" w:sz="4" w:space="0" w:color="auto"/>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b/>
                <w:bCs/>
                <w:color w:val="000000"/>
                <w:sz w:val="20"/>
                <w:szCs w:val="20"/>
                <w:lang w:eastAsia="es-MX"/>
              </w:rPr>
            </w:pPr>
            <w:r>
              <w:rPr>
                <w:rFonts w:ascii="Calibri" w:hAnsi="Calibri" w:cs="Calibri"/>
                <w:b/>
                <w:bCs/>
                <w:color w:val="000000"/>
                <w:sz w:val="20"/>
                <w:szCs w:val="20"/>
                <w:lang w:eastAsia="es-MX"/>
              </w:rPr>
              <w:t>3. Menos ingresos presupuestarios no contables</w:t>
            </w:r>
          </w:p>
        </w:tc>
        <w:tc>
          <w:tcPr>
            <w:tcW w:w="1905" w:type="dxa"/>
            <w:tcBorders>
              <w:top w:val="single" w:sz="4" w:space="0" w:color="auto"/>
              <w:left w:val="nil"/>
              <w:bottom w:val="single" w:sz="4" w:space="0" w:color="auto"/>
              <w:right w:val="single" w:sz="4" w:space="0" w:color="auto"/>
            </w:tcBorders>
            <w:noWrap/>
            <w:vAlign w:val="center"/>
            <w:hideMark/>
          </w:tcPr>
          <w:p w:rsidR="00F80557" w:rsidRDefault="00F80557">
            <w:pPr>
              <w:jc w:val="center"/>
              <w:rPr>
                <w:rFonts w:ascii="Calibri" w:hAnsi="Calibri" w:cs="Calibri"/>
                <w:color w:val="000000"/>
                <w:sz w:val="20"/>
                <w:szCs w:val="20"/>
                <w:lang w:eastAsia="es-MX"/>
              </w:rPr>
            </w:pPr>
            <w:r>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noWrap/>
            <w:vAlign w:val="center"/>
            <w:hideMark/>
          </w:tcPr>
          <w:p w:rsidR="00F80557" w:rsidRDefault="00F80557">
            <w:pPr>
              <w:rPr>
                <w:rFonts w:ascii="Calibri" w:hAnsi="Calibri" w:cs="Calibri"/>
                <w:b/>
                <w:bCs/>
                <w:color w:val="000000"/>
                <w:sz w:val="20"/>
                <w:szCs w:val="20"/>
                <w:lang w:eastAsia="es-MX"/>
              </w:rPr>
            </w:pPr>
            <w:r>
              <w:rPr>
                <w:rFonts w:ascii="Calibri" w:hAnsi="Calibri" w:cs="Calibri"/>
                <w:b/>
                <w:bCs/>
                <w:color w:val="000000"/>
                <w:sz w:val="20"/>
                <w:szCs w:val="20"/>
                <w:lang w:eastAsia="es-MX"/>
              </w:rPr>
              <w:t xml:space="preserve">$                                    -   </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Productos de capital</w:t>
            </w:r>
          </w:p>
        </w:tc>
        <w:tc>
          <w:tcPr>
            <w:tcW w:w="1905" w:type="dxa"/>
            <w:tcBorders>
              <w:top w:val="nil"/>
              <w:left w:val="nil"/>
              <w:bottom w:val="single" w:sz="4" w:space="0" w:color="auto"/>
              <w:right w:val="single" w:sz="4" w:space="0" w:color="auto"/>
            </w:tcBorders>
            <w:noWrap/>
            <w:vAlign w:val="center"/>
            <w:hideMark/>
          </w:tcPr>
          <w:p w:rsidR="00F80557" w:rsidRDefault="00F80557">
            <w:pPr>
              <w:rPr>
                <w:sz w:val="20"/>
                <w:szCs w:val="20"/>
                <w:lang w:eastAsia="es-MX"/>
              </w:rPr>
            </w:pP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Aprovechamientos capital</w:t>
            </w:r>
          </w:p>
        </w:tc>
        <w:tc>
          <w:tcPr>
            <w:tcW w:w="1905" w:type="dxa"/>
            <w:tcBorders>
              <w:top w:val="nil"/>
              <w:left w:val="nil"/>
              <w:bottom w:val="single" w:sz="4" w:space="0" w:color="auto"/>
              <w:right w:val="single" w:sz="4" w:space="0" w:color="auto"/>
            </w:tcBorders>
            <w:noWrap/>
            <w:vAlign w:val="center"/>
            <w:hideMark/>
          </w:tcPr>
          <w:p w:rsidR="00F80557" w:rsidRDefault="00F80557">
            <w:pPr>
              <w:rPr>
                <w:sz w:val="20"/>
                <w:szCs w:val="20"/>
                <w:lang w:eastAsia="es-MX"/>
              </w:rPr>
            </w:pP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Ingresos derivados de financiamientos</w:t>
            </w:r>
          </w:p>
        </w:tc>
        <w:tc>
          <w:tcPr>
            <w:tcW w:w="1905" w:type="dxa"/>
            <w:tcBorders>
              <w:top w:val="nil"/>
              <w:left w:val="nil"/>
              <w:bottom w:val="single" w:sz="4" w:space="0" w:color="auto"/>
              <w:right w:val="single" w:sz="4" w:space="0" w:color="auto"/>
            </w:tcBorders>
            <w:noWrap/>
            <w:vAlign w:val="center"/>
            <w:hideMark/>
          </w:tcPr>
          <w:p w:rsidR="00F80557" w:rsidRDefault="00F80557">
            <w:pPr>
              <w:rPr>
                <w:sz w:val="20"/>
                <w:szCs w:val="20"/>
                <w:lang w:eastAsia="es-MX"/>
              </w:rPr>
            </w:pP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300"/>
          <w:jc w:val="center"/>
        </w:trPr>
        <w:tc>
          <w:tcPr>
            <w:tcW w:w="6788" w:type="dxa"/>
            <w:tcBorders>
              <w:top w:val="nil"/>
              <w:left w:val="single" w:sz="4" w:space="0" w:color="auto"/>
              <w:bottom w:val="single" w:sz="4" w:space="0" w:color="auto"/>
              <w:right w:val="single" w:sz="4" w:space="0" w:color="auto"/>
            </w:tcBorders>
            <w:noWrap/>
            <w:vAlign w:val="bottom"/>
            <w:hideMark/>
          </w:tcPr>
          <w:p w:rsidR="00F80557" w:rsidRDefault="00F80557">
            <w:pPr>
              <w:jc w:val="both"/>
              <w:rPr>
                <w:rFonts w:ascii="Calibri" w:hAnsi="Calibri" w:cs="Calibri"/>
                <w:color w:val="000000"/>
                <w:sz w:val="20"/>
                <w:szCs w:val="20"/>
                <w:lang w:eastAsia="es-MX"/>
              </w:rPr>
            </w:pPr>
            <w:r>
              <w:rPr>
                <w:rFonts w:ascii="Calibri" w:hAnsi="Calibri" w:cs="Calibri"/>
                <w:color w:val="000000"/>
                <w:sz w:val="20"/>
                <w:szCs w:val="20"/>
                <w:lang w:eastAsia="es-MX"/>
              </w:rPr>
              <w:t>Otros Ingresos presupuestarios no contables</w:t>
            </w:r>
          </w:p>
        </w:tc>
        <w:tc>
          <w:tcPr>
            <w:tcW w:w="1905" w:type="dxa"/>
            <w:tcBorders>
              <w:top w:val="nil"/>
              <w:left w:val="nil"/>
              <w:bottom w:val="single" w:sz="4" w:space="0" w:color="auto"/>
              <w:right w:val="single" w:sz="4" w:space="0" w:color="auto"/>
            </w:tcBorders>
            <w:noWrap/>
            <w:vAlign w:val="center"/>
            <w:hideMark/>
          </w:tcPr>
          <w:p w:rsidR="00F80557" w:rsidRDefault="00F80557">
            <w:pPr>
              <w:rPr>
                <w:sz w:val="20"/>
                <w:szCs w:val="20"/>
                <w:lang w:eastAsia="es-MX"/>
              </w:rPr>
            </w:pPr>
          </w:p>
        </w:tc>
        <w:tc>
          <w:tcPr>
            <w:tcW w:w="2015" w:type="dxa"/>
            <w:tcBorders>
              <w:top w:val="nil"/>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r>
      <w:tr w:rsidR="00F80557" w:rsidTr="00F80557">
        <w:trPr>
          <w:trHeight w:val="183"/>
          <w:jc w:val="center"/>
        </w:trPr>
        <w:tc>
          <w:tcPr>
            <w:tcW w:w="6788" w:type="dxa"/>
            <w:tcBorders>
              <w:top w:val="single" w:sz="4" w:space="0" w:color="auto"/>
              <w:left w:val="single" w:sz="4" w:space="0" w:color="auto"/>
              <w:bottom w:val="single" w:sz="4" w:space="0" w:color="auto"/>
              <w:right w:val="single" w:sz="4" w:space="0" w:color="auto"/>
            </w:tcBorders>
            <w:shd w:val="clear" w:color="auto" w:fill="A5A5A5"/>
            <w:noWrap/>
            <w:vAlign w:val="bottom"/>
            <w:hideMark/>
          </w:tcPr>
          <w:p w:rsidR="00F80557" w:rsidRDefault="00F80557">
            <w:pPr>
              <w:jc w:val="both"/>
              <w:rPr>
                <w:rFonts w:ascii="Calibri" w:hAnsi="Calibri" w:cs="Calibri"/>
                <w:b/>
                <w:bCs/>
                <w:color w:val="000000"/>
                <w:sz w:val="20"/>
                <w:szCs w:val="20"/>
                <w:lang w:eastAsia="es-MX"/>
              </w:rPr>
            </w:pPr>
            <w:r>
              <w:rPr>
                <w:rFonts w:ascii="Calibri" w:hAnsi="Calibri" w:cs="Calibri"/>
                <w:b/>
                <w:bCs/>
                <w:color w:val="000000"/>
                <w:sz w:val="20"/>
                <w:szCs w:val="20"/>
                <w:lang w:eastAsia="es-MX"/>
              </w:rPr>
              <w:t>4. Ingresos Contables (4 = 1 + 2 - 3)</w:t>
            </w:r>
          </w:p>
        </w:tc>
        <w:tc>
          <w:tcPr>
            <w:tcW w:w="1905" w:type="dxa"/>
            <w:tcBorders>
              <w:top w:val="single" w:sz="4" w:space="0" w:color="auto"/>
              <w:left w:val="nil"/>
              <w:bottom w:val="single" w:sz="4" w:space="0" w:color="auto"/>
              <w:right w:val="single" w:sz="4" w:space="0" w:color="auto"/>
            </w:tcBorders>
            <w:noWrap/>
            <w:vAlign w:val="center"/>
            <w:hideMark/>
          </w:tcPr>
          <w:p w:rsidR="00F80557" w:rsidRDefault="00F80557">
            <w:pPr>
              <w:jc w:val="right"/>
              <w:rPr>
                <w:rFonts w:ascii="Calibri" w:hAnsi="Calibri" w:cs="Calibri"/>
                <w:color w:val="000000"/>
                <w:sz w:val="20"/>
                <w:szCs w:val="20"/>
                <w:lang w:eastAsia="es-MX"/>
              </w:rPr>
            </w:pPr>
            <w:r>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noWrap/>
            <w:vAlign w:val="center"/>
            <w:hideMark/>
          </w:tcPr>
          <w:p w:rsidR="00F80557" w:rsidRDefault="00F80557">
            <w:pPr>
              <w:rPr>
                <w:rFonts w:ascii="Calibri" w:hAnsi="Calibri" w:cs="Calibri"/>
                <w:b/>
                <w:bCs/>
                <w:color w:val="000000"/>
                <w:sz w:val="20"/>
                <w:szCs w:val="20"/>
                <w:lang w:eastAsia="es-MX"/>
              </w:rPr>
            </w:pPr>
            <w:r>
              <w:rPr>
                <w:rFonts w:ascii="Calibri" w:hAnsi="Calibri" w:cs="Calibri"/>
                <w:b/>
                <w:bCs/>
                <w:color w:val="000000"/>
                <w:sz w:val="20"/>
                <w:szCs w:val="20"/>
                <w:lang w:eastAsia="es-MX"/>
              </w:rPr>
              <w:t>$           66,020,279.20</w:t>
            </w:r>
          </w:p>
        </w:tc>
      </w:tr>
    </w:tbl>
    <w:p w:rsidR="00F80557" w:rsidRDefault="00F80557" w:rsidP="00F80557">
      <w:pPr>
        <w:pStyle w:val="Sangradetextonormal"/>
        <w:tabs>
          <w:tab w:val="left" w:pos="7655"/>
        </w:tabs>
        <w:ind w:left="0"/>
        <w:jc w:val="both"/>
        <w:rPr>
          <w:rFonts w:ascii="Calibri" w:hAnsi="Calibri"/>
          <w:b/>
          <w:sz w:val="20"/>
          <w:szCs w:val="20"/>
        </w:rPr>
      </w:pPr>
    </w:p>
    <w:p w:rsidR="00A14B06" w:rsidRDefault="00A14B06" w:rsidP="00F80557">
      <w:pPr>
        <w:pStyle w:val="Sangradetextonormal"/>
        <w:tabs>
          <w:tab w:val="left" w:pos="7655"/>
        </w:tabs>
        <w:ind w:left="0"/>
        <w:jc w:val="both"/>
        <w:rPr>
          <w:rFonts w:ascii="Calibri" w:hAnsi="Calibri"/>
          <w:b/>
          <w:sz w:val="20"/>
          <w:szCs w:val="20"/>
        </w:rPr>
      </w:pPr>
    </w:p>
    <w:p w:rsidR="00A14B06" w:rsidRDefault="00A14B06" w:rsidP="00F80557">
      <w:pPr>
        <w:pStyle w:val="Sangradetextonormal"/>
        <w:tabs>
          <w:tab w:val="left" w:pos="7655"/>
        </w:tabs>
        <w:ind w:left="0"/>
        <w:jc w:val="both"/>
        <w:rPr>
          <w:rFonts w:ascii="Calibri" w:hAnsi="Calibri"/>
          <w:b/>
          <w:sz w:val="20"/>
          <w:szCs w:val="20"/>
        </w:rPr>
      </w:pPr>
    </w:p>
    <w:p w:rsidR="00A14B06" w:rsidRDefault="00A14B06" w:rsidP="00F80557">
      <w:pPr>
        <w:pStyle w:val="Sangradetextonormal"/>
        <w:tabs>
          <w:tab w:val="left" w:pos="7655"/>
        </w:tabs>
        <w:ind w:left="0"/>
        <w:jc w:val="both"/>
        <w:rPr>
          <w:rFonts w:ascii="Calibri" w:hAnsi="Calibri"/>
          <w:b/>
          <w:sz w:val="20"/>
          <w:szCs w:val="20"/>
        </w:rPr>
      </w:pPr>
    </w:p>
    <w:p w:rsidR="00A14B06" w:rsidRDefault="00A14B06" w:rsidP="00F80557">
      <w:pPr>
        <w:pStyle w:val="Sangradetextonormal"/>
        <w:tabs>
          <w:tab w:val="left" w:pos="7655"/>
        </w:tabs>
        <w:ind w:left="0"/>
        <w:jc w:val="both"/>
        <w:rPr>
          <w:rFonts w:ascii="Calibri" w:hAnsi="Calibri"/>
          <w:b/>
          <w:sz w:val="20"/>
          <w:szCs w:val="20"/>
        </w:rPr>
      </w:pPr>
    </w:p>
    <w:p w:rsidR="00A14B06" w:rsidRPr="00F80557" w:rsidRDefault="00A14B06" w:rsidP="00F80557">
      <w:pPr>
        <w:pStyle w:val="Sangradetextonormal"/>
        <w:tabs>
          <w:tab w:val="left" w:pos="7655"/>
        </w:tabs>
        <w:ind w:left="0"/>
        <w:jc w:val="both"/>
        <w:rPr>
          <w:rFonts w:ascii="Calibri" w:hAnsi="Calibri"/>
          <w:b/>
          <w:sz w:val="20"/>
          <w:szCs w:val="20"/>
        </w:rPr>
      </w:pPr>
    </w:p>
    <w:p w:rsidR="00F80557" w:rsidRPr="00F80557" w:rsidRDefault="00F80557" w:rsidP="00F80557">
      <w:pPr>
        <w:pStyle w:val="Ttulo6"/>
        <w:pBdr>
          <w:bottom w:val="single" w:sz="4" w:space="2" w:color="auto"/>
          <w:right w:val="single" w:sz="4" w:space="0" w:color="auto"/>
        </w:pBdr>
        <w:jc w:val="both"/>
        <w:rPr>
          <w:rFonts w:ascii="Calibri" w:hAnsi="Calibri"/>
          <w:sz w:val="20"/>
          <w:szCs w:val="20"/>
        </w:rPr>
      </w:pPr>
      <w:r w:rsidRPr="00F80557">
        <w:rPr>
          <w:rFonts w:ascii="Calibri" w:hAnsi="Calibri"/>
          <w:sz w:val="20"/>
          <w:szCs w:val="20"/>
        </w:rPr>
        <w:t>Nota  10  Conciliación entre los Egresos Presupuestarios y los Gastos Contables</w:t>
      </w:r>
    </w:p>
    <w:p w:rsidR="00F80557" w:rsidRDefault="00F80557" w:rsidP="00F80557">
      <w:pPr>
        <w:pStyle w:val="Sangradetextonormal"/>
        <w:tabs>
          <w:tab w:val="left" w:pos="7655"/>
        </w:tabs>
        <w:ind w:left="0"/>
        <w:jc w:val="both"/>
        <w:rPr>
          <w:rFonts w:ascii="Calibri" w:hAnsi="Calibri"/>
          <w:b/>
          <w:sz w:val="20"/>
          <w:szCs w:val="20"/>
        </w:rPr>
      </w:pPr>
    </w:p>
    <w:p w:rsidR="00A14B06" w:rsidRPr="00F80557" w:rsidRDefault="00A14B06" w:rsidP="00F80557">
      <w:pPr>
        <w:pStyle w:val="Sangradetextonormal"/>
        <w:tabs>
          <w:tab w:val="left" w:pos="7655"/>
        </w:tabs>
        <w:ind w:left="0"/>
        <w:jc w:val="both"/>
        <w:rPr>
          <w:rFonts w:ascii="Calibri" w:hAnsi="Calibri"/>
          <w:b/>
          <w:sz w:val="20"/>
          <w:szCs w:val="20"/>
        </w:rPr>
      </w:pPr>
    </w:p>
    <w:tbl>
      <w:tblPr>
        <w:tblW w:w="10908" w:type="dxa"/>
        <w:jc w:val="center"/>
        <w:tblInd w:w="55" w:type="dxa"/>
        <w:tblCellMar>
          <w:left w:w="70" w:type="dxa"/>
          <w:right w:w="70" w:type="dxa"/>
        </w:tblCellMar>
        <w:tblLook w:val="04A0" w:firstRow="1" w:lastRow="0" w:firstColumn="1" w:lastColumn="0" w:noHBand="0" w:noVBand="1"/>
      </w:tblPr>
      <w:tblGrid>
        <w:gridCol w:w="6989"/>
        <w:gridCol w:w="1832"/>
        <w:gridCol w:w="2087"/>
      </w:tblGrid>
      <w:tr w:rsidR="00F80557" w:rsidTr="00A14B06">
        <w:trPr>
          <w:trHeight w:val="171"/>
          <w:jc w:val="center"/>
        </w:trPr>
        <w:tc>
          <w:tcPr>
            <w:tcW w:w="10908" w:type="dxa"/>
            <w:gridSpan w:val="3"/>
            <w:tcBorders>
              <w:top w:val="single" w:sz="8" w:space="0" w:color="auto"/>
              <w:left w:val="single" w:sz="8" w:space="0" w:color="auto"/>
              <w:bottom w:val="nil"/>
              <w:right w:val="single" w:sz="8" w:space="0" w:color="000000"/>
            </w:tcBorders>
            <w:noWrap/>
            <w:hideMark/>
          </w:tcPr>
          <w:p w:rsidR="00F80557" w:rsidRDefault="00F80557">
            <w:pPr>
              <w:jc w:val="center"/>
              <w:rPr>
                <w:rFonts w:ascii="Arial" w:hAnsi="Arial" w:cs="Arial"/>
                <w:b/>
                <w:bCs/>
                <w:color w:val="000000"/>
                <w:sz w:val="18"/>
                <w:szCs w:val="18"/>
                <w:lang w:eastAsia="es-MX"/>
              </w:rPr>
            </w:pPr>
            <w:r>
              <w:rPr>
                <w:rFonts w:ascii="Arial" w:hAnsi="Arial" w:cs="Arial"/>
                <w:b/>
                <w:bCs/>
                <w:color w:val="000000"/>
                <w:sz w:val="18"/>
                <w:szCs w:val="18"/>
                <w:lang w:eastAsia="es-MX"/>
              </w:rPr>
              <w:lastRenderedPageBreak/>
              <w:t>Auditoría Superior del Estado</w:t>
            </w:r>
          </w:p>
        </w:tc>
      </w:tr>
      <w:tr w:rsidR="00F80557" w:rsidTr="00A14B06">
        <w:trPr>
          <w:trHeight w:val="171"/>
          <w:jc w:val="center"/>
        </w:trPr>
        <w:tc>
          <w:tcPr>
            <w:tcW w:w="10908" w:type="dxa"/>
            <w:gridSpan w:val="3"/>
            <w:tcBorders>
              <w:top w:val="nil"/>
              <w:left w:val="single" w:sz="8" w:space="0" w:color="auto"/>
              <w:bottom w:val="nil"/>
              <w:right w:val="single" w:sz="8" w:space="0" w:color="000000"/>
            </w:tcBorders>
            <w:noWrap/>
            <w:hideMark/>
          </w:tcPr>
          <w:p w:rsidR="00F80557" w:rsidRDefault="00F80557">
            <w:pPr>
              <w:jc w:val="center"/>
              <w:rPr>
                <w:rFonts w:ascii="Arial" w:hAnsi="Arial" w:cs="Arial"/>
                <w:b/>
                <w:bCs/>
                <w:color w:val="000000"/>
                <w:sz w:val="18"/>
                <w:szCs w:val="18"/>
                <w:lang w:eastAsia="es-MX"/>
              </w:rPr>
            </w:pPr>
            <w:r>
              <w:rPr>
                <w:rFonts w:ascii="Arial" w:hAnsi="Arial" w:cs="Arial"/>
                <w:b/>
                <w:bCs/>
                <w:color w:val="000000"/>
                <w:sz w:val="18"/>
                <w:szCs w:val="18"/>
                <w:lang w:eastAsia="es-MX"/>
              </w:rPr>
              <w:t>Conciliación entre los Egresos Presupuestarios y los Gastos Contables</w:t>
            </w:r>
          </w:p>
        </w:tc>
      </w:tr>
      <w:tr w:rsidR="00F80557" w:rsidTr="00A14B06">
        <w:trPr>
          <w:trHeight w:val="171"/>
          <w:jc w:val="center"/>
        </w:trPr>
        <w:tc>
          <w:tcPr>
            <w:tcW w:w="10908" w:type="dxa"/>
            <w:gridSpan w:val="3"/>
            <w:tcBorders>
              <w:top w:val="nil"/>
              <w:left w:val="single" w:sz="8" w:space="0" w:color="auto"/>
              <w:bottom w:val="nil"/>
              <w:right w:val="single" w:sz="8" w:space="0" w:color="000000"/>
            </w:tcBorders>
            <w:noWrap/>
            <w:hideMark/>
          </w:tcPr>
          <w:p w:rsidR="00F80557" w:rsidRDefault="00F80557">
            <w:pPr>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Correspondiente del 1° de enero al </w:t>
            </w:r>
            <w:r w:rsidRPr="00F80557">
              <w:rPr>
                <w:rFonts w:ascii="Calibri" w:hAnsi="Calibri"/>
                <w:b/>
                <w:sz w:val="20"/>
                <w:szCs w:val="20"/>
              </w:rPr>
              <w:t>31 de diciembre de 2017</w:t>
            </w:r>
          </w:p>
        </w:tc>
      </w:tr>
      <w:tr w:rsidR="00F80557" w:rsidTr="00A14B06">
        <w:trPr>
          <w:trHeight w:val="132"/>
          <w:jc w:val="center"/>
        </w:trPr>
        <w:tc>
          <w:tcPr>
            <w:tcW w:w="10908" w:type="dxa"/>
            <w:gridSpan w:val="3"/>
            <w:tcBorders>
              <w:top w:val="nil"/>
              <w:left w:val="single" w:sz="8" w:space="0" w:color="auto"/>
              <w:bottom w:val="single" w:sz="4" w:space="0" w:color="auto"/>
              <w:right w:val="single" w:sz="8" w:space="0" w:color="000000"/>
            </w:tcBorders>
            <w:noWrap/>
            <w:vAlign w:val="bottom"/>
            <w:hideMark/>
          </w:tcPr>
          <w:p w:rsidR="00F80557" w:rsidRDefault="00F80557">
            <w:pPr>
              <w:jc w:val="center"/>
              <w:rPr>
                <w:rFonts w:ascii="Arial" w:hAnsi="Arial" w:cs="Arial"/>
                <w:b/>
                <w:bCs/>
                <w:color w:val="000000"/>
                <w:sz w:val="18"/>
                <w:szCs w:val="18"/>
                <w:lang w:eastAsia="es-MX"/>
              </w:rPr>
            </w:pPr>
            <w:r>
              <w:rPr>
                <w:rFonts w:ascii="Arial" w:hAnsi="Arial" w:cs="Arial"/>
                <w:b/>
                <w:bCs/>
                <w:color w:val="000000"/>
                <w:sz w:val="18"/>
                <w:szCs w:val="18"/>
                <w:lang w:eastAsia="es-MX"/>
              </w:rPr>
              <w:t>(Cifras en pesos)</w:t>
            </w:r>
          </w:p>
        </w:tc>
      </w:tr>
      <w:tr w:rsidR="00F80557" w:rsidTr="00A14B06">
        <w:trPr>
          <w:trHeight w:val="154"/>
          <w:jc w:val="center"/>
        </w:trPr>
        <w:tc>
          <w:tcPr>
            <w:tcW w:w="6989" w:type="dxa"/>
            <w:tcBorders>
              <w:top w:val="single" w:sz="4" w:space="0" w:color="auto"/>
              <w:left w:val="single" w:sz="4" w:space="0" w:color="auto"/>
              <w:bottom w:val="single" w:sz="4" w:space="0" w:color="auto"/>
              <w:right w:val="single" w:sz="4" w:space="0" w:color="auto"/>
            </w:tcBorders>
            <w:shd w:val="clear" w:color="auto" w:fill="A5A5A5"/>
            <w:noWrap/>
            <w:vAlign w:val="bottom"/>
            <w:hideMark/>
          </w:tcPr>
          <w:p w:rsidR="00F80557" w:rsidRDefault="00F80557">
            <w:pPr>
              <w:rPr>
                <w:rFonts w:ascii="Arial" w:hAnsi="Arial" w:cs="Arial"/>
                <w:b/>
                <w:bCs/>
                <w:color w:val="000000"/>
                <w:sz w:val="18"/>
                <w:szCs w:val="18"/>
                <w:lang w:eastAsia="es-MX"/>
              </w:rPr>
            </w:pPr>
            <w:r>
              <w:rPr>
                <w:rFonts w:ascii="Arial" w:hAnsi="Arial" w:cs="Arial"/>
                <w:b/>
                <w:bCs/>
                <w:color w:val="000000"/>
                <w:sz w:val="18"/>
                <w:szCs w:val="18"/>
                <w:lang w:eastAsia="es-MX"/>
              </w:rPr>
              <w:t>1. Total de egresos (presupuestarios)</w:t>
            </w:r>
          </w:p>
        </w:tc>
        <w:tc>
          <w:tcPr>
            <w:tcW w:w="1832" w:type="dxa"/>
            <w:tcBorders>
              <w:top w:val="single" w:sz="4" w:space="0" w:color="auto"/>
              <w:left w:val="nil"/>
              <w:bottom w:val="single" w:sz="4" w:space="0" w:color="000000"/>
              <w:right w:val="single" w:sz="4" w:space="0" w:color="000000"/>
            </w:tcBorders>
            <w:noWrap/>
            <w:vAlign w:val="bottom"/>
            <w:hideMark/>
          </w:tcPr>
          <w:p w:rsidR="00F80557" w:rsidRDefault="00F80557">
            <w:pPr>
              <w:rPr>
                <w:rFonts w:ascii="Arial" w:hAnsi="Arial" w:cs="Arial"/>
                <w:b/>
                <w:bCs/>
                <w:color w:val="000000"/>
                <w:sz w:val="18"/>
                <w:szCs w:val="18"/>
                <w:lang w:eastAsia="es-MX"/>
              </w:rPr>
            </w:pPr>
            <w:r>
              <w:rPr>
                <w:rFonts w:ascii="Arial" w:hAnsi="Arial" w:cs="Arial"/>
                <w:b/>
                <w:bCs/>
                <w:color w:val="000000"/>
                <w:sz w:val="18"/>
                <w:szCs w:val="18"/>
                <w:lang w:eastAsia="es-MX"/>
              </w:rPr>
              <w:t> </w:t>
            </w:r>
          </w:p>
        </w:tc>
        <w:tc>
          <w:tcPr>
            <w:tcW w:w="2087" w:type="dxa"/>
            <w:tcBorders>
              <w:top w:val="single" w:sz="4" w:space="0" w:color="auto"/>
              <w:left w:val="nil"/>
              <w:bottom w:val="single" w:sz="4" w:space="0" w:color="auto"/>
              <w:right w:val="single" w:sz="4" w:space="0" w:color="000000"/>
            </w:tcBorders>
            <w:noWrap/>
            <w:hideMark/>
          </w:tcPr>
          <w:p w:rsidR="00F80557" w:rsidRDefault="00F80557">
            <w:pPr>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 $           57,871,103.81</w:t>
            </w:r>
          </w:p>
        </w:tc>
      </w:tr>
      <w:tr w:rsidR="00F80557" w:rsidTr="00A14B06">
        <w:trPr>
          <w:trHeight w:val="139"/>
          <w:jc w:val="center"/>
        </w:trPr>
        <w:tc>
          <w:tcPr>
            <w:tcW w:w="6989" w:type="dxa"/>
            <w:tcBorders>
              <w:top w:val="single" w:sz="4" w:space="0" w:color="000000"/>
              <w:left w:val="single" w:sz="4" w:space="0" w:color="000000"/>
              <w:bottom w:val="single" w:sz="4" w:space="0" w:color="000000"/>
              <w:right w:val="nil"/>
            </w:tcBorders>
            <w:hideMark/>
          </w:tcPr>
          <w:p w:rsidR="00F80557" w:rsidRDefault="00F80557">
            <w:pPr>
              <w:rPr>
                <w:rFonts w:ascii="Arial" w:hAnsi="Arial" w:cs="Arial"/>
                <w:b/>
                <w:bCs/>
                <w:color w:val="000000"/>
                <w:sz w:val="18"/>
                <w:szCs w:val="18"/>
                <w:lang w:eastAsia="es-MX"/>
              </w:rPr>
            </w:pPr>
            <w:r>
              <w:rPr>
                <w:rFonts w:ascii="Arial" w:hAnsi="Arial" w:cs="Arial"/>
                <w:b/>
                <w:bCs/>
                <w:color w:val="000000"/>
                <w:sz w:val="18"/>
                <w:szCs w:val="18"/>
                <w:lang w:eastAsia="es-MX"/>
              </w:rPr>
              <w:t>2. Menos egresos presupuestarios no contables</w:t>
            </w:r>
          </w:p>
        </w:tc>
        <w:tc>
          <w:tcPr>
            <w:tcW w:w="1832" w:type="dxa"/>
            <w:tcBorders>
              <w:top w:val="single" w:sz="4" w:space="0" w:color="auto"/>
              <w:left w:val="single" w:sz="4" w:space="0" w:color="auto"/>
              <w:bottom w:val="single" w:sz="4" w:space="0" w:color="auto"/>
              <w:right w:val="single" w:sz="4" w:space="0" w:color="auto"/>
            </w:tcBorders>
            <w:hideMark/>
          </w:tcPr>
          <w:p w:rsidR="00F80557" w:rsidRDefault="00F80557">
            <w:pPr>
              <w:jc w:val="center"/>
              <w:rPr>
                <w:rFonts w:ascii="Calibri" w:hAnsi="Calibri" w:cs="Calibri"/>
                <w:color w:val="000000"/>
                <w:sz w:val="18"/>
                <w:szCs w:val="18"/>
              </w:rPr>
            </w:pPr>
            <w:r>
              <w:rPr>
                <w:rFonts w:ascii="Calibri" w:hAnsi="Calibri" w:cs="Calibri"/>
                <w:color w:val="000000"/>
                <w:sz w:val="18"/>
                <w:szCs w:val="18"/>
              </w:rPr>
              <w:t> </w:t>
            </w:r>
          </w:p>
        </w:tc>
        <w:tc>
          <w:tcPr>
            <w:tcW w:w="2087" w:type="dxa"/>
            <w:tcBorders>
              <w:top w:val="single" w:sz="4" w:space="0" w:color="auto"/>
              <w:left w:val="nil"/>
              <w:bottom w:val="single" w:sz="4" w:space="0" w:color="auto"/>
              <w:right w:val="single" w:sz="4" w:space="0" w:color="000000"/>
            </w:tcBorders>
            <w:noWrap/>
            <w:hideMark/>
          </w:tcPr>
          <w:p w:rsidR="00F80557" w:rsidRDefault="00F80557">
            <w:pPr>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 $                 749,629.84</w:t>
            </w:r>
          </w:p>
        </w:tc>
      </w:tr>
      <w:tr w:rsidR="00F80557" w:rsidTr="00A14B06">
        <w:trPr>
          <w:trHeight w:val="171"/>
          <w:jc w:val="center"/>
        </w:trPr>
        <w:tc>
          <w:tcPr>
            <w:tcW w:w="6989" w:type="dxa"/>
            <w:tcBorders>
              <w:top w:val="nil"/>
              <w:left w:val="single" w:sz="4" w:space="0" w:color="000000"/>
              <w:bottom w:val="single" w:sz="4" w:space="0" w:color="auto"/>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832" w:type="dxa"/>
            <w:tcBorders>
              <w:top w:val="nil"/>
              <w:left w:val="single" w:sz="4" w:space="0" w:color="auto"/>
              <w:bottom w:val="single" w:sz="4" w:space="0" w:color="auto"/>
              <w:right w:val="single" w:sz="4" w:space="0" w:color="auto"/>
            </w:tcBorders>
            <w:noWrap/>
            <w:vAlign w:val="bottom"/>
            <w:hideMark/>
          </w:tcPr>
          <w:p w:rsidR="00F80557" w:rsidRDefault="00F80557">
            <w:pPr>
              <w:rPr>
                <w:rFonts w:ascii="Calibri" w:hAnsi="Calibri" w:cs="Calibri"/>
                <w:color w:val="000000"/>
                <w:sz w:val="18"/>
                <w:szCs w:val="18"/>
              </w:rPr>
            </w:pPr>
            <w:r>
              <w:rPr>
                <w:rFonts w:ascii="Calibri" w:hAnsi="Calibri" w:cs="Calibri"/>
                <w:color w:val="000000"/>
                <w:sz w:val="18"/>
                <w:szCs w:val="18"/>
              </w:rPr>
              <w:t>$                  669,838.03</w:t>
            </w:r>
          </w:p>
        </w:tc>
        <w:tc>
          <w:tcPr>
            <w:tcW w:w="2087" w:type="dxa"/>
            <w:tcBorders>
              <w:top w:val="single" w:sz="4" w:space="0" w:color="auto"/>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single" w:sz="4" w:space="0" w:color="auto"/>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832" w:type="dxa"/>
            <w:tcBorders>
              <w:top w:val="single" w:sz="4" w:space="0" w:color="auto"/>
              <w:left w:val="single" w:sz="4" w:space="0" w:color="auto"/>
              <w:bottom w:val="single" w:sz="4" w:space="0" w:color="auto"/>
              <w:right w:val="single" w:sz="4" w:space="0" w:color="auto"/>
            </w:tcBorders>
            <w:noWrap/>
            <w:vAlign w:val="bottom"/>
            <w:hideMark/>
          </w:tcPr>
          <w:p w:rsidR="00F80557" w:rsidRDefault="00F80557">
            <w:pPr>
              <w:jc w:val="center"/>
              <w:rPr>
                <w:rFonts w:ascii="Calibri" w:hAnsi="Calibri" w:cs="Calibri"/>
                <w:color w:val="000000"/>
                <w:sz w:val="18"/>
                <w:szCs w:val="18"/>
              </w:rPr>
            </w:pPr>
            <w:r>
              <w:rPr>
                <w:rFonts w:ascii="Calibri" w:hAnsi="Calibri" w:cs="Calibri"/>
                <w:color w:val="000000"/>
                <w:sz w:val="18"/>
                <w:szCs w:val="18"/>
              </w:rPr>
              <w:t>$                   35,072.00</w:t>
            </w:r>
          </w:p>
        </w:tc>
        <w:tc>
          <w:tcPr>
            <w:tcW w:w="2087" w:type="dxa"/>
            <w:tcBorders>
              <w:top w:val="single" w:sz="4" w:space="0" w:color="auto"/>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832" w:type="dxa"/>
            <w:tcBorders>
              <w:top w:val="nil"/>
              <w:left w:val="single" w:sz="4" w:space="0" w:color="auto"/>
              <w:bottom w:val="single" w:sz="4" w:space="0" w:color="auto"/>
              <w:right w:val="single" w:sz="4" w:space="0" w:color="auto"/>
            </w:tcBorders>
            <w:noWrap/>
            <w:vAlign w:val="bottom"/>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832" w:type="dxa"/>
            <w:tcBorders>
              <w:top w:val="nil"/>
              <w:left w:val="single" w:sz="4" w:space="0" w:color="auto"/>
              <w:bottom w:val="single" w:sz="4" w:space="0" w:color="auto"/>
              <w:right w:val="single" w:sz="4" w:space="0" w:color="auto"/>
            </w:tcBorders>
            <w:noWrap/>
            <w:vAlign w:val="bottom"/>
            <w:hideMark/>
          </w:tcPr>
          <w:p w:rsidR="00F80557" w:rsidRDefault="00F80557">
            <w:pPr>
              <w:rPr>
                <w:rFonts w:ascii="Calibri" w:hAnsi="Calibri" w:cs="Calibri"/>
                <w:color w:val="000000"/>
                <w:sz w:val="18"/>
                <w:szCs w:val="18"/>
              </w:rPr>
            </w:pPr>
            <w:r>
              <w:rPr>
                <w:rFonts w:ascii="Calibri" w:hAnsi="Calibri" w:cs="Calibri"/>
                <w:color w:val="000000"/>
                <w:sz w:val="18"/>
                <w:szCs w:val="18"/>
              </w:rPr>
              <w:t>$                      9,060.28</w:t>
            </w: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832" w:type="dxa"/>
            <w:tcBorders>
              <w:top w:val="nil"/>
              <w:left w:val="single" w:sz="4" w:space="0" w:color="auto"/>
              <w:bottom w:val="single" w:sz="4" w:space="0" w:color="auto"/>
              <w:right w:val="single" w:sz="4" w:space="0" w:color="auto"/>
            </w:tcBorders>
            <w:noWrap/>
            <w:vAlign w:val="center"/>
            <w:hideMark/>
          </w:tcPr>
          <w:p w:rsidR="00F80557" w:rsidRDefault="00F80557">
            <w:pPr>
              <w:rPr>
                <w:rFonts w:ascii="Calibri" w:hAnsi="Calibri" w:cs="Calibri"/>
                <w:color w:val="000000"/>
                <w:sz w:val="18"/>
                <w:szCs w:val="18"/>
              </w:rPr>
            </w:pPr>
            <w:r>
              <w:rPr>
                <w:rFonts w:ascii="Calibri" w:hAnsi="Calibri" w:cs="Calibri"/>
                <w:color w:val="000000"/>
                <w:sz w:val="18"/>
                <w:szCs w:val="18"/>
              </w:rPr>
              <w:t>$                    35,659.53</w:t>
            </w: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Activos intangibles</w:t>
            </w:r>
          </w:p>
        </w:tc>
        <w:tc>
          <w:tcPr>
            <w:tcW w:w="1832" w:type="dxa"/>
            <w:tcBorders>
              <w:top w:val="nil"/>
              <w:left w:val="single" w:sz="4" w:space="0" w:color="auto"/>
              <w:bottom w:val="single" w:sz="4" w:space="0" w:color="auto"/>
              <w:right w:val="single" w:sz="4" w:space="0" w:color="auto"/>
            </w:tcBorders>
            <w:noWrap/>
            <w:vAlign w:val="bottom"/>
          </w:tcPr>
          <w:p w:rsidR="00F80557" w:rsidRDefault="00F80557">
            <w:pPr>
              <w:jc w:val="center"/>
              <w:rPr>
                <w:rFonts w:ascii="Calibri" w:hAnsi="Calibri" w:cs="Calibri"/>
                <w:color w:val="000000"/>
                <w:sz w:val="18"/>
                <w:szCs w:val="18"/>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Acciones y participaciones de capital</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Compra de títulos y valores</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Inversiones en fideicomisos, mandatos y otros análogos</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Provisiones para contingencias y otras erogaciones especiales</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Amortización de la deuda publica</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Adeudos de ejercicios fiscales anteriores (ADEFAS)</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23"/>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Otros Egresos Presupuestales No Contables</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52"/>
          <w:jc w:val="center"/>
        </w:trPr>
        <w:tc>
          <w:tcPr>
            <w:tcW w:w="6989" w:type="dxa"/>
            <w:tcBorders>
              <w:top w:val="single" w:sz="4" w:space="0" w:color="auto"/>
              <w:left w:val="single" w:sz="4" w:space="0" w:color="auto"/>
              <w:bottom w:val="single" w:sz="4" w:space="0" w:color="auto"/>
              <w:right w:val="single" w:sz="4" w:space="0" w:color="auto"/>
            </w:tcBorders>
            <w:noWrap/>
            <w:vAlign w:val="bottom"/>
            <w:hideMark/>
          </w:tcPr>
          <w:p w:rsidR="00F80557" w:rsidRDefault="00F80557">
            <w:pPr>
              <w:rPr>
                <w:rFonts w:ascii="Arial" w:hAnsi="Arial" w:cs="Arial"/>
                <w:b/>
                <w:bCs/>
                <w:color w:val="000000"/>
                <w:sz w:val="18"/>
                <w:szCs w:val="18"/>
                <w:lang w:eastAsia="es-MX"/>
              </w:rPr>
            </w:pPr>
            <w:r>
              <w:rPr>
                <w:rFonts w:ascii="Arial" w:hAnsi="Arial" w:cs="Arial"/>
                <w:b/>
                <w:bCs/>
                <w:color w:val="000000"/>
                <w:sz w:val="18"/>
                <w:szCs w:val="18"/>
                <w:lang w:eastAsia="es-MX"/>
              </w:rPr>
              <w:t>3. Mas gastos contables no presupuestales</w:t>
            </w:r>
          </w:p>
        </w:tc>
        <w:tc>
          <w:tcPr>
            <w:tcW w:w="1832" w:type="dxa"/>
            <w:tcBorders>
              <w:top w:val="single" w:sz="4" w:space="0" w:color="auto"/>
              <w:left w:val="nil"/>
              <w:bottom w:val="single" w:sz="4" w:space="0" w:color="auto"/>
              <w:right w:val="single" w:sz="4" w:space="0" w:color="auto"/>
            </w:tcBorders>
            <w:noWrap/>
            <w:vAlign w:val="bottom"/>
            <w:hideMark/>
          </w:tcPr>
          <w:p w:rsidR="00F80557" w:rsidRDefault="00F80557">
            <w:pPr>
              <w:rPr>
                <w:rFonts w:ascii="Arial" w:hAnsi="Arial" w:cs="Arial"/>
                <w:b/>
                <w:bCs/>
                <w:color w:val="000000"/>
                <w:sz w:val="18"/>
                <w:szCs w:val="18"/>
                <w:lang w:eastAsia="es-MX"/>
              </w:rPr>
            </w:pPr>
            <w:r>
              <w:rPr>
                <w:rFonts w:ascii="Arial" w:hAnsi="Arial" w:cs="Arial"/>
                <w:b/>
                <w:bCs/>
                <w:color w:val="000000"/>
                <w:sz w:val="18"/>
                <w:szCs w:val="18"/>
                <w:lang w:eastAsia="es-MX"/>
              </w:rPr>
              <w:t> </w:t>
            </w:r>
          </w:p>
        </w:tc>
        <w:tc>
          <w:tcPr>
            <w:tcW w:w="2087" w:type="dxa"/>
            <w:tcBorders>
              <w:top w:val="single" w:sz="4" w:space="0" w:color="auto"/>
              <w:left w:val="nil"/>
              <w:bottom w:val="single" w:sz="4" w:space="0" w:color="auto"/>
              <w:right w:val="single" w:sz="4" w:space="0" w:color="auto"/>
            </w:tcBorders>
            <w:noWrap/>
            <w:hideMark/>
          </w:tcPr>
          <w:p w:rsidR="00F80557" w:rsidRDefault="00F80557">
            <w:pPr>
              <w:jc w:val="center"/>
              <w:rPr>
                <w:rFonts w:ascii="Arial" w:hAnsi="Arial" w:cs="Arial"/>
                <w:b/>
                <w:bCs/>
                <w:color w:val="000000"/>
                <w:sz w:val="18"/>
                <w:szCs w:val="18"/>
                <w:lang w:eastAsia="es-MX"/>
              </w:rPr>
            </w:pPr>
            <w:r>
              <w:rPr>
                <w:rFonts w:ascii="Arial" w:hAnsi="Arial" w:cs="Arial"/>
                <w:b/>
                <w:bCs/>
                <w:color w:val="000000"/>
                <w:sz w:val="18"/>
                <w:szCs w:val="18"/>
                <w:lang w:eastAsia="es-MX"/>
              </w:rPr>
              <w:t>$              2,128,831.96</w:t>
            </w:r>
          </w:p>
        </w:tc>
      </w:tr>
      <w:tr w:rsidR="00F80557" w:rsidTr="00A14B06">
        <w:trPr>
          <w:trHeight w:val="139"/>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Estimaciones, depreciaciones, deterioros, obsolescencia y amortizaciones</w:t>
            </w:r>
          </w:p>
        </w:tc>
        <w:tc>
          <w:tcPr>
            <w:tcW w:w="1832" w:type="dxa"/>
            <w:tcBorders>
              <w:top w:val="nil"/>
              <w:left w:val="single" w:sz="4" w:space="0" w:color="auto"/>
              <w:bottom w:val="single" w:sz="4" w:space="0" w:color="auto"/>
              <w:right w:val="single" w:sz="4" w:space="0" w:color="auto"/>
            </w:tcBorders>
            <w:noWrap/>
            <w:vAlign w:val="bottom"/>
            <w:hideMark/>
          </w:tcPr>
          <w:p w:rsidR="00F80557" w:rsidRDefault="00F80557">
            <w:pPr>
              <w:rPr>
                <w:rFonts w:ascii="Calibri" w:hAnsi="Calibri" w:cs="Calibri"/>
                <w:color w:val="000000"/>
                <w:sz w:val="18"/>
                <w:szCs w:val="18"/>
              </w:rPr>
            </w:pPr>
            <w:r>
              <w:rPr>
                <w:rFonts w:ascii="Calibri" w:hAnsi="Calibri" w:cs="Calibri"/>
                <w:color w:val="000000"/>
                <w:sz w:val="18"/>
                <w:szCs w:val="18"/>
              </w:rPr>
              <w:t>$               2,126,901.61</w:t>
            </w: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Provisiones</w:t>
            </w:r>
          </w:p>
        </w:tc>
        <w:tc>
          <w:tcPr>
            <w:tcW w:w="1832" w:type="dxa"/>
            <w:tcBorders>
              <w:top w:val="nil"/>
              <w:left w:val="single" w:sz="4" w:space="0" w:color="auto"/>
              <w:bottom w:val="single" w:sz="4" w:space="0" w:color="auto"/>
              <w:right w:val="single" w:sz="4" w:space="0" w:color="auto"/>
            </w:tcBorders>
            <w:noWrap/>
            <w:vAlign w:val="bottom"/>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auto"/>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Disminución de inventarios</w:t>
            </w:r>
          </w:p>
        </w:tc>
        <w:tc>
          <w:tcPr>
            <w:tcW w:w="1832" w:type="dxa"/>
            <w:tcBorders>
              <w:top w:val="nil"/>
              <w:left w:val="single" w:sz="4" w:space="0" w:color="auto"/>
              <w:bottom w:val="single" w:sz="4" w:space="0" w:color="auto"/>
              <w:right w:val="single" w:sz="4" w:space="0" w:color="auto"/>
            </w:tcBorders>
            <w:noWrap/>
            <w:vAlign w:val="bottom"/>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282"/>
          <w:jc w:val="center"/>
        </w:trPr>
        <w:tc>
          <w:tcPr>
            <w:tcW w:w="6989" w:type="dxa"/>
            <w:tcBorders>
              <w:top w:val="single" w:sz="4" w:space="0" w:color="auto"/>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Aumento por insuficiencia de estimaciones por pérdida o deterioro u obsolescencia</w:t>
            </w:r>
          </w:p>
        </w:tc>
        <w:tc>
          <w:tcPr>
            <w:tcW w:w="1832" w:type="dxa"/>
            <w:tcBorders>
              <w:top w:val="single" w:sz="4" w:space="0" w:color="auto"/>
              <w:left w:val="single" w:sz="4" w:space="0" w:color="auto"/>
              <w:bottom w:val="single" w:sz="4" w:space="0" w:color="auto"/>
              <w:right w:val="single" w:sz="4" w:space="0" w:color="auto"/>
            </w:tcBorders>
            <w:noWrap/>
            <w:vAlign w:val="bottom"/>
            <w:hideMark/>
          </w:tcPr>
          <w:p w:rsidR="00F80557" w:rsidRDefault="00F80557">
            <w:pPr>
              <w:rPr>
                <w:sz w:val="20"/>
                <w:szCs w:val="20"/>
                <w:lang w:eastAsia="es-MX"/>
              </w:rPr>
            </w:pPr>
          </w:p>
        </w:tc>
        <w:tc>
          <w:tcPr>
            <w:tcW w:w="2087" w:type="dxa"/>
            <w:tcBorders>
              <w:top w:val="single" w:sz="4" w:space="0" w:color="auto"/>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Aumento por insuficiencia de provisiones</w:t>
            </w:r>
          </w:p>
        </w:tc>
        <w:tc>
          <w:tcPr>
            <w:tcW w:w="1832" w:type="dxa"/>
            <w:tcBorders>
              <w:top w:val="nil"/>
              <w:left w:val="single" w:sz="4" w:space="0" w:color="auto"/>
              <w:bottom w:val="single" w:sz="4" w:space="0" w:color="auto"/>
              <w:right w:val="single" w:sz="4" w:space="0" w:color="auto"/>
            </w:tcBorders>
            <w:noWrap/>
            <w:vAlign w:val="bottom"/>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71"/>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Otros Gastos</w:t>
            </w:r>
          </w:p>
        </w:tc>
        <w:tc>
          <w:tcPr>
            <w:tcW w:w="1832" w:type="dxa"/>
            <w:tcBorders>
              <w:top w:val="nil"/>
              <w:left w:val="single" w:sz="4" w:space="0" w:color="auto"/>
              <w:bottom w:val="single" w:sz="4" w:space="0" w:color="auto"/>
              <w:right w:val="single" w:sz="4" w:space="0" w:color="auto"/>
            </w:tcBorders>
            <w:noWrap/>
            <w:vAlign w:val="bottom"/>
            <w:hideMark/>
          </w:tcPr>
          <w:p w:rsidR="00F80557" w:rsidRDefault="00F80557">
            <w:pPr>
              <w:rPr>
                <w:rFonts w:ascii="Calibri" w:hAnsi="Calibri" w:cs="Calibri"/>
                <w:color w:val="000000"/>
                <w:sz w:val="18"/>
                <w:szCs w:val="18"/>
              </w:rPr>
            </w:pPr>
            <w:r>
              <w:rPr>
                <w:rFonts w:ascii="Calibri" w:hAnsi="Calibri" w:cs="Calibri"/>
                <w:color w:val="000000"/>
                <w:sz w:val="18"/>
                <w:szCs w:val="18"/>
              </w:rPr>
              <w:t>$                      1,930.35</w:t>
            </w: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39"/>
          <w:jc w:val="center"/>
        </w:trPr>
        <w:tc>
          <w:tcPr>
            <w:tcW w:w="6989" w:type="dxa"/>
            <w:tcBorders>
              <w:top w:val="nil"/>
              <w:left w:val="single" w:sz="4" w:space="0" w:color="000000"/>
              <w:bottom w:val="single" w:sz="4" w:space="0" w:color="000000"/>
              <w:right w:val="nil"/>
            </w:tcBorders>
            <w:hideMark/>
          </w:tcPr>
          <w:p w:rsidR="00F80557" w:rsidRDefault="00F80557">
            <w:pPr>
              <w:rPr>
                <w:rFonts w:ascii="Arial" w:hAnsi="Arial" w:cs="Arial"/>
                <w:color w:val="000000"/>
                <w:sz w:val="18"/>
                <w:szCs w:val="18"/>
                <w:lang w:eastAsia="es-MX"/>
              </w:rPr>
            </w:pPr>
            <w:r>
              <w:rPr>
                <w:rFonts w:ascii="Arial" w:hAnsi="Arial" w:cs="Arial"/>
                <w:color w:val="000000"/>
                <w:sz w:val="18"/>
                <w:szCs w:val="18"/>
                <w:lang w:eastAsia="es-MX"/>
              </w:rPr>
              <w:t>Otros Gastos Contables No Presupuestales</w:t>
            </w:r>
          </w:p>
        </w:tc>
        <w:tc>
          <w:tcPr>
            <w:tcW w:w="1832" w:type="dxa"/>
            <w:tcBorders>
              <w:top w:val="nil"/>
              <w:left w:val="single" w:sz="4" w:space="0" w:color="auto"/>
              <w:bottom w:val="single" w:sz="4" w:space="0" w:color="auto"/>
              <w:right w:val="single" w:sz="4" w:space="0" w:color="auto"/>
            </w:tcBorders>
            <w:noWrap/>
            <w:hideMark/>
          </w:tcPr>
          <w:p w:rsidR="00F80557" w:rsidRDefault="00F80557">
            <w:pPr>
              <w:rPr>
                <w:sz w:val="20"/>
                <w:szCs w:val="20"/>
                <w:lang w:eastAsia="es-MX"/>
              </w:rPr>
            </w:pPr>
          </w:p>
        </w:tc>
        <w:tc>
          <w:tcPr>
            <w:tcW w:w="2087" w:type="dxa"/>
            <w:tcBorders>
              <w:top w:val="nil"/>
              <w:left w:val="nil"/>
              <w:bottom w:val="single" w:sz="4" w:space="0" w:color="auto"/>
              <w:right w:val="single" w:sz="4" w:space="0" w:color="auto"/>
            </w:tcBorders>
            <w:noWrap/>
            <w:vAlign w:val="bottom"/>
            <w:hideMark/>
          </w:tcPr>
          <w:p w:rsidR="00F80557" w:rsidRDefault="00F80557">
            <w:pPr>
              <w:rPr>
                <w:rFonts w:ascii="Calibri" w:hAnsi="Calibri" w:cs="Calibri"/>
                <w:color w:val="000000"/>
                <w:sz w:val="22"/>
                <w:szCs w:val="22"/>
                <w:lang w:eastAsia="es-MX"/>
              </w:rPr>
            </w:pPr>
            <w:r>
              <w:rPr>
                <w:rFonts w:ascii="Calibri" w:hAnsi="Calibri" w:cs="Calibri"/>
                <w:color w:val="000000"/>
                <w:sz w:val="22"/>
                <w:szCs w:val="22"/>
                <w:lang w:eastAsia="es-MX"/>
              </w:rPr>
              <w:t> </w:t>
            </w:r>
          </w:p>
        </w:tc>
      </w:tr>
      <w:tr w:rsidR="00F80557" w:rsidTr="00A14B06">
        <w:trPr>
          <w:trHeight w:val="100"/>
          <w:jc w:val="center"/>
        </w:trPr>
        <w:tc>
          <w:tcPr>
            <w:tcW w:w="6989" w:type="dxa"/>
            <w:tcBorders>
              <w:top w:val="single" w:sz="4" w:space="0" w:color="auto"/>
              <w:left w:val="single" w:sz="4" w:space="0" w:color="auto"/>
              <w:bottom w:val="single" w:sz="4" w:space="0" w:color="auto"/>
              <w:right w:val="single" w:sz="4" w:space="0" w:color="auto"/>
            </w:tcBorders>
            <w:shd w:val="clear" w:color="auto" w:fill="A5A5A5"/>
            <w:hideMark/>
          </w:tcPr>
          <w:p w:rsidR="00F80557" w:rsidRDefault="00F80557">
            <w:pPr>
              <w:rPr>
                <w:rFonts w:ascii="Arial" w:hAnsi="Arial" w:cs="Arial"/>
                <w:b/>
                <w:bCs/>
                <w:color w:val="000000"/>
                <w:sz w:val="18"/>
                <w:szCs w:val="18"/>
                <w:lang w:eastAsia="es-MX"/>
              </w:rPr>
            </w:pPr>
            <w:r>
              <w:rPr>
                <w:rFonts w:ascii="Arial" w:hAnsi="Arial" w:cs="Arial"/>
                <w:b/>
                <w:bCs/>
                <w:color w:val="000000"/>
                <w:sz w:val="18"/>
                <w:szCs w:val="18"/>
                <w:lang w:eastAsia="es-MX"/>
              </w:rPr>
              <w:t>4. Total de Gasto Contable (4 = 1 - 2 + 3)</w:t>
            </w:r>
          </w:p>
        </w:tc>
        <w:tc>
          <w:tcPr>
            <w:tcW w:w="1832" w:type="dxa"/>
            <w:tcBorders>
              <w:top w:val="single" w:sz="4" w:space="0" w:color="auto"/>
              <w:left w:val="nil"/>
              <w:bottom w:val="single" w:sz="4" w:space="0" w:color="auto"/>
              <w:right w:val="single" w:sz="4" w:space="0" w:color="auto"/>
            </w:tcBorders>
            <w:hideMark/>
          </w:tcPr>
          <w:p w:rsidR="00F80557" w:rsidRDefault="00F80557">
            <w:pPr>
              <w:rPr>
                <w:rFonts w:ascii="Arial" w:hAnsi="Arial" w:cs="Arial"/>
                <w:b/>
                <w:bCs/>
                <w:color w:val="000000"/>
                <w:sz w:val="18"/>
                <w:szCs w:val="18"/>
                <w:lang w:eastAsia="es-MX"/>
              </w:rPr>
            </w:pPr>
            <w:r>
              <w:rPr>
                <w:rFonts w:ascii="Arial" w:hAnsi="Arial" w:cs="Arial"/>
                <w:b/>
                <w:bCs/>
                <w:color w:val="000000"/>
                <w:sz w:val="18"/>
                <w:szCs w:val="18"/>
                <w:lang w:eastAsia="es-MX"/>
              </w:rPr>
              <w:t> </w:t>
            </w:r>
          </w:p>
        </w:tc>
        <w:tc>
          <w:tcPr>
            <w:tcW w:w="2087" w:type="dxa"/>
            <w:tcBorders>
              <w:top w:val="single" w:sz="4" w:space="0" w:color="000000"/>
              <w:left w:val="nil"/>
              <w:bottom w:val="single" w:sz="4" w:space="0" w:color="000000"/>
              <w:right w:val="single" w:sz="4" w:space="0" w:color="000000"/>
            </w:tcBorders>
            <w:noWrap/>
            <w:hideMark/>
          </w:tcPr>
          <w:p w:rsidR="00F80557" w:rsidRDefault="00F80557">
            <w:pPr>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 $            59,250,305.93</w:t>
            </w:r>
          </w:p>
        </w:tc>
      </w:tr>
    </w:tbl>
    <w:p w:rsidR="00F80557" w:rsidRPr="00F80557" w:rsidRDefault="00F80557" w:rsidP="00F80557">
      <w:pPr>
        <w:pStyle w:val="Sangradetextonormal"/>
        <w:tabs>
          <w:tab w:val="left" w:pos="7655"/>
        </w:tabs>
        <w:ind w:left="0"/>
        <w:jc w:val="both"/>
        <w:rPr>
          <w:rFonts w:ascii="Calibri" w:hAnsi="Calibri"/>
          <w:b/>
          <w:sz w:val="20"/>
          <w:szCs w:val="20"/>
        </w:rPr>
      </w:pPr>
    </w:p>
    <w:p w:rsidR="00F80557" w:rsidRPr="00F80557" w:rsidRDefault="00F80557" w:rsidP="00F80557">
      <w:pPr>
        <w:rPr>
          <w:rFonts w:ascii="Calibri" w:hAnsi="Calibri" w:cs="Calibri"/>
          <w:b/>
          <w:sz w:val="20"/>
          <w:szCs w:val="20"/>
          <w:u w:val="single"/>
        </w:rPr>
      </w:pPr>
    </w:p>
    <w:p w:rsidR="00F80557" w:rsidRPr="00F80557" w:rsidRDefault="00F80557" w:rsidP="00F80557">
      <w:pPr>
        <w:rPr>
          <w:rFonts w:ascii="Calibri" w:hAnsi="Calibri" w:cs="Calibri"/>
          <w:b/>
          <w:sz w:val="20"/>
          <w:szCs w:val="20"/>
          <w:u w:val="single"/>
        </w:rPr>
      </w:pPr>
    </w:p>
    <w:p w:rsidR="00F80557" w:rsidRPr="00F80557" w:rsidRDefault="00F80557" w:rsidP="00F80557">
      <w:pPr>
        <w:rPr>
          <w:rFonts w:ascii="Calibri" w:hAnsi="Calibri" w:cs="Calibri"/>
          <w:b/>
          <w:sz w:val="20"/>
          <w:szCs w:val="20"/>
          <w:u w:val="single"/>
        </w:rPr>
      </w:pPr>
    </w:p>
    <w:p w:rsidR="00F80557" w:rsidRPr="00F80557" w:rsidRDefault="00F80557" w:rsidP="00F80557">
      <w:pPr>
        <w:rPr>
          <w:rFonts w:ascii="Calibri" w:hAnsi="Calibri" w:cs="Calibri"/>
          <w:b/>
          <w:sz w:val="20"/>
          <w:szCs w:val="20"/>
          <w:u w:val="single"/>
        </w:rPr>
      </w:pPr>
    </w:p>
    <w:p w:rsidR="00F80557" w:rsidRPr="00F80557" w:rsidRDefault="00F80557" w:rsidP="00F80557">
      <w:pPr>
        <w:rPr>
          <w:rFonts w:ascii="Calibri" w:hAnsi="Calibri" w:cs="Calibri"/>
          <w:b/>
          <w:sz w:val="20"/>
          <w:szCs w:val="20"/>
          <w:u w:val="single"/>
        </w:rPr>
      </w:pPr>
      <w:r w:rsidRPr="00F80557">
        <w:rPr>
          <w:rFonts w:ascii="Calibri" w:hAnsi="Calibri" w:cs="Calibri"/>
          <w:b/>
          <w:sz w:val="20"/>
          <w:szCs w:val="20"/>
          <w:u w:val="single"/>
        </w:rPr>
        <w:t>NOTAS DE MEMORIA</w:t>
      </w:r>
    </w:p>
    <w:p w:rsidR="00F80557" w:rsidRPr="00F80557" w:rsidRDefault="00F80557" w:rsidP="00F80557">
      <w:pPr>
        <w:rPr>
          <w:rFonts w:ascii="Calibri" w:hAnsi="Calibri" w:cs="Calibri"/>
          <w:b/>
          <w:sz w:val="20"/>
          <w:szCs w:val="20"/>
        </w:rPr>
      </w:pPr>
    </w:p>
    <w:p w:rsidR="00F80557" w:rsidRPr="00F80557" w:rsidRDefault="00F80557" w:rsidP="00F80557">
      <w:pPr>
        <w:pStyle w:val="Ttulo6"/>
        <w:pBdr>
          <w:bottom w:val="single" w:sz="4" w:space="2" w:color="auto"/>
          <w:right w:val="single" w:sz="4" w:space="0" w:color="auto"/>
        </w:pBdr>
        <w:jc w:val="both"/>
        <w:rPr>
          <w:rFonts w:ascii="Calibri" w:hAnsi="Calibri"/>
          <w:sz w:val="20"/>
          <w:szCs w:val="20"/>
        </w:rPr>
      </w:pPr>
      <w:r w:rsidRPr="00F80557">
        <w:rPr>
          <w:rFonts w:ascii="Calibri" w:hAnsi="Calibri"/>
          <w:sz w:val="20"/>
          <w:szCs w:val="20"/>
        </w:rPr>
        <w:t>Nota  11 Cuentas de Orden Presupuestal</w:t>
      </w:r>
    </w:p>
    <w:p w:rsidR="00F80557" w:rsidRPr="00F80557" w:rsidRDefault="00F80557" w:rsidP="00F80557">
      <w:pPr>
        <w:rPr>
          <w:rFonts w:ascii="Calibri" w:hAnsi="Calibri" w:cs="Calibri"/>
          <w:b/>
          <w:sz w:val="20"/>
          <w:szCs w:val="20"/>
        </w:rPr>
      </w:pPr>
    </w:p>
    <w:p w:rsidR="00F80557" w:rsidRPr="00F80557" w:rsidRDefault="00F80557" w:rsidP="00F80557">
      <w:pPr>
        <w:pStyle w:val="Sangradetextonormal"/>
        <w:tabs>
          <w:tab w:val="left" w:pos="7655"/>
        </w:tabs>
        <w:ind w:left="0"/>
        <w:jc w:val="both"/>
        <w:rPr>
          <w:rFonts w:ascii="Calibri" w:hAnsi="Calibri"/>
          <w:sz w:val="20"/>
          <w:szCs w:val="20"/>
        </w:rPr>
      </w:pPr>
      <w:r w:rsidRPr="00F80557">
        <w:rPr>
          <w:rFonts w:ascii="Calibri" w:hAnsi="Calibri"/>
          <w:sz w:val="20"/>
          <w:szCs w:val="20"/>
        </w:rPr>
        <w:t>Al 31 de diciembre de 2017 en cumplimiento a lo establecido en la Ley General de Contabilidad Gubernamental, los momentos contables de los ingresos y de los egresos se registran en cuentas de orden presupuestal:</w:t>
      </w:r>
    </w:p>
    <w:p w:rsidR="00F80557" w:rsidRPr="00F80557" w:rsidRDefault="00F80557" w:rsidP="00F80557">
      <w:pPr>
        <w:pStyle w:val="Sangradetextonormal"/>
        <w:tabs>
          <w:tab w:val="left" w:pos="7655"/>
        </w:tabs>
        <w:ind w:left="0"/>
        <w:jc w:val="both"/>
        <w:rPr>
          <w:rFonts w:ascii="Calibri" w:hAnsi="Calibri"/>
          <w:b/>
          <w:sz w:val="20"/>
          <w:szCs w:val="20"/>
        </w:rPr>
      </w:pPr>
    </w:p>
    <w:tbl>
      <w:tblPr>
        <w:tblW w:w="0" w:type="auto"/>
        <w:jc w:val="center"/>
        <w:tblInd w:w="4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3677"/>
        <w:gridCol w:w="1998"/>
      </w:tblGrid>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center"/>
              <w:rPr>
                <w:rFonts w:ascii="Calibri" w:hAnsi="Calibri" w:cs="Calibri"/>
                <w:bCs/>
                <w:color w:val="000000"/>
                <w:sz w:val="22"/>
                <w:szCs w:val="22"/>
                <w:u w:val="single"/>
              </w:rPr>
            </w:pPr>
            <w:r w:rsidRPr="00CD0F35">
              <w:rPr>
                <w:rFonts w:ascii="Calibri" w:hAnsi="Calibri" w:cs="Calibri"/>
                <w:bCs/>
                <w:color w:val="000000"/>
                <w:sz w:val="22"/>
                <w:szCs w:val="22"/>
                <w:u w:val="single"/>
              </w:rPr>
              <w:t>Cuenta</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center"/>
              <w:rPr>
                <w:rFonts w:ascii="Calibri" w:hAnsi="Calibri" w:cs="Calibri"/>
                <w:bCs/>
                <w:color w:val="000000"/>
                <w:sz w:val="22"/>
                <w:szCs w:val="22"/>
                <w:u w:val="single"/>
              </w:rPr>
            </w:pPr>
            <w:r w:rsidRPr="00CD0F35">
              <w:rPr>
                <w:rFonts w:ascii="Calibri" w:hAnsi="Calibri" w:cs="Calibri"/>
                <w:bCs/>
                <w:color w:val="000000"/>
                <w:sz w:val="22"/>
                <w:szCs w:val="22"/>
                <w:u w:val="single"/>
              </w:rPr>
              <w:t xml:space="preserve">   LEY DE INGRESOS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F80557" w:rsidRPr="00CD0F35" w:rsidRDefault="00F80557">
            <w:pPr>
              <w:rPr>
                <w:rFonts w:ascii="Arial" w:hAnsi="Arial" w:cs="Arial"/>
                <w:b/>
                <w:bCs/>
                <w:color w:val="000000"/>
                <w:sz w:val="20"/>
                <w:szCs w:val="20"/>
                <w:u w:val="single"/>
              </w:rPr>
            </w:pP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8110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Ley de Ingresos Estimada</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$65,974,683.90</w:t>
            </w:r>
          </w:p>
        </w:tc>
      </w:tr>
      <w:tr w:rsidR="00CD0F35" w:rsidRPr="00CD0F35" w:rsidTr="00CD0F35">
        <w:trPr>
          <w:trHeight w:val="177"/>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8120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Ley de Ingresos Por Ejecutar</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$629.90</w:t>
            </w: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8140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Ley de Ingresos Devengada</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$65,974,054.00</w:t>
            </w: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8150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Ley de Ingresos Recaudada</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$65,974,054.00</w:t>
            </w: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F80557" w:rsidRPr="00CD0F35" w:rsidRDefault="00F80557" w:rsidP="00CD0F35">
            <w:pPr>
              <w:jc w:val="center"/>
              <w:rPr>
                <w:rFonts w:ascii="Calibri" w:hAnsi="Calibri" w:cs="Calibri"/>
                <w:bCs/>
                <w:color w:val="000000"/>
                <w:sz w:val="22"/>
                <w:szCs w:val="22"/>
                <w:u w:val="single"/>
              </w:rPr>
            </w:pP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center"/>
              <w:rPr>
                <w:rFonts w:ascii="Calibri" w:hAnsi="Calibri" w:cs="Calibri"/>
                <w:sz w:val="22"/>
                <w:szCs w:val="22"/>
              </w:rPr>
            </w:pPr>
            <w:r w:rsidRPr="00CD0F35">
              <w:rPr>
                <w:rFonts w:ascii="Calibri" w:hAnsi="Calibri" w:cs="Calibri"/>
                <w:bCs/>
                <w:color w:val="000000"/>
                <w:sz w:val="22"/>
                <w:szCs w:val="22"/>
                <w:u w:val="single"/>
              </w:rPr>
              <w:t xml:space="preserve">   PRESUPUESTO DE EGRESOS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F80557" w:rsidRPr="00CD0F35" w:rsidRDefault="00F80557" w:rsidP="00CD0F35">
            <w:pPr>
              <w:pStyle w:val="Sangradetextonormal"/>
              <w:tabs>
                <w:tab w:val="left" w:pos="7655"/>
              </w:tabs>
              <w:ind w:left="0"/>
              <w:jc w:val="right"/>
              <w:rPr>
                <w:rFonts w:ascii="Calibri" w:hAnsi="Calibri"/>
                <w:b/>
                <w:sz w:val="18"/>
                <w:szCs w:val="18"/>
              </w:rPr>
            </w:pP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8210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Presupuesto de Egresos Aprobado</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$65,975,245.89</w:t>
            </w: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8220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Presupuesto de Egresos Por Ejercer</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$8,104,141.28</w:t>
            </w: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8240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Presupuesto de Egresos Comprometido</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$57,871,103.81</w:t>
            </w: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8250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Presupuesto de Egresos Devengado</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$57,871,103.81</w:t>
            </w: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8260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Presupuesto de Egresos Ejercido</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$57,871,103.81</w:t>
            </w:r>
          </w:p>
        </w:tc>
      </w:tr>
      <w:tr w:rsidR="00CD0F35" w:rsidRPr="00CD0F35" w:rsidTr="00CD0F35">
        <w:trPr>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8270</w:t>
            </w:r>
          </w:p>
        </w:tc>
        <w:tc>
          <w:tcPr>
            <w:tcW w:w="3677"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pPr>
              <w:rPr>
                <w:rFonts w:ascii="Calibri" w:hAnsi="Calibri" w:cs="Calibri"/>
                <w:color w:val="000000"/>
                <w:sz w:val="20"/>
                <w:szCs w:val="20"/>
              </w:rPr>
            </w:pPr>
            <w:r w:rsidRPr="00CD0F35">
              <w:rPr>
                <w:rFonts w:ascii="Calibri" w:hAnsi="Calibri" w:cs="Calibri"/>
                <w:color w:val="000000"/>
                <w:sz w:val="20"/>
                <w:szCs w:val="20"/>
              </w:rPr>
              <w:t xml:space="preserve">     Presupuesto de Egresos Pagado</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F80557" w:rsidRPr="00CD0F35" w:rsidRDefault="00F80557" w:rsidP="00CD0F35">
            <w:pPr>
              <w:jc w:val="right"/>
              <w:rPr>
                <w:rFonts w:ascii="Calibri" w:hAnsi="Calibri" w:cs="Calibri"/>
                <w:color w:val="000000"/>
                <w:sz w:val="18"/>
                <w:szCs w:val="18"/>
              </w:rPr>
            </w:pPr>
            <w:r w:rsidRPr="00CD0F35">
              <w:rPr>
                <w:rFonts w:ascii="Calibri" w:hAnsi="Calibri" w:cs="Calibri"/>
                <w:color w:val="000000"/>
                <w:sz w:val="18"/>
                <w:szCs w:val="18"/>
              </w:rPr>
              <w:t>$57,871,103.81</w:t>
            </w:r>
          </w:p>
        </w:tc>
      </w:tr>
    </w:tbl>
    <w:p w:rsidR="00941BF1" w:rsidRDefault="00941BF1" w:rsidP="00941BF1">
      <w:pPr>
        <w:rPr>
          <w:rFonts w:ascii="Calibri" w:hAnsi="Calibri" w:cs="Calibri"/>
          <w:b/>
          <w:sz w:val="20"/>
          <w:szCs w:val="20"/>
        </w:rPr>
      </w:pPr>
    </w:p>
    <w:p w:rsidR="00F865DC" w:rsidRDefault="00F865DC" w:rsidP="00941BF1">
      <w:pPr>
        <w:rPr>
          <w:rFonts w:ascii="Calibri" w:hAnsi="Calibri" w:cs="Calibri"/>
          <w:b/>
          <w:sz w:val="20"/>
          <w:szCs w:val="20"/>
        </w:rPr>
      </w:pPr>
    </w:p>
    <w:p w:rsidR="00F865DC" w:rsidRDefault="00F865DC" w:rsidP="00941BF1">
      <w:pPr>
        <w:rPr>
          <w:rFonts w:ascii="Calibri" w:hAnsi="Calibri" w:cs="Calibri"/>
          <w:b/>
          <w:sz w:val="20"/>
          <w:szCs w:val="20"/>
        </w:rPr>
      </w:pPr>
    </w:p>
    <w:p w:rsidR="00941BF1" w:rsidRPr="00941BF1" w:rsidRDefault="008417F0" w:rsidP="00941BF1">
      <w:pPr>
        <w:rPr>
          <w:rFonts w:ascii="Calibri" w:hAnsi="Calibri" w:cs="Calibri"/>
          <w:sz w:val="20"/>
          <w:szCs w:val="20"/>
        </w:rPr>
      </w:pPr>
      <w:r>
        <w:rPr>
          <w:rFonts w:ascii="Calibri" w:hAnsi="Calibri" w:cs="Calibri"/>
          <w:sz w:val="20"/>
          <w:szCs w:val="20"/>
        </w:rPr>
        <w:t xml:space="preserve">Bajo protesta de decir </w:t>
      </w:r>
      <w:r w:rsidR="00941BF1" w:rsidRPr="00941BF1">
        <w:rPr>
          <w:rFonts w:ascii="Calibri" w:hAnsi="Calibri" w:cs="Calibri"/>
          <w:sz w:val="20"/>
          <w:szCs w:val="20"/>
        </w:rPr>
        <w:t>verdad declaramos que los Estados Financieros y</w:t>
      </w:r>
      <w:r w:rsidR="00941BF1">
        <w:rPr>
          <w:rFonts w:ascii="Calibri" w:hAnsi="Calibri" w:cs="Calibri"/>
          <w:sz w:val="20"/>
          <w:szCs w:val="20"/>
        </w:rPr>
        <w:t xml:space="preserve"> sus N</w:t>
      </w:r>
      <w:r w:rsidR="00941BF1" w:rsidRPr="00941BF1">
        <w:rPr>
          <w:rFonts w:ascii="Calibri" w:hAnsi="Calibri" w:cs="Calibri"/>
          <w:sz w:val="20"/>
          <w:szCs w:val="20"/>
        </w:rPr>
        <w:t>otas son razonablemente correctos y responsabilidad del emisor.</w:t>
      </w:r>
    </w:p>
    <w:p w:rsidR="004A7723" w:rsidRPr="005D36C8" w:rsidRDefault="004A7723" w:rsidP="00237F98">
      <w:pPr>
        <w:rPr>
          <w:rFonts w:ascii="Arial" w:hAnsi="Arial" w:cs="Arial"/>
          <w:b/>
          <w:sz w:val="20"/>
          <w:szCs w:val="20"/>
        </w:rPr>
      </w:pPr>
    </w:p>
    <w:p w:rsidR="004A7723" w:rsidRPr="005D36C8" w:rsidRDefault="004A7723" w:rsidP="00DF3CDB">
      <w:pPr>
        <w:pStyle w:val="Sangradetextonormal"/>
        <w:tabs>
          <w:tab w:val="left" w:pos="7655"/>
        </w:tabs>
        <w:jc w:val="both"/>
        <w:rPr>
          <w:rFonts w:ascii="Arial" w:hAnsi="Arial" w:cs="Arial"/>
          <w:b/>
          <w:sz w:val="20"/>
          <w:szCs w:val="20"/>
        </w:rPr>
      </w:pPr>
    </w:p>
    <w:sectPr w:rsidR="004A7723" w:rsidRPr="005D36C8" w:rsidSect="00982C2A">
      <w:headerReference w:type="default" r:id="rId8"/>
      <w:footerReference w:type="even" r:id="rId9"/>
      <w:pgSz w:w="15840" w:h="12240" w:orient="landscape"/>
      <w:pgMar w:top="2835" w:right="1134" w:bottom="1701"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B6" w:rsidRDefault="00CE2CB6">
      <w:r>
        <w:separator/>
      </w:r>
    </w:p>
  </w:endnote>
  <w:endnote w:type="continuationSeparator" w:id="0">
    <w:p w:rsidR="00CE2CB6" w:rsidRDefault="00CE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23" w:rsidRDefault="00CA1FCD">
    <w:pPr>
      <w:pStyle w:val="Piedepgina"/>
      <w:framePr w:wrap="around" w:vAnchor="text" w:hAnchor="margin" w:xAlign="right" w:y="1"/>
      <w:rPr>
        <w:rStyle w:val="Nmerodepgina"/>
      </w:rPr>
    </w:pPr>
    <w:r>
      <w:rPr>
        <w:rStyle w:val="Nmerodepgina"/>
      </w:rPr>
      <w:fldChar w:fldCharType="begin"/>
    </w:r>
    <w:r w:rsidR="004A7723">
      <w:rPr>
        <w:rStyle w:val="Nmerodepgina"/>
      </w:rPr>
      <w:instrText xml:space="preserve">PAGE  </w:instrText>
    </w:r>
    <w:r>
      <w:rPr>
        <w:rStyle w:val="Nmerodepgina"/>
      </w:rPr>
      <w:fldChar w:fldCharType="separate"/>
    </w:r>
    <w:r w:rsidR="004A7723">
      <w:rPr>
        <w:rStyle w:val="Nmerodepgina"/>
        <w:noProof/>
      </w:rPr>
      <w:t>11</w:t>
    </w:r>
    <w:r>
      <w:rPr>
        <w:rStyle w:val="Nmerodepgina"/>
      </w:rPr>
      <w:fldChar w:fldCharType="end"/>
    </w:r>
  </w:p>
  <w:p w:rsidR="004A7723" w:rsidRDefault="004A7723">
    <w:pPr>
      <w:pStyle w:val="Piedepgina"/>
      <w:ind w:right="360"/>
    </w:pPr>
  </w:p>
  <w:p w:rsidR="004A7723" w:rsidRDefault="004A7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B6" w:rsidRDefault="00CE2CB6">
      <w:r>
        <w:separator/>
      </w:r>
    </w:p>
  </w:footnote>
  <w:footnote w:type="continuationSeparator" w:id="0">
    <w:p w:rsidR="00CE2CB6" w:rsidRDefault="00CE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23" w:rsidRDefault="004A7723" w:rsidP="00DF3CDB">
    <w:pPr>
      <w:pStyle w:val="Encabezado"/>
      <w:jc w:val="center"/>
      <w:rPr>
        <w:rFonts w:ascii="Calibri" w:hAnsi="Calibri"/>
        <w:b/>
        <w:sz w:val="20"/>
        <w:szCs w:val="20"/>
        <w:lang w:val="es-ES"/>
      </w:rPr>
    </w:pPr>
  </w:p>
  <w:p w:rsidR="004A7723" w:rsidRPr="00DF3CDB" w:rsidRDefault="004A7723" w:rsidP="00DF3CDB">
    <w:pPr>
      <w:pStyle w:val="Encabezado"/>
      <w:jc w:val="center"/>
      <w:rPr>
        <w:rFonts w:ascii="Calibri" w:hAnsi="Calibri"/>
        <w:b/>
        <w:sz w:val="20"/>
        <w:szCs w:val="20"/>
        <w:lang w:val="es-ES"/>
      </w:rPr>
    </w:pPr>
  </w:p>
  <w:p w:rsidR="004A7723" w:rsidRPr="00DF3CDB" w:rsidRDefault="004A7723">
    <w:pPr>
      <w:rPr>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89E14BF"/>
    <w:multiLevelType w:val="hybridMultilevel"/>
    <w:tmpl w:val="C742A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694C70"/>
    <w:multiLevelType w:val="hybridMultilevel"/>
    <w:tmpl w:val="2D9C311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8527EFA"/>
    <w:multiLevelType w:val="hybridMultilevel"/>
    <w:tmpl w:val="02EC8C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5856AB6"/>
    <w:multiLevelType w:val="hybridMultilevel"/>
    <w:tmpl w:val="51CEBC2E"/>
    <w:lvl w:ilvl="0" w:tplc="080A0017">
      <w:start w:val="5"/>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26F"/>
    <w:rsid w:val="00004055"/>
    <w:rsid w:val="00010DD1"/>
    <w:rsid w:val="000122D6"/>
    <w:rsid w:val="00015AEA"/>
    <w:rsid w:val="00015BF8"/>
    <w:rsid w:val="00016B70"/>
    <w:rsid w:val="00024214"/>
    <w:rsid w:val="00026540"/>
    <w:rsid w:val="00030F86"/>
    <w:rsid w:val="000358B8"/>
    <w:rsid w:val="00035D71"/>
    <w:rsid w:val="00036289"/>
    <w:rsid w:val="000378C2"/>
    <w:rsid w:val="00044CA9"/>
    <w:rsid w:val="00045BEA"/>
    <w:rsid w:val="00051645"/>
    <w:rsid w:val="00053E92"/>
    <w:rsid w:val="00055144"/>
    <w:rsid w:val="00057F14"/>
    <w:rsid w:val="0006190C"/>
    <w:rsid w:val="0006589F"/>
    <w:rsid w:val="0007080F"/>
    <w:rsid w:val="000735A1"/>
    <w:rsid w:val="000753B8"/>
    <w:rsid w:val="00076907"/>
    <w:rsid w:val="00083582"/>
    <w:rsid w:val="00087921"/>
    <w:rsid w:val="00090808"/>
    <w:rsid w:val="00097CC6"/>
    <w:rsid w:val="000A3771"/>
    <w:rsid w:val="000A583C"/>
    <w:rsid w:val="000A705C"/>
    <w:rsid w:val="000B1283"/>
    <w:rsid w:val="000B5EB7"/>
    <w:rsid w:val="000C181A"/>
    <w:rsid w:val="000C2F0A"/>
    <w:rsid w:val="000C462E"/>
    <w:rsid w:val="000D4798"/>
    <w:rsid w:val="000D6356"/>
    <w:rsid w:val="000D7832"/>
    <w:rsid w:val="000E5D63"/>
    <w:rsid w:val="000F4D1D"/>
    <w:rsid w:val="000F6D24"/>
    <w:rsid w:val="0010217D"/>
    <w:rsid w:val="00102570"/>
    <w:rsid w:val="0011066F"/>
    <w:rsid w:val="00110FCB"/>
    <w:rsid w:val="001114D8"/>
    <w:rsid w:val="0012005E"/>
    <w:rsid w:val="00121980"/>
    <w:rsid w:val="0013095C"/>
    <w:rsid w:val="00132348"/>
    <w:rsid w:val="00134B0A"/>
    <w:rsid w:val="00136F06"/>
    <w:rsid w:val="00141A2B"/>
    <w:rsid w:val="00152275"/>
    <w:rsid w:val="00161110"/>
    <w:rsid w:val="00161814"/>
    <w:rsid w:val="00162285"/>
    <w:rsid w:val="0016654D"/>
    <w:rsid w:val="001709D5"/>
    <w:rsid w:val="001715F6"/>
    <w:rsid w:val="0017426A"/>
    <w:rsid w:val="00176BDA"/>
    <w:rsid w:val="00181821"/>
    <w:rsid w:val="0018184E"/>
    <w:rsid w:val="00196851"/>
    <w:rsid w:val="001A09D5"/>
    <w:rsid w:val="001A31A2"/>
    <w:rsid w:val="001B02D6"/>
    <w:rsid w:val="001B6E55"/>
    <w:rsid w:val="001C01F2"/>
    <w:rsid w:val="001C4FBB"/>
    <w:rsid w:val="001C53B1"/>
    <w:rsid w:val="001C6E6C"/>
    <w:rsid w:val="001D14EF"/>
    <w:rsid w:val="001D15BF"/>
    <w:rsid w:val="001D1B8C"/>
    <w:rsid w:val="001D1EFB"/>
    <w:rsid w:val="001D2772"/>
    <w:rsid w:val="001E1881"/>
    <w:rsid w:val="001E397A"/>
    <w:rsid w:val="001F1819"/>
    <w:rsid w:val="001F1C41"/>
    <w:rsid w:val="001F58E6"/>
    <w:rsid w:val="001F607A"/>
    <w:rsid w:val="00202036"/>
    <w:rsid w:val="0021669A"/>
    <w:rsid w:val="002221EB"/>
    <w:rsid w:val="00223946"/>
    <w:rsid w:val="00223DFD"/>
    <w:rsid w:val="00226448"/>
    <w:rsid w:val="002319F7"/>
    <w:rsid w:val="00232ADB"/>
    <w:rsid w:val="00232FC1"/>
    <w:rsid w:val="00236D3D"/>
    <w:rsid w:val="00237F98"/>
    <w:rsid w:val="0024052C"/>
    <w:rsid w:val="0024057C"/>
    <w:rsid w:val="00240688"/>
    <w:rsid w:val="00245C4A"/>
    <w:rsid w:val="00246196"/>
    <w:rsid w:val="002463C7"/>
    <w:rsid w:val="00250A25"/>
    <w:rsid w:val="00250B8F"/>
    <w:rsid w:val="0025291A"/>
    <w:rsid w:val="00253C68"/>
    <w:rsid w:val="002559D8"/>
    <w:rsid w:val="00255C24"/>
    <w:rsid w:val="002619D6"/>
    <w:rsid w:val="0026203E"/>
    <w:rsid w:val="00267D25"/>
    <w:rsid w:val="00272BCD"/>
    <w:rsid w:val="0027632E"/>
    <w:rsid w:val="00280C57"/>
    <w:rsid w:val="00285401"/>
    <w:rsid w:val="00287A0C"/>
    <w:rsid w:val="00293F6F"/>
    <w:rsid w:val="00293FE7"/>
    <w:rsid w:val="00296CCF"/>
    <w:rsid w:val="002A679C"/>
    <w:rsid w:val="002A6B28"/>
    <w:rsid w:val="002A7C7A"/>
    <w:rsid w:val="002B0B43"/>
    <w:rsid w:val="002C3B44"/>
    <w:rsid w:val="002D2690"/>
    <w:rsid w:val="002D3D37"/>
    <w:rsid w:val="002D59B9"/>
    <w:rsid w:val="002D681F"/>
    <w:rsid w:val="002D7594"/>
    <w:rsid w:val="002E38EB"/>
    <w:rsid w:val="002E601B"/>
    <w:rsid w:val="002E788D"/>
    <w:rsid w:val="002F1B02"/>
    <w:rsid w:val="002F24BB"/>
    <w:rsid w:val="0030130B"/>
    <w:rsid w:val="00307596"/>
    <w:rsid w:val="003110D9"/>
    <w:rsid w:val="003113FB"/>
    <w:rsid w:val="003125C8"/>
    <w:rsid w:val="0031689D"/>
    <w:rsid w:val="00322393"/>
    <w:rsid w:val="00322FFE"/>
    <w:rsid w:val="003237BB"/>
    <w:rsid w:val="00327173"/>
    <w:rsid w:val="0033126B"/>
    <w:rsid w:val="0033324B"/>
    <w:rsid w:val="00336B55"/>
    <w:rsid w:val="0033731C"/>
    <w:rsid w:val="00341471"/>
    <w:rsid w:val="00343A40"/>
    <w:rsid w:val="003563D0"/>
    <w:rsid w:val="00361760"/>
    <w:rsid w:val="003631FD"/>
    <w:rsid w:val="003633CA"/>
    <w:rsid w:val="00381B67"/>
    <w:rsid w:val="003841BB"/>
    <w:rsid w:val="00385AB5"/>
    <w:rsid w:val="0039469E"/>
    <w:rsid w:val="00396088"/>
    <w:rsid w:val="003974AC"/>
    <w:rsid w:val="00397726"/>
    <w:rsid w:val="00397C08"/>
    <w:rsid w:val="003A0965"/>
    <w:rsid w:val="003B2122"/>
    <w:rsid w:val="003C17BE"/>
    <w:rsid w:val="003C1AF8"/>
    <w:rsid w:val="003C2E59"/>
    <w:rsid w:val="003D0C1A"/>
    <w:rsid w:val="003D4D09"/>
    <w:rsid w:val="003E06CF"/>
    <w:rsid w:val="003E1B0D"/>
    <w:rsid w:val="003E46D8"/>
    <w:rsid w:val="003F0705"/>
    <w:rsid w:val="003F588D"/>
    <w:rsid w:val="003F7909"/>
    <w:rsid w:val="00400127"/>
    <w:rsid w:val="004014F8"/>
    <w:rsid w:val="00405860"/>
    <w:rsid w:val="00412AD5"/>
    <w:rsid w:val="00413B16"/>
    <w:rsid w:val="00413E5A"/>
    <w:rsid w:val="0042089B"/>
    <w:rsid w:val="00422BCD"/>
    <w:rsid w:val="004304C7"/>
    <w:rsid w:val="0043156C"/>
    <w:rsid w:val="00436118"/>
    <w:rsid w:val="00446814"/>
    <w:rsid w:val="004521C4"/>
    <w:rsid w:val="00455382"/>
    <w:rsid w:val="0046008E"/>
    <w:rsid w:val="00462597"/>
    <w:rsid w:val="00462F7A"/>
    <w:rsid w:val="00464994"/>
    <w:rsid w:val="0046540D"/>
    <w:rsid w:val="00466FE6"/>
    <w:rsid w:val="004677D4"/>
    <w:rsid w:val="00467BAA"/>
    <w:rsid w:val="00473F5D"/>
    <w:rsid w:val="00475618"/>
    <w:rsid w:val="0048507C"/>
    <w:rsid w:val="00491406"/>
    <w:rsid w:val="00497A61"/>
    <w:rsid w:val="004A1B9D"/>
    <w:rsid w:val="004A2EAE"/>
    <w:rsid w:val="004A7169"/>
    <w:rsid w:val="004A7723"/>
    <w:rsid w:val="004C6B94"/>
    <w:rsid w:val="004D1940"/>
    <w:rsid w:val="004D349B"/>
    <w:rsid w:val="004E7F84"/>
    <w:rsid w:val="004F1C1E"/>
    <w:rsid w:val="004F3D95"/>
    <w:rsid w:val="004F5034"/>
    <w:rsid w:val="004F6BEE"/>
    <w:rsid w:val="004F6D7A"/>
    <w:rsid w:val="00501917"/>
    <w:rsid w:val="00502B56"/>
    <w:rsid w:val="00505FF7"/>
    <w:rsid w:val="00506604"/>
    <w:rsid w:val="00510241"/>
    <w:rsid w:val="00511113"/>
    <w:rsid w:val="005124E4"/>
    <w:rsid w:val="00512788"/>
    <w:rsid w:val="00512E24"/>
    <w:rsid w:val="00513DE6"/>
    <w:rsid w:val="005141E3"/>
    <w:rsid w:val="005146CB"/>
    <w:rsid w:val="0051667A"/>
    <w:rsid w:val="005215C6"/>
    <w:rsid w:val="00523C41"/>
    <w:rsid w:val="00526137"/>
    <w:rsid w:val="00530D80"/>
    <w:rsid w:val="0053110D"/>
    <w:rsid w:val="00541BAB"/>
    <w:rsid w:val="005425A2"/>
    <w:rsid w:val="005430C6"/>
    <w:rsid w:val="00544389"/>
    <w:rsid w:val="0054487D"/>
    <w:rsid w:val="00545FD0"/>
    <w:rsid w:val="00551FFC"/>
    <w:rsid w:val="00552982"/>
    <w:rsid w:val="00553395"/>
    <w:rsid w:val="0055709D"/>
    <w:rsid w:val="005573BC"/>
    <w:rsid w:val="005665EE"/>
    <w:rsid w:val="00570ECF"/>
    <w:rsid w:val="0057632D"/>
    <w:rsid w:val="005807D7"/>
    <w:rsid w:val="00583713"/>
    <w:rsid w:val="00587B9B"/>
    <w:rsid w:val="00592C64"/>
    <w:rsid w:val="005A0303"/>
    <w:rsid w:val="005A5EC6"/>
    <w:rsid w:val="005A6239"/>
    <w:rsid w:val="005B1ADE"/>
    <w:rsid w:val="005B3DF1"/>
    <w:rsid w:val="005B7022"/>
    <w:rsid w:val="005C0B05"/>
    <w:rsid w:val="005D15DB"/>
    <w:rsid w:val="005D32BD"/>
    <w:rsid w:val="005D36C8"/>
    <w:rsid w:val="005D4F8F"/>
    <w:rsid w:val="005E4D8C"/>
    <w:rsid w:val="005E559B"/>
    <w:rsid w:val="005F20B9"/>
    <w:rsid w:val="005F372D"/>
    <w:rsid w:val="005F618D"/>
    <w:rsid w:val="00607DAD"/>
    <w:rsid w:val="0062201B"/>
    <w:rsid w:val="00623F5A"/>
    <w:rsid w:val="00627E72"/>
    <w:rsid w:val="00632E9B"/>
    <w:rsid w:val="00634945"/>
    <w:rsid w:val="00641989"/>
    <w:rsid w:val="00642997"/>
    <w:rsid w:val="00646262"/>
    <w:rsid w:val="00647093"/>
    <w:rsid w:val="00651353"/>
    <w:rsid w:val="00652904"/>
    <w:rsid w:val="006604BC"/>
    <w:rsid w:val="00661344"/>
    <w:rsid w:val="00663791"/>
    <w:rsid w:val="00672759"/>
    <w:rsid w:val="00674D8B"/>
    <w:rsid w:val="00676D1D"/>
    <w:rsid w:val="00677361"/>
    <w:rsid w:val="006774F7"/>
    <w:rsid w:val="00680D61"/>
    <w:rsid w:val="0068302D"/>
    <w:rsid w:val="0068515F"/>
    <w:rsid w:val="006900C9"/>
    <w:rsid w:val="006A26A8"/>
    <w:rsid w:val="006A6D9E"/>
    <w:rsid w:val="006A6E51"/>
    <w:rsid w:val="006A78D8"/>
    <w:rsid w:val="006B3168"/>
    <w:rsid w:val="006C2B4F"/>
    <w:rsid w:val="006C79A0"/>
    <w:rsid w:val="006D5E2D"/>
    <w:rsid w:val="006D6413"/>
    <w:rsid w:val="006D7AE1"/>
    <w:rsid w:val="006E122F"/>
    <w:rsid w:val="006E3265"/>
    <w:rsid w:val="006E477B"/>
    <w:rsid w:val="006E6B83"/>
    <w:rsid w:val="006F463E"/>
    <w:rsid w:val="006F5A7D"/>
    <w:rsid w:val="006F68F5"/>
    <w:rsid w:val="006F753C"/>
    <w:rsid w:val="006F7CEC"/>
    <w:rsid w:val="007008F3"/>
    <w:rsid w:val="00702128"/>
    <w:rsid w:val="00717E83"/>
    <w:rsid w:val="007215B7"/>
    <w:rsid w:val="00724BF4"/>
    <w:rsid w:val="00727027"/>
    <w:rsid w:val="00731169"/>
    <w:rsid w:val="007330F6"/>
    <w:rsid w:val="00734FE3"/>
    <w:rsid w:val="007359E6"/>
    <w:rsid w:val="007371D9"/>
    <w:rsid w:val="00737E50"/>
    <w:rsid w:val="0074191E"/>
    <w:rsid w:val="00751F52"/>
    <w:rsid w:val="007548EE"/>
    <w:rsid w:val="007563DD"/>
    <w:rsid w:val="007605C4"/>
    <w:rsid w:val="0077373D"/>
    <w:rsid w:val="00774C0F"/>
    <w:rsid w:val="00781E6A"/>
    <w:rsid w:val="0078233F"/>
    <w:rsid w:val="00784AA8"/>
    <w:rsid w:val="007854B0"/>
    <w:rsid w:val="0079518E"/>
    <w:rsid w:val="007962ED"/>
    <w:rsid w:val="007A0A23"/>
    <w:rsid w:val="007A15DC"/>
    <w:rsid w:val="007A34B0"/>
    <w:rsid w:val="007A48D5"/>
    <w:rsid w:val="007A604E"/>
    <w:rsid w:val="007B5753"/>
    <w:rsid w:val="007C2A95"/>
    <w:rsid w:val="007C3C55"/>
    <w:rsid w:val="007C664D"/>
    <w:rsid w:val="007D14EF"/>
    <w:rsid w:val="007D2E6F"/>
    <w:rsid w:val="007D3E70"/>
    <w:rsid w:val="007D498E"/>
    <w:rsid w:val="007D509B"/>
    <w:rsid w:val="007E2233"/>
    <w:rsid w:val="007F0CEF"/>
    <w:rsid w:val="0080794E"/>
    <w:rsid w:val="00807A95"/>
    <w:rsid w:val="008104CF"/>
    <w:rsid w:val="0081186B"/>
    <w:rsid w:val="008141EE"/>
    <w:rsid w:val="008158B3"/>
    <w:rsid w:val="00822D59"/>
    <w:rsid w:val="00823846"/>
    <w:rsid w:val="00823E77"/>
    <w:rsid w:val="00824977"/>
    <w:rsid w:val="00830FE4"/>
    <w:rsid w:val="00831D5B"/>
    <w:rsid w:val="00832044"/>
    <w:rsid w:val="00834A92"/>
    <w:rsid w:val="00835E31"/>
    <w:rsid w:val="008406FB"/>
    <w:rsid w:val="00841537"/>
    <w:rsid w:val="008417F0"/>
    <w:rsid w:val="0084382D"/>
    <w:rsid w:val="00853A51"/>
    <w:rsid w:val="00854DFF"/>
    <w:rsid w:val="0086014C"/>
    <w:rsid w:val="008632B8"/>
    <w:rsid w:val="00863F0C"/>
    <w:rsid w:val="00864E74"/>
    <w:rsid w:val="00865360"/>
    <w:rsid w:val="0087119B"/>
    <w:rsid w:val="00872E7D"/>
    <w:rsid w:val="00875DCE"/>
    <w:rsid w:val="00876A26"/>
    <w:rsid w:val="008822B5"/>
    <w:rsid w:val="00882B61"/>
    <w:rsid w:val="00882F5B"/>
    <w:rsid w:val="00893BE8"/>
    <w:rsid w:val="008972C3"/>
    <w:rsid w:val="008A43E1"/>
    <w:rsid w:val="008B0EF9"/>
    <w:rsid w:val="008B0F21"/>
    <w:rsid w:val="008B2C4A"/>
    <w:rsid w:val="008B46E2"/>
    <w:rsid w:val="008C0206"/>
    <w:rsid w:val="008C3E06"/>
    <w:rsid w:val="008C5ED2"/>
    <w:rsid w:val="008D3FAE"/>
    <w:rsid w:val="008D4CDC"/>
    <w:rsid w:val="008D7080"/>
    <w:rsid w:val="008E3C86"/>
    <w:rsid w:val="008E405F"/>
    <w:rsid w:val="008E476E"/>
    <w:rsid w:val="008E4CC7"/>
    <w:rsid w:val="008F0A41"/>
    <w:rsid w:val="008F52E9"/>
    <w:rsid w:val="008F6211"/>
    <w:rsid w:val="009010ED"/>
    <w:rsid w:val="0090155B"/>
    <w:rsid w:val="00901F62"/>
    <w:rsid w:val="00902D4E"/>
    <w:rsid w:val="00912CAC"/>
    <w:rsid w:val="00915CF7"/>
    <w:rsid w:val="00917C0C"/>
    <w:rsid w:val="009234B8"/>
    <w:rsid w:val="0092371B"/>
    <w:rsid w:val="00927ED8"/>
    <w:rsid w:val="00933ABD"/>
    <w:rsid w:val="00941BF1"/>
    <w:rsid w:val="009509A9"/>
    <w:rsid w:val="00950E05"/>
    <w:rsid w:val="00961F58"/>
    <w:rsid w:val="00962E7A"/>
    <w:rsid w:val="00964840"/>
    <w:rsid w:val="00965328"/>
    <w:rsid w:val="0096609C"/>
    <w:rsid w:val="0097128F"/>
    <w:rsid w:val="00975F98"/>
    <w:rsid w:val="009760B7"/>
    <w:rsid w:val="00980E73"/>
    <w:rsid w:val="00982C2A"/>
    <w:rsid w:val="00987D5E"/>
    <w:rsid w:val="00996877"/>
    <w:rsid w:val="00996BE7"/>
    <w:rsid w:val="009A28CC"/>
    <w:rsid w:val="009B0975"/>
    <w:rsid w:val="009B16EB"/>
    <w:rsid w:val="009B182F"/>
    <w:rsid w:val="009B2924"/>
    <w:rsid w:val="009B7842"/>
    <w:rsid w:val="009C1424"/>
    <w:rsid w:val="009C155B"/>
    <w:rsid w:val="009C49FE"/>
    <w:rsid w:val="009C678D"/>
    <w:rsid w:val="009D018B"/>
    <w:rsid w:val="009D2AB9"/>
    <w:rsid w:val="009D404B"/>
    <w:rsid w:val="009D570C"/>
    <w:rsid w:val="009E0629"/>
    <w:rsid w:val="009E331E"/>
    <w:rsid w:val="009F0F65"/>
    <w:rsid w:val="009F44EF"/>
    <w:rsid w:val="00A001F6"/>
    <w:rsid w:val="00A044FF"/>
    <w:rsid w:val="00A06EE3"/>
    <w:rsid w:val="00A06EF8"/>
    <w:rsid w:val="00A14B06"/>
    <w:rsid w:val="00A27547"/>
    <w:rsid w:val="00A31858"/>
    <w:rsid w:val="00A3325A"/>
    <w:rsid w:val="00A33962"/>
    <w:rsid w:val="00A40C8B"/>
    <w:rsid w:val="00A4164E"/>
    <w:rsid w:val="00A41668"/>
    <w:rsid w:val="00A41A09"/>
    <w:rsid w:val="00A42CF5"/>
    <w:rsid w:val="00A43BB1"/>
    <w:rsid w:val="00A4469A"/>
    <w:rsid w:val="00A507E8"/>
    <w:rsid w:val="00A532BE"/>
    <w:rsid w:val="00A674EA"/>
    <w:rsid w:val="00A70CA9"/>
    <w:rsid w:val="00A70DAC"/>
    <w:rsid w:val="00A70DE6"/>
    <w:rsid w:val="00A73FC3"/>
    <w:rsid w:val="00A81892"/>
    <w:rsid w:val="00A8245A"/>
    <w:rsid w:val="00A842D3"/>
    <w:rsid w:val="00A93244"/>
    <w:rsid w:val="00A957FF"/>
    <w:rsid w:val="00AA0B89"/>
    <w:rsid w:val="00AB05C1"/>
    <w:rsid w:val="00AB17C1"/>
    <w:rsid w:val="00AB65DC"/>
    <w:rsid w:val="00AC0E33"/>
    <w:rsid w:val="00AC3DC9"/>
    <w:rsid w:val="00AD0A14"/>
    <w:rsid w:val="00AD295F"/>
    <w:rsid w:val="00AD494C"/>
    <w:rsid w:val="00AE20B0"/>
    <w:rsid w:val="00AE2234"/>
    <w:rsid w:val="00AE6F69"/>
    <w:rsid w:val="00AF405A"/>
    <w:rsid w:val="00AF6A49"/>
    <w:rsid w:val="00AF7941"/>
    <w:rsid w:val="00B01E06"/>
    <w:rsid w:val="00B0685E"/>
    <w:rsid w:val="00B12635"/>
    <w:rsid w:val="00B2155B"/>
    <w:rsid w:val="00B24A83"/>
    <w:rsid w:val="00B263EA"/>
    <w:rsid w:val="00B265B3"/>
    <w:rsid w:val="00B279E7"/>
    <w:rsid w:val="00B34363"/>
    <w:rsid w:val="00B41F35"/>
    <w:rsid w:val="00B45330"/>
    <w:rsid w:val="00B45883"/>
    <w:rsid w:val="00B45E34"/>
    <w:rsid w:val="00B5229E"/>
    <w:rsid w:val="00B64D77"/>
    <w:rsid w:val="00B711A3"/>
    <w:rsid w:val="00B73292"/>
    <w:rsid w:val="00B75034"/>
    <w:rsid w:val="00B812EC"/>
    <w:rsid w:val="00B833DD"/>
    <w:rsid w:val="00B849A7"/>
    <w:rsid w:val="00B87ABB"/>
    <w:rsid w:val="00B900C0"/>
    <w:rsid w:val="00B915A5"/>
    <w:rsid w:val="00B93AF4"/>
    <w:rsid w:val="00B948E2"/>
    <w:rsid w:val="00B94FD0"/>
    <w:rsid w:val="00B970A5"/>
    <w:rsid w:val="00B970D5"/>
    <w:rsid w:val="00BA0EAA"/>
    <w:rsid w:val="00BA201F"/>
    <w:rsid w:val="00BA3CC9"/>
    <w:rsid w:val="00BB4E04"/>
    <w:rsid w:val="00BC05AD"/>
    <w:rsid w:val="00BC2F26"/>
    <w:rsid w:val="00BC395F"/>
    <w:rsid w:val="00BD118B"/>
    <w:rsid w:val="00BD4A5E"/>
    <w:rsid w:val="00BE5D68"/>
    <w:rsid w:val="00BF0399"/>
    <w:rsid w:val="00BF139A"/>
    <w:rsid w:val="00BF3202"/>
    <w:rsid w:val="00C01282"/>
    <w:rsid w:val="00C10143"/>
    <w:rsid w:val="00C12E27"/>
    <w:rsid w:val="00C14A4B"/>
    <w:rsid w:val="00C16320"/>
    <w:rsid w:val="00C16A41"/>
    <w:rsid w:val="00C20666"/>
    <w:rsid w:val="00C2788A"/>
    <w:rsid w:val="00C32BA9"/>
    <w:rsid w:val="00C33883"/>
    <w:rsid w:val="00C35C6C"/>
    <w:rsid w:val="00C373B8"/>
    <w:rsid w:val="00C461DC"/>
    <w:rsid w:val="00C5135F"/>
    <w:rsid w:val="00C56AC3"/>
    <w:rsid w:val="00C62A14"/>
    <w:rsid w:val="00C635B1"/>
    <w:rsid w:val="00C63614"/>
    <w:rsid w:val="00C63C68"/>
    <w:rsid w:val="00C70A31"/>
    <w:rsid w:val="00C72FD9"/>
    <w:rsid w:val="00C73A38"/>
    <w:rsid w:val="00C76CF8"/>
    <w:rsid w:val="00C82C49"/>
    <w:rsid w:val="00C84C6C"/>
    <w:rsid w:val="00C87333"/>
    <w:rsid w:val="00C925F1"/>
    <w:rsid w:val="00C93625"/>
    <w:rsid w:val="00C93697"/>
    <w:rsid w:val="00CA16C3"/>
    <w:rsid w:val="00CA1FCD"/>
    <w:rsid w:val="00CA3855"/>
    <w:rsid w:val="00CB1010"/>
    <w:rsid w:val="00CB10F8"/>
    <w:rsid w:val="00CB2BDB"/>
    <w:rsid w:val="00CB6674"/>
    <w:rsid w:val="00CB72BC"/>
    <w:rsid w:val="00CC4710"/>
    <w:rsid w:val="00CC6FC2"/>
    <w:rsid w:val="00CD040B"/>
    <w:rsid w:val="00CD0F35"/>
    <w:rsid w:val="00CD1327"/>
    <w:rsid w:val="00CD4127"/>
    <w:rsid w:val="00CD5114"/>
    <w:rsid w:val="00CD5C21"/>
    <w:rsid w:val="00CD7180"/>
    <w:rsid w:val="00CE1192"/>
    <w:rsid w:val="00CE2CB6"/>
    <w:rsid w:val="00CE42EA"/>
    <w:rsid w:val="00CE6757"/>
    <w:rsid w:val="00CF16A2"/>
    <w:rsid w:val="00CF221E"/>
    <w:rsid w:val="00CF4375"/>
    <w:rsid w:val="00D0074C"/>
    <w:rsid w:val="00D027CC"/>
    <w:rsid w:val="00D035D4"/>
    <w:rsid w:val="00D038A0"/>
    <w:rsid w:val="00D06463"/>
    <w:rsid w:val="00D12D19"/>
    <w:rsid w:val="00D134DA"/>
    <w:rsid w:val="00D151F2"/>
    <w:rsid w:val="00D318C9"/>
    <w:rsid w:val="00D40D79"/>
    <w:rsid w:val="00D43F28"/>
    <w:rsid w:val="00D4611C"/>
    <w:rsid w:val="00D519CD"/>
    <w:rsid w:val="00D56CB2"/>
    <w:rsid w:val="00D57858"/>
    <w:rsid w:val="00D62FA7"/>
    <w:rsid w:val="00D7034C"/>
    <w:rsid w:val="00D70EDE"/>
    <w:rsid w:val="00D73AC8"/>
    <w:rsid w:val="00D801EF"/>
    <w:rsid w:val="00D81453"/>
    <w:rsid w:val="00D82323"/>
    <w:rsid w:val="00D82CB4"/>
    <w:rsid w:val="00D850B5"/>
    <w:rsid w:val="00D85C07"/>
    <w:rsid w:val="00D92261"/>
    <w:rsid w:val="00D9308A"/>
    <w:rsid w:val="00D93199"/>
    <w:rsid w:val="00D936DD"/>
    <w:rsid w:val="00DA3C85"/>
    <w:rsid w:val="00DA441B"/>
    <w:rsid w:val="00DA5F2F"/>
    <w:rsid w:val="00DB4444"/>
    <w:rsid w:val="00DC6CBC"/>
    <w:rsid w:val="00DD0D39"/>
    <w:rsid w:val="00DD175C"/>
    <w:rsid w:val="00DD23A1"/>
    <w:rsid w:val="00DD5679"/>
    <w:rsid w:val="00DE2119"/>
    <w:rsid w:val="00DF3CDB"/>
    <w:rsid w:val="00DF53CF"/>
    <w:rsid w:val="00E00B4C"/>
    <w:rsid w:val="00E044C6"/>
    <w:rsid w:val="00E0596E"/>
    <w:rsid w:val="00E10E47"/>
    <w:rsid w:val="00E140C3"/>
    <w:rsid w:val="00E1414F"/>
    <w:rsid w:val="00E14611"/>
    <w:rsid w:val="00E21DBE"/>
    <w:rsid w:val="00E30AA3"/>
    <w:rsid w:val="00E31921"/>
    <w:rsid w:val="00E36145"/>
    <w:rsid w:val="00E42B00"/>
    <w:rsid w:val="00E455FB"/>
    <w:rsid w:val="00E45DEB"/>
    <w:rsid w:val="00E53C0C"/>
    <w:rsid w:val="00E63418"/>
    <w:rsid w:val="00E65688"/>
    <w:rsid w:val="00E67B9C"/>
    <w:rsid w:val="00E7026F"/>
    <w:rsid w:val="00E75795"/>
    <w:rsid w:val="00E75CFF"/>
    <w:rsid w:val="00E80EAE"/>
    <w:rsid w:val="00E810FF"/>
    <w:rsid w:val="00E93713"/>
    <w:rsid w:val="00EA3230"/>
    <w:rsid w:val="00EB220B"/>
    <w:rsid w:val="00EB6B2D"/>
    <w:rsid w:val="00EC3285"/>
    <w:rsid w:val="00EC42DD"/>
    <w:rsid w:val="00EC4CA6"/>
    <w:rsid w:val="00EC59BC"/>
    <w:rsid w:val="00EC6C74"/>
    <w:rsid w:val="00ED0136"/>
    <w:rsid w:val="00ED2D23"/>
    <w:rsid w:val="00ED48B7"/>
    <w:rsid w:val="00ED493E"/>
    <w:rsid w:val="00EE3DB4"/>
    <w:rsid w:val="00EE675F"/>
    <w:rsid w:val="00EF32E1"/>
    <w:rsid w:val="00F01EB1"/>
    <w:rsid w:val="00F04111"/>
    <w:rsid w:val="00F04CFE"/>
    <w:rsid w:val="00F237E7"/>
    <w:rsid w:val="00F244AF"/>
    <w:rsid w:val="00F251CA"/>
    <w:rsid w:val="00F27B55"/>
    <w:rsid w:val="00F3185A"/>
    <w:rsid w:val="00F3310D"/>
    <w:rsid w:val="00F33D82"/>
    <w:rsid w:val="00F415CA"/>
    <w:rsid w:val="00F427EE"/>
    <w:rsid w:val="00F51432"/>
    <w:rsid w:val="00F54B85"/>
    <w:rsid w:val="00F5678C"/>
    <w:rsid w:val="00F60227"/>
    <w:rsid w:val="00F62031"/>
    <w:rsid w:val="00F6319E"/>
    <w:rsid w:val="00F633BE"/>
    <w:rsid w:val="00F7171F"/>
    <w:rsid w:val="00F7205B"/>
    <w:rsid w:val="00F732CC"/>
    <w:rsid w:val="00F745E1"/>
    <w:rsid w:val="00F80557"/>
    <w:rsid w:val="00F865DC"/>
    <w:rsid w:val="00F96001"/>
    <w:rsid w:val="00F9629D"/>
    <w:rsid w:val="00F9651B"/>
    <w:rsid w:val="00F96E65"/>
    <w:rsid w:val="00F9711A"/>
    <w:rsid w:val="00FB1E05"/>
    <w:rsid w:val="00FB2859"/>
    <w:rsid w:val="00FB3E40"/>
    <w:rsid w:val="00FB51CD"/>
    <w:rsid w:val="00FC1327"/>
    <w:rsid w:val="00FC2D6A"/>
    <w:rsid w:val="00FC71DD"/>
    <w:rsid w:val="00FD4FD4"/>
    <w:rsid w:val="00FD665E"/>
    <w:rsid w:val="00FD721D"/>
    <w:rsid w:val="00FE1084"/>
    <w:rsid w:val="00FE4003"/>
    <w:rsid w:val="00FE4ADA"/>
    <w:rsid w:val="00FF290B"/>
    <w:rsid w:val="00FF3F25"/>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6F"/>
    <w:rPr>
      <w:sz w:val="24"/>
      <w:szCs w:val="24"/>
      <w:lang w:eastAsia="es-ES"/>
    </w:rPr>
  </w:style>
  <w:style w:type="paragraph" w:styleId="Ttulo1">
    <w:name w:val="heading 1"/>
    <w:basedOn w:val="Normal"/>
    <w:next w:val="Normal"/>
    <w:link w:val="Ttulo1Car"/>
    <w:qFormat/>
    <w:rsid w:val="00E7026F"/>
    <w:pPr>
      <w:keepNext/>
      <w:outlineLvl w:val="0"/>
    </w:pPr>
    <w:rPr>
      <w:b/>
      <w:bCs/>
    </w:rPr>
  </w:style>
  <w:style w:type="paragraph" w:styleId="Ttulo2">
    <w:name w:val="heading 2"/>
    <w:basedOn w:val="Normal"/>
    <w:next w:val="Normal"/>
    <w:link w:val="Ttulo2Car"/>
    <w:uiPriority w:val="99"/>
    <w:qFormat/>
    <w:rsid w:val="00E7026F"/>
    <w:pPr>
      <w:keepNext/>
      <w:ind w:left="360"/>
      <w:outlineLvl w:val="1"/>
    </w:pPr>
    <w:rPr>
      <w:b/>
      <w:bCs/>
    </w:rPr>
  </w:style>
  <w:style w:type="paragraph" w:styleId="Ttulo4">
    <w:name w:val="heading 4"/>
    <w:basedOn w:val="Normal"/>
    <w:next w:val="Normal"/>
    <w:link w:val="Ttulo4Car"/>
    <w:uiPriority w:val="99"/>
    <w:qFormat/>
    <w:rsid w:val="00F3185A"/>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qFormat/>
    <w:rsid w:val="00E7026F"/>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E7026F"/>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E314D"/>
    <w:rPr>
      <w:rFonts w:ascii="Cambria" w:eastAsia="Times New Roman" w:hAnsi="Cambria" w:cs="Times New Roman"/>
      <w:b/>
      <w:bCs/>
      <w:kern w:val="32"/>
      <w:sz w:val="32"/>
      <w:szCs w:val="32"/>
      <w:lang w:val="es-MX" w:eastAsia="es-ES"/>
    </w:rPr>
  </w:style>
  <w:style w:type="character" w:customStyle="1" w:styleId="Ttulo2Car">
    <w:name w:val="Título 2 Car"/>
    <w:link w:val="Ttulo2"/>
    <w:uiPriority w:val="9"/>
    <w:semiHidden/>
    <w:rsid w:val="00AE314D"/>
    <w:rPr>
      <w:rFonts w:ascii="Cambria" w:eastAsia="Times New Roman" w:hAnsi="Cambria" w:cs="Times New Roman"/>
      <w:b/>
      <w:bCs/>
      <w:i/>
      <w:iCs/>
      <w:sz w:val="28"/>
      <w:szCs w:val="28"/>
      <w:lang w:val="es-MX" w:eastAsia="es-ES"/>
    </w:rPr>
  </w:style>
  <w:style w:type="character" w:customStyle="1" w:styleId="Ttulo4Car">
    <w:name w:val="Título 4 Car"/>
    <w:link w:val="Ttulo4"/>
    <w:uiPriority w:val="99"/>
    <w:semiHidden/>
    <w:locked/>
    <w:rsid w:val="00F3185A"/>
    <w:rPr>
      <w:rFonts w:ascii="Cambria" w:hAnsi="Cambria" w:cs="Times New Roman"/>
      <w:b/>
      <w:bCs/>
      <w:i/>
      <w:iCs/>
      <w:color w:val="4F81BD"/>
      <w:sz w:val="24"/>
      <w:szCs w:val="24"/>
      <w:lang w:eastAsia="es-ES"/>
    </w:rPr>
  </w:style>
  <w:style w:type="character" w:customStyle="1" w:styleId="Ttulo5Car">
    <w:name w:val="Título 5 Car"/>
    <w:link w:val="Ttulo5"/>
    <w:uiPriority w:val="9"/>
    <w:semiHidden/>
    <w:rsid w:val="00AE314D"/>
    <w:rPr>
      <w:rFonts w:ascii="Calibri" w:eastAsia="Times New Roman" w:hAnsi="Calibri" w:cs="Times New Roman"/>
      <w:b/>
      <w:bCs/>
      <w:i/>
      <w:iCs/>
      <w:sz w:val="26"/>
      <w:szCs w:val="26"/>
      <w:lang w:val="es-MX" w:eastAsia="es-ES"/>
    </w:rPr>
  </w:style>
  <w:style w:type="character" w:customStyle="1" w:styleId="Ttulo6Car">
    <w:name w:val="Título 6 Car"/>
    <w:link w:val="Ttulo6"/>
    <w:semiHidden/>
    <w:rsid w:val="00AE314D"/>
    <w:rPr>
      <w:rFonts w:ascii="Calibri" w:eastAsia="Times New Roman" w:hAnsi="Calibri" w:cs="Times New Roman"/>
      <w:b/>
      <w:bCs/>
      <w:lang w:val="es-MX" w:eastAsia="es-ES"/>
    </w:rPr>
  </w:style>
  <w:style w:type="paragraph" w:styleId="Sangradetextonormal">
    <w:name w:val="Body Text Indent"/>
    <w:basedOn w:val="Normal"/>
    <w:link w:val="SangradetextonormalCar"/>
    <w:rsid w:val="00E7026F"/>
    <w:pPr>
      <w:ind w:left="180"/>
    </w:pPr>
  </w:style>
  <w:style w:type="character" w:customStyle="1" w:styleId="SangradetextonormalCar">
    <w:name w:val="Sangría de texto normal Car"/>
    <w:link w:val="Sangradetextonormal"/>
    <w:rsid w:val="00AE314D"/>
    <w:rPr>
      <w:sz w:val="24"/>
      <w:szCs w:val="24"/>
      <w:lang w:val="es-MX" w:eastAsia="es-ES"/>
    </w:rPr>
  </w:style>
  <w:style w:type="paragraph" w:styleId="Sangra2detindependiente">
    <w:name w:val="Body Text Indent 2"/>
    <w:basedOn w:val="Normal"/>
    <w:link w:val="Sangra2detindependienteCar"/>
    <w:uiPriority w:val="99"/>
    <w:rsid w:val="00E7026F"/>
    <w:pPr>
      <w:ind w:left="360"/>
    </w:pPr>
  </w:style>
  <w:style w:type="character" w:customStyle="1" w:styleId="Sangra2detindependienteCar">
    <w:name w:val="Sangría 2 de t. independiente Car"/>
    <w:link w:val="Sangra2detindependiente"/>
    <w:uiPriority w:val="99"/>
    <w:semiHidden/>
    <w:rsid w:val="00AE314D"/>
    <w:rPr>
      <w:sz w:val="24"/>
      <w:szCs w:val="24"/>
      <w:lang w:val="es-MX" w:eastAsia="es-ES"/>
    </w:rPr>
  </w:style>
  <w:style w:type="paragraph" w:styleId="Piedepgina">
    <w:name w:val="footer"/>
    <w:basedOn w:val="Normal"/>
    <w:link w:val="PiedepginaCar"/>
    <w:uiPriority w:val="99"/>
    <w:rsid w:val="00E7026F"/>
    <w:pPr>
      <w:tabs>
        <w:tab w:val="center" w:pos="4419"/>
        <w:tab w:val="right" w:pos="8838"/>
      </w:tabs>
    </w:pPr>
  </w:style>
  <w:style w:type="character" w:customStyle="1" w:styleId="PiedepginaCar">
    <w:name w:val="Pie de página Car"/>
    <w:link w:val="Piedepgina"/>
    <w:uiPriority w:val="99"/>
    <w:locked/>
    <w:rsid w:val="00237F98"/>
    <w:rPr>
      <w:rFonts w:cs="Times New Roman"/>
      <w:sz w:val="24"/>
      <w:szCs w:val="24"/>
      <w:lang w:eastAsia="es-ES"/>
    </w:rPr>
  </w:style>
  <w:style w:type="character" w:styleId="Nmerodepgina">
    <w:name w:val="page number"/>
    <w:uiPriority w:val="99"/>
    <w:rsid w:val="00E7026F"/>
    <w:rPr>
      <w:rFonts w:cs="Times New Roman"/>
    </w:rPr>
  </w:style>
  <w:style w:type="paragraph" w:styleId="Encabezado">
    <w:name w:val="header"/>
    <w:basedOn w:val="Normal"/>
    <w:link w:val="EncabezadoCar"/>
    <w:uiPriority w:val="99"/>
    <w:rsid w:val="00E7026F"/>
    <w:pPr>
      <w:tabs>
        <w:tab w:val="center" w:pos="4419"/>
        <w:tab w:val="right" w:pos="8838"/>
      </w:tabs>
    </w:pPr>
  </w:style>
  <w:style w:type="character" w:customStyle="1" w:styleId="EncabezadoCar">
    <w:name w:val="Encabezado Car"/>
    <w:link w:val="Encabezado"/>
    <w:uiPriority w:val="99"/>
    <w:semiHidden/>
    <w:rsid w:val="00AE314D"/>
    <w:rPr>
      <w:sz w:val="24"/>
      <w:szCs w:val="24"/>
      <w:lang w:val="es-MX" w:eastAsia="es-ES"/>
    </w:rPr>
  </w:style>
  <w:style w:type="paragraph" w:styleId="Textoindependiente">
    <w:name w:val="Body Text"/>
    <w:basedOn w:val="Normal"/>
    <w:link w:val="TextoindependienteCar"/>
    <w:uiPriority w:val="99"/>
    <w:rsid w:val="00E7026F"/>
    <w:pPr>
      <w:jc w:val="both"/>
    </w:pPr>
    <w:rPr>
      <w:rFonts w:ascii="Arial" w:hAnsi="Arial" w:cs="Arial"/>
      <w:bCs/>
      <w:color w:val="CCFFCC"/>
      <w:sz w:val="22"/>
      <w:szCs w:val="22"/>
    </w:rPr>
  </w:style>
  <w:style w:type="character" w:customStyle="1" w:styleId="TextoindependienteCar">
    <w:name w:val="Texto independiente Car"/>
    <w:link w:val="Textoindependiente"/>
    <w:uiPriority w:val="99"/>
    <w:semiHidden/>
    <w:rsid w:val="00AE314D"/>
    <w:rPr>
      <w:sz w:val="24"/>
      <w:szCs w:val="24"/>
      <w:lang w:val="es-MX" w:eastAsia="es-ES"/>
    </w:rPr>
  </w:style>
  <w:style w:type="paragraph" w:styleId="Textoindependiente2">
    <w:name w:val="Body Text 2"/>
    <w:basedOn w:val="Normal"/>
    <w:link w:val="Textoindependiente2Car"/>
    <w:uiPriority w:val="99"/>
    <w:rsid w:val="00E7026F"/>
    <w:pPr>
      <w:jc w:val="both"/>
    </w:pPr>
    <w:rPr>
      <w:rFonts w:ascii="Arial" w:hAnsi="Arial" w:cs="Arial"/>
      <w:sz w:val="22"/>
      <w:szCs w:val="22"/>
    </w:rPr>
  </w:style>
  <w:style w:type="character" w:customStyle="1" w:styleId="Textoindependiente2Car">
    <w:name w:val="Texto independiente 2 Car"/>
    <w:link w:val="Textoindependiente2"/>
    <w:uiPriority w:val="99"/>
    <w:semiHidden/>
    <w:rsid w:val="00AE314D"/>
    <w:rPr>
      <w:sz w:val="24"/>
      <w:szCs w:val="24"/>
      <w:lang w:val="es-MX" w:eastAsia="es-ES"/>
    </w:rPr>
  </w:style>
  <w:style w:type="paragraph" w:styleId="Sangra3detindependiente">
    <w:name w:val="Body Text Indent 3"/>
    <w:basedOn w:val="Normal"/>
    <w:link w:val="Sangra3detindependienteCar"/>
    <w:uiPriority w:val="99"/>
    <w:rsid w:val="00E7026F"/>
    <w:pPr>
      <w:ind w:firstLine="360"/>
      <w:jc w:val="both"/>
    </w:pPr>
    <w:rPr>
      <w:rFonts w:ascii="Arial" w:hAnsi="Arial"/>
      <w:sz w:val="22"/>
    </w:rPr>
  </w:style>
  <w:style w:type="character" w:customStyle="1" w:styleId="Sangra3detindependienteCar">
    <w:name w:val="Sangría 3 de t. independiente Car"/>
    <w:link w:val="Sangra3detindependiente"/>
    <w:uiPriority w:val="99"/>
    <w:semiHidden/>
    <w:rsid w:val="00AE314D"/>
    <w:rPr>
      <w:sz w:val="16"/>
      <w:szCs w:val="16"/>
      <w:lang w:val="es-MX" w:eastAsia="es-ES"/>
    </w:rPr>
  </w:style>
  <w:style w:type="paragraph" w:styleId="Textoindependiente3">
    <w:name w:val="Body Text 3"/>
    <w:basedOn w:val="Normal"/>
    <w:link w:val="Textoindependiente3Car"/>
    <w:uiPriority w:val="99"/>
    <w:rsid w:val="00E7026F"/>
    <w:pPr>
      <w:jc w:val="both"/>
    </w:pPr>
    <w:rPr>
      <w:rFonts w:ascii="Arial" w:hAnsi="Arial"/>
      <w:sz w:val="18"/>
    </w:rPr>
  </w:style>
  <w:style w:type="character" w:customStyle="1" w:styleId="Textoindependiente3Car">
    <w:name w:val="Texto independiente 3 Car"/>
    <w:link w:val="Textoindependiente3"/>
    <w:uiPriority w:val="99"/>
    <w:semiHidden/>
    <w:rsid w:val="00AE314D"/>
    <w:rPr>
      <w:sz w:val="16"/>
      <w:szCs w:val="16"/>
      <w:lang w:val="es-MX" w:eastAsia="es-ES"/>
    </w:rPr>
  </w:style>
  <w:style w:type="table" w:styleId="Tablaconcuadrcula">
    <w:name w:val="Table Grid"/>
    <w:basedOn w:val="Tablanormal"/>
    <w:rsid w:val="002D68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rsid w:val="00237F98"/>
    <w:rPr>
      <w:rFonts w:ascii="Tahoma" w:hAnsi="Tahoma" w:cs="Tahoma"/>
      <w:sz w:val="16"/>
      <w:szCs w:val="16"/>
    </w:rPr>
  </w:style>
  <w:style w:type="character" w:customStyle="1" w:styleId="TextodegloboCar">
    <w:name w:val="Texto de globo Car"/>
    <w:link w:val="Textodeglobo"/>
    <w:uiPriority w:val="99"/>
    <w:locked/>
    <w:rsid w:val="00237F98"/>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31">
      <w:marLeft w:val="0"/>
      <w:marRight w:val="0"/>
      <w:marTop w:val="0"/>
      <w:marBottom w:val="0"/>
      <w:divBdr>
        <w:top w:val="none" w:sz="0" w:space="0" w:color="auto"/>
        <w:left w:val="none" w:sz="0" w:space="0" w:color="auto"/>
        <w:bottom w:val="none" w:sz="0" w:space="0" w:color="auto"/>
        <w:right w:val="none" w:sz="0" w:space="0" w:color="auto"/>
      </w:divBdr>
    </w:div>
    <w:div w:id="41636632">
      <w:marLeft w:val="0"/>
      <w:marRight w:val="0"/>
      <w:marTop w:val="0"/>
      <w:marBottom w:val="0"/>
      <w:divBdr>
        <w:top w:val="none" w:sz="0" w:space="0" w:color="auto"/>
        <w:left w:val="none" w:sz="0" w:space="0" w:color="auto"/>
        <w:bottom w:val="none" w:sz="0" w:space="0" w:color="auto"/>
        <w:right w:val="none" w:sz="0" w:space="0" w:color="auto"/>
      </w:divBdr>
    </w:div>
    <w:div w:id="41636633">
      <w:marLeft w:val="0"/>
      <w:marRight w:val="0"/>
      <w:marTop w:val="0"/>
      <w:marBottom w:val="0"/>
      <w:divBdr>
        <w:top w:val="none" w:sz="0" w:space="0" w:color="auto"/>
        <w:left w:val="none" w:sz="0" w:space="0" w:color="auto"/>
        <w:bottom w:val="none" w:sz="0" w:space="0" w:color="auto"/>
        <w:right w:val="none" w:sz="0" w:space="0" w:color="auto"/>
      </w:divBdr>
    </w:div>
    <w:div w:id="41636634">
      <w:marLeft w:val="0"/>
      <w:marRight w:val="0"/>
      <w:marTop w:val="0"/>
      <w:marBottom w:val="0"/>
      <w:divBdr>
        <w:top w:val="none" w:sz="0" w:space="0" w:color="auto"/>
        <w:left w:val="none" w:sz="0" w:space="0" w:color="auto"/>
        <w:bottom w:val="none" w:sz="0" w:space="0" w:color="auto"/>
        <w:right w:val="none" w:sz="0" w:space="0" w:color="auto"/>
      </w:divBdr>
    </w:div>
    <w:div w:id="41636635">
      <w:marLeft w:val="0"/>
      <w:marRight w:val="0"/>
      <w:marTop w:val="0"/>
      <w:marBottom w:val="0"/>
      <w:divBdr>
        <w:top w:val="none" w:sz="0" w:space="0" w:color="auto"/>
        <w:left w:val="none" w:sz="0" w:space="0" w:color="auto"/>
        <w:bottom w:val="none" w:sz="0" w:space="0" w:color="auto"/>
        <w:right w:val="none" w:sz="0" w:space="0" w:color="auto"/>
      </w:divBdr>
    </w:div>
    <w:div w:id="41636636">
      <w:marLeft w:val="0"/>
      <w:marRight w:val="0"/>
      <w:marTop w:val="0"/>
      <w:marBottom w:val="0"/>
      <w:divBdr>
        <w:top w:val="none" w:sz="0" w:space="0" w:color="auto"/>
        <w:left w:val="none" w:sz="0" w:space="0" w:color="auto"/>
        <w:bottom w:val="none" w:sz="0" w:space="0" w:color="auto"/>
        <w:right w:val="none" w:sz="0" w:space="0" w:color="auto"/>
      </w:divBdr>
    </w:div>
    <w:div w:id="41636637">
      <w:marLeft w:val="0"/>
      <w:marRight w:val="0"/>
      <w:marTop w:val="0"/>
      <w:marBottom w:val="0"/>
      <w:divBdr>
        <w:top w:val="none" w:sz="0" w:space="0" w:color="auto"/>
        <w:left w:val="none" w:sz="0" w:space="0" w:color="auto"/>
        <w:bottom w:val="none" w:sz="0" w:space="0" w:color="auto"/>
        <w:right w:val="none" w:sz="0" w:space="0" w:color="auto"/>
      </w:divBdr>
    </w:div>
    <w:div w:id="41636638">
      <w:marLeft w:val="0"/>
      <w:marRight w:val="0"/>
      <w:marTop w:val="0"/>
      <w:marBottom w:val="0"/>
      <w:divBdr>
        <w:top w:val="none" w:sz="0" w:space="0" w:color="auto"/>
        <w:left w:val="none" w:sz="0" w:space="0" w:color="auto"/>
        <w:bottom w:val="none" w:sz="0" w:space="0" w:color="auto"/>
        <w:right w:val="none" w:sz="0" w:space="0" w:color="auto"/>
      </w:divBdr>
    </w:div>
    <w:div w:id="41636639">
      <w:marLeft w:val="0"/>
      <w:marRight w:val="0"/>
      <w:marTop w:val="0"/>
      <w:marBottom w:val="0"/>
      <w:divBdr>
        <w:top w:val="none" w:sz="0" w:space="0" w:color="auto"/>
        <w:left w:val="none" w:sz="0" w:space="0" w:color="auto"/>
        <w:bottom w:val="none" w:sz="0" w:space="0" w:color="auto"/>
        <w:right w:val="none" w:sz="0" w:space="0" w:color="auto"/>
      </w:divBdr>
    </w:div>
    <w:div w:id="41636640">
      <w:marLeft w:val="0"/>
      <w:marRight w:val="0"/>
      <w:marTop w:val="0"/>
      <w:marBottom w:val="0"/>
      <w:divBdr>
        <w:top w:val="none" w:sz="0" w:space="0" w:color="auto"/>
        <w:left w:val="none" w:sz="0" w:space="0" w:color="auto"/>
        <w:bottom w:val="none" w:sz="0" w:space="0" w:color="auto"/>
        <w:right w:val="none" w:sz="0" w:space="0" w:color="auto"/>
      </w:divBdr>
    </w:div>
    <w:div w:id="41636641">
      <w:marLeft w:val="0"/>
      <w:marRight w:val="0"/>
      <w:marTop w:val="0"/>
      <w:marBottom w:val="0"/>
      <w:divBdr>
        <w:top w:val="none" w:sz="0" w:space="0" w:color="auto"/>
        <w:left w:val="none" w:sz="0" w:space="0" w:color="auto"/>
        <w:bottom w:val="none" w:sz="0" w:space="0" w:color="auto"/>
        <w:right w:val="none" w:sz="0" w:space="0" w:color="auto"/>
      </w:divBdr>
    </w:div>
    <w:div w:id="41636642">
      <w:marLeft w:val="0"/>
      <w:marRight w:val="0"/>
      <w:marTop w:val="0"/>
      <w:marBottom w:val="0"/>
      <w:divBdr>
        <w:top w:val="none" w:sz="0" w:space="0" w:color="auto"/>
        <w:left w:val="none" w:sz="0" w:space="0" w:color="auto"/>
        <w:bottom w:val="none" w:sz="0" w:space="0" w:color="auto"/>
        <w:right w:val="none" w:sz="0" w:space="0" w:color="auto"/>
      </w:divBdr>
    </w:div>
    <w:div w:id="602953025">
      <w:bodyDiv w:val="1"/>
      <w:marLeft w:val="0"/>
      <w:marRight w:val="0"/>
      <w:marTop w:val="0"/>
      <w:marBottom w:val="0"/>
      <w:divBdr>
        <w:top w:val="none" w:sz="0" w:space="0" w:color="auto"/>
        <w:left w:val="none" w:sz="0" w:space="0" w:color="auto"/>
        <w:bottom w:val="none" w:sz="0" w:space="0" w:color="auto"/>
        <w:right w:val="none" w:sz="0" w:space="0" w:color="auto"/>
      </w:divBdr>
    </w:div>
    <w:div w:id="7256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1238</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Nota 1     Principales políticas y prácticas contables</vt:lpstr>
    </vt:vector>
  </TitlesOfParts>
  <Company>CMH</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     Principales políticas y prácticas contables</dc:title>
  <dc:subject/>
  <dc:creator>CMH018</dc:creator>
  <cp:keywords/>
  <dc:description/>
  <cp:lastModifiedBy>Jennifer Estefany Millan Flores</cp:lastModifiedBy>
  <cp:revision>18</cp:revision>
  <cp:lastPrinted>2018-03-15T19:05:00Z</cp:lastPrinted>
  <dcterms:created xsi:type="dcterms:W3CDTF">2016-03-08T19:33:00Z</dcterms:created>
  <dcterms:modified xsi:type="dcterms:W3CDTF">2018-03-15T19:09:00Z</dcterms:modified>
</cp:coreProperties>
</file>